
<file path=[Content_Types].xml><?xml version="1.0" encoding="utf-8"?>
<Types xmlns="http://schemas.openxmlformats.org/package/2006/content-types">
  <Default ContentType="application/vnd.openxmlformats-officedocument.oleObject" Extension="bin"/>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wordprocessingml.document.main+xml" PartName="/word/document.xml"/>
  <Override ContentType="application/vnd.openxmlformats-officedocument.drawingml.chartshapes+xml" PartName="/word/drawings/drawing1.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34A6" w:rsidRPr="00154396" w:rsidRDefault="001934A6" w:rsidP="0002176C">
      <w:pPr>
        <w:pStyle w:val="Preformatted"/>
        <w:jc w:val="center"/>
        <w:rPr>
          <w:rFonts w:ascii="Times New Roman" w:hAnsi="Times New Roman"/>
          <w:b/>
          <w:sz w:val="22"/>
          <w:szCs w:val="22"/>
        </w:rPr>
      </w:pPr>
      <w:bookmarkStart w:id="0" w:name="_Hlk529259387"/>
      <w:bookmarkEnd w:id="0"/>
      <w:r w:rsidRPr="00154396">
        <w:rPr>
          <w:rFonts w:ascii="Times New Roman" w:hAnsi="Times New Roman"/>
          <w:b/>
          <w:sz w:val="22"/>
          <w:szCs w:val="22"/>
        </w:rPr>
        <w:t>LIETUVOS RESPUBLIKOS VYRIAUSYBĖS KANCELIARIJ</w:t>
      </w:r>
      <w:r w:rsidR="00B14A97" w:rsidRPr="00154396">
        <w:rPr>
          <w:rFonts w:ascii="Times New Roman" w:hAnsi="Times New Roman"/>
          <w:b/>
          <w:sz w:val="22"/>
          <w:szCs w:val="22"/>
        </w:rPr>
        <w:t>OS</w:t>
      </w:r>
    </w:p>
    <w:p w:rsidR="001934A6" w:rsidRPr="00154396" w:rsidRDefault="0064790E" w:rsidP="0002176C">
      <w:pPr>
        <w:pStyle w:val="Preformatted"/>
        <w:jc w:val="center"/>
        <w:rPr>
          <w:rFonts w:ascii="Times New Roman" w:hAnsi="Times New Roman"/>
          <w:b/>
          <w:sz w:val="22"/>
          <w:szCs w:val="22"/>
        </w:rPr>
      </w:pPr>
      <w:r w:rsidRPr="00154396">
        <w:rPr>
          <w:rFonts w:ascii="Times New Roman" w:hAnsi="Times New Roman"/>
          <w:b/>
          <w:sz w:val="22"/>
          <w:szCs w:val="22"/>
        </w:rPr>
        <w:tab/>
      </w:r>
      <w:r w:rsidR="00AE5496">
        <w:rPr>
          <w:rFonts w:ascii="Times New Roman" w:hAnsi="Times New Roman"/>
          <w:b/>
          <w:sz w:val="22"/>
          <w:szCs w:val="22"/>
        </w:rPr>
        <w:t xml:space="preserve">EKONOMIKOS </w:t>
      </w:r>
      <w:r w:rsidRPr="00154396">
        <w:rPr>
          <w:rFonts w:ascii="Times New Roman" w:hAnsi="Times New Roman"/>
          <w:b/>
          <w:sz w:val="22"/>
          <w:szCs w:val="22"/>
        </w:rPr>
        <w:t xml:space="preserve">POLITIKOS GRUPĖS </w:t>
      </w:r>
    </w:p>
    <w:p w:rsidR="00BB48B8" w:rsidRPr="00154396" w:rsidRDefault="00BB48B8" w:rsidP="0002176C">
      <w:pPr>
        <w:pStyle w:val="Preformatted"/>
        <w:jc w:val="center"/>
        <w:rPr>
          <w:rFonts w:ascii="Times New Roman" w:hAnsi="Times New Roman"/>
          <w:b/>
          <w:sz w:val="22"/>
          <w:szCs w:val="22"/>
        </w:rPr>
      </w:pPr>
      <w:r w:rsidRPr="00154396">
        <w:rPr>
          <w:rFonts w:ascii="Times New Roman" w:hAnsi="Times New Roman"/>
          <w:b/>
          <w:sz w:val="22"/>
          <w:szCs w:val="22"/>
        </w:rPr>
        <w:t>PAŽYMA</w:t>
      </w:r>
    </w:p>
    <w:p w:rsidR="00B14A97" w:rsidRPr="00154396" w:rsidRDefault="009434D4" w:rsidP="00B14A97">
      <w:pPr>
        <w:pStyle w:val="Antraste"/>
        <w:rPr>
          <w:sz w:val="22"/>
          <w:szCs w:val="22"/>
          <w:lang w:eastAsia="lt-LT"/>
        </w:rPr>
      </w:pPr>
      <w:r w:rsidRPr="00154396">
        <w:rPr>
          <w:sz w:val="22"/>
          <w:szCs w:val="22"/>
        </w:rPr>
        <w:t xml:space="preserve">DĖL </w:t>
      </w:r>
      <w:r w:rsidR="000C12CD" w:rsidRPr="00154396">
        <w:rPr>
          <w:sz w:val="22"/>
          <w:szCs w:val="22"/>
        </w:rPr>
        <w:t xml:space="preserve">2014–2020 m. veiksmų programos įgyvendinimo </w:t>
      </w:r>
      <w:r w:rsidR="0020155B">
        <w:rPr>
          <w:sz w:val="22"/>
          <w:szCs w:val="22"/>
        </w:rPr>
        <w:t xml:space="preserve">per </w:t>
      </w:r>
      <w:r w:rsidR="000C12CD" w:rsidRPr="00154396">
        <w:rPr>
          <w:sz w:val="22"/>
          <w:szCs w:val="22"/>
        </w:rPr>
        <w:t>201</w:t>
      </w:r>
      <w:r w:rsidR="0085063A">
        <w:rPr>
          <w:sz w:val="22"/>
          <w:szCs w:val="22"/>
        </w:rPr>
        <w:t>9</w:t>
      </w:r>
      <w:r w:rsidR="000C12CD" w:rsidRPr="00154396">
        <w:rPr>
          <w:sz w:val="22"/>
          <w:szCs w:val="22"/>
        </w:rPr>
        <w:t xml:space="preserve"> m. </w:t>
      </w:r>
      <w:r w:rsidR="00454C5D">
        <w:rPr>
          <w:sz w:val="22"/>
          <w:szCs w:val="22"/>
        </w:rPr>
        <w:t>I</w:t>
      </w:r>
      <w:r w:rsidR="0020155B">
        <w:rPr>
          <w:sz w:val="22"/>
          <w:szCs w:val="22"/>
        </w:rPr>
        <w:t>I</w:t>
      </w:r>
      <w:r w:rsidR="00227A44" w:rsidRPr="00154396">
        <w:rPr>
          <w:sz w:val="22"/>
          <w:szCs w:val="22"/>
        </w:rPr>
        <w:t xml:space="preserve"> ketvirtį </w:t>
      </w:r>
    </w:p>
    <w:p w:rsidR="00D96629" w:rsidRPr="00154396" w:rsidRDefault="00D96629" w:rsidP="0002176C">
      <w:pPr>
        <w:pStyle w:val="Antraste"/>
        <w:rPr>
          <w:sz w:val="22"/>
          <w:szCs w:val="22"/>
          <w:lang w:eastAsia="lt-LT"/>
        </w:rPr>
      </w:pPr>
    </w:p>
    <w:tbl>
      <w:tblPr>
        <w:tblStyle w:val="Lentelstinklelis"/>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94D25" w:rsidRPr="00154396" w:rsidTr="00F94D25">
        <w:tc>
          <w:tcPr>
            <w:tcW w:w="4536" w:type="dxa"/>
          </w:tcPr>
          <w:p w:rsidR="00F94D25" w:rsidRPr="00154396" w:rsidRDefault="00B6171D" w:rsidP="00FA59DE">
            <w:pPr>
              <w:spacing w:before="60" w:after="60"/>
              <w:jc w:val="center"/>
              <w:rPr>
                <w:spacing w:val="-6"/>
                <w:sz w:val="22"/>
                <w:szCs w:val="22"/>
              </w:rPr>
            </w:pPr>
            <w:sdt>
              <w:sdtPr>
                <w:rPr>
                  <w:spacing w:val="-6"/>
                  <w:sz w:val="22"/>
                  <w:szCs w:val="22"/>
                </w:rPr>
                <w:tag w:val="registravimoData"/>
                <w:id w:val="-283805736"/>
                <w:placeholder>
                  <w:docPart w:val="5227F9497BEB4502967040EA23B522FC"/>
                </w:placeholder>
                <w:showingPlcHdr/>
              </w:sdtPr>
              <w:sdtEndPr/>
              <w:sdtContent>
                <w:r>
                  <w:t/>
                </w:r>
              </w:sdtContent>
            </w:sdt>
            <w:r w:rsidR="00F94D25" w:rsidRPr="00154396">
              <w:rPr>
                <w:spacing w:val="-6"/>
                <w:sz w:val="22"/>
                <w:szCs w:val="22"/>
              </w:rPr>
              <w:t xml:space="preserve"> Nr. </w:t>
            </w:r>
            <w:sdt>
              <w:sdtPr>
                <w:rPr>
                  <w:spacing w:val="-6"/>
                  <w:sz w:val="22"/>
                  <w:szCs w:val="22"/>
                </w:rPr>
                <w:tag w:val="registravimoNr"/>
                <w:id w:val="-314025492"/>
                <w:placeholder>
                  <w:docPart w:val="5227F9497BEB4502967040EA23B522FC"/>
                </w:placeholder>
              </w:sdtPr>
              <w:sdtEndPr>
                <w:rPr>
                  <w:color w:val="FF0000"/>
                </w:rPr>
              </w:sdtEndPr>
              <w:sdtContent>
                <w:r>
                  <w:t/>
                </w:r>
              </w:sdtContent>
            </w:sdt>
          </w:p>
        </w:tc>
        <w:bookmarkStart w:id="1" w:name="_GoBack"/>
        <w:bookmarkEnd w:id="1"/>
      </w:tr>
    </w:tbl>
    <w:p w:rsidR="00D72E97" w:rsidRPr="00154396" w:rsidRDefault="008F31A4" w:rsidP="001934A6">
      <w:pPr>
        <w:spacing w:line="360" w:lineRule="auto"/>
        <w:jc w:val="center"/>
        <w:rPr>
          <w:sz w:val="22"/>
          <w:szCs w:val="22"/>
        </w:rPr>
      </w:pPr>
      <w:r w:rsidRPr="00154396">
        <w:rPr>
          <w:sz w:val="22"/>
          <w:szCs w:val="22"/>
        </w:rPr>
        <w:t>Vilnius</w:t>
      </w:r>
    </w:p>
    <w:p w:rsidR="00B743AB" w:rsidRPr="00154396" w:rsidRDefault="00B743AB" w:rsidP="00B743AB">
      <w:pPr>
        <w:spacing w:line="360" w:lineRule="auto"/>
        <w:rPr>
          <w:sz w:val="22"/>
          <w:szCs w:val="22"/>
        </w:rPr>
      </w:pPr>
      <w:r w:rsidRPr="00154396">
        <w:rPr>
          <w:b/>
          <w:sz w:val="22"/>
          <w:szCs w:val="22"/>
        </w:rPr>
        <w:t>Ataskaitos teikėjas:</w:t>
      </w:r>
      <w:r w:rsidRPr="00154396">
        <w:rPr>
          <w:sz w:val="22"/>
          <w:szCs w:val="22"/>
        </w:rPr>
        <w:t xml:space="preserve"> Finansų ministerija</w:t>
      </w:r>
      <w:r w:rsidR="00532032" w:rsidRPr="00154396">
        <w:rPr>
          <w:sz w:val="22"/>
          <w:szCs w:val="22"/>
        </w:rPr>
        <w:t xml:space="preserve">. </w:t>
      </w:r>
    </w:p>
    <w:p w:rsidR="00227A44" w:rsidRPr="00245532" w:rsidRDefault="00B743AB" w:rsidP="00B743AB">
      <w:pPr>
        <w:rPr>
          <w:b/>
          <w:sz w:val="22"/>
          <w:szCs w:val="22"/>
        </w:rPr>
      </w:pPr>
      <w:r w:rsidRPr="00154396">
        <w:rPr>
          <w:b/>
          <w:sz w:val="22"/>
          <w:szCs w:val="22"/>
        </w:rPr>
        <w:t xml:space="preserve">Atskaitos tikslas: 1) </w:t>
      </w:r>
      <w:r w:rsidRPr="00154396">
        <w:rPr>
          <w:sz w:val="22"/>
          <w:szCs w:val="22"/>
        </w:rPr>
        <w:t xml:space="preserve">pristatyti ES investicinių fondų 2014–2020 m. veiksmų programos </w:t>
      </w:r>
      <w:r w:rsidR="00115B83" w:rsidRPr="00154396">
        <w:rPr>
          <w:sz w:val="22"/>
          <w:szCs w:val="22"/>
        </w:rPr>
        <w:t xml:space="preserve">(toliau – veiksmų programa) </w:t>
      </w:r>
      <w:r w:rsidR="00227A44" w:rsidRPr="00154396">
        <w:rPr>
          <w:sz w:val="22"/>
          <w:szCs w:val="22"/>
        </w:rPr>
        <w:t>įgyvendinimo būklę</w:t>
      </w:r>
      <w:r w:rsidR="000D1266">
        <w:rPr>
          <w:sz w:val="22"/>
          <w:szCs w:val="22"/>
        </w:rPr>
        <w:t xml:space="preserve"> iki </w:t>
      </w:r>
      <w:r w:rsidR="00CC7888">
        <w:rPr>
          <w:sz w:val="22"/>
          <w:szCs w:val="22"/>
        </w:rPr>
        <w:t>2019-</w:t>
      </w:r>
      <w:r w:rsidR="00D7433A">
        <w:rPr>
          <w:sz w:val="22"/>
          <w:szCs w:val="22"/>
        </w:rPr>
        <w:t>06</w:t>
      </w:r>
      <w:r w:rsidR="00CC7888">
        <w:rPr>
          <w:sz w:val="22"/>
          <w:szCs w:val="22"/>
        </w:rPr>
        <w:t>-3</w:t>
      </w:r>
      <w:r w:rsidR="00D7433A">
        <w:rPr>
          <w:sz w:val="22"/>
          <w:szCs w:val="22"/>
        </w:rPr>
        <w:t>0</w:t>
      </w:r>
      <w:r w:rsidR="00227A44" w:rsidRPr="00154396">
        <w:rPr>
          <w:sz w:val="22"/>
          <w:szCs w:val="22"/>
        </w:rPr>
        <w:t xml:space="preserve"> </w:t>
      </w:r>
      <w:r w:rsidRPr="00154396">
        <w:rPr>
          <w:b/>
          <w:sz w:val="22"/>
          <w:szCs w:val="22"/>
        </w:rPr>
        <w:t>2</w:t>
      </w:r>
      <w:r w:rsidRPr="00F4693D">
        <w:rPr>
          <w:b/>
          <w:sz w:val="22"/>
          <w:szCs w:val="22"/>
        </w:rPr>
        <w:t>)</w:t>
      </w:r>
      <w:r w:rsidRPr="00F4693D">
        <w:rPr>
          <w:sz w:val="22"/>
          <w:szCs w:val="22"/>
        </w:rPr>
        <w:t xml:space="preserve"> </w:t>
      </w:r>
      <w:r w:rsidR="000D1266" w:rsidRPr="00F4693D">
        <w:rPr>
          <w:sz w:val="22"/>
          <w:szCs w:val="22"/>
        </w:rPr>
        <w:t xml:space="preserve">pateikti pasiūlymus dėl </w:t>
      </w:r>
      <w:r w:rsidR="002B00E3" w:rsidRPr="00F4693D">
        <w:rPr>
          <w:sz w:val="22"/>
          <w:szCs w:val="22"/>
        </w:rPr>
        <w:t>efektyvesnio veiksmų programos lėšų panaudojimo laiku</w:t>
      </w:r>
      <w:r w:rsidR="00227A44" w:rsidRPr="00F4693D">
        <w:rPr>
          <w:sz w:val="22"/>
          <w:szCs w:val="22"/>
        </w:rPr>
        <w:t>.</w:t>
      </w:r>
      <w:r w:rsidR="00227A44" w:rsidRPr="00154396">
        <w:rPr>
          <w:sz w:val="22"/>
          <w:szCs w:val="22"/>
        </w:rPr>
        <w:t xml:space="preserve"> </w:t>
      </w:r>
    </w:p>
    <w:p w:rsidR="00B743AB" w:rsidRPr="00245532" w:rsidRDefault="00115B83" w:rsidP="00285501">
      <w:pPr>
        <w:autoSpaceDE w:val="0"/>
        <w:autoSpaceDN w:val="0"/>
        <w:adjustRightInd w:val="0"/>
        <w:ind w:firstLine="567"/>
        <w:jc w:val="center"/>
        <w:rPr>
          <w:b/>
          <w:sz w:val="22"/>
          <w:szCs w:val="22"/>
          <w:u w:val="single"/>
          <w:lang w:eastAsia="lt-LT"/>
        </w:rPr>
      </w:pPr>
      <w:r w:rsidRPr="00245532">
        <w:rPr>
          <w:b/>
          <w:sz w:val="22"/>
          <w:szCs w:val="22"/>
          <w:u w:val="single"/>
          <w:lang w:eastAsia="lt-LT"/>
        </w:rPr>
        <w:t>I. Veiksmų programos įgyvendinimo būklė:</w:t>
      </w:r>
    </w:p>
    <w:p w:rsidR="001F02A2" w:rsidRPr="00245532" w:rsidRDefault="001F02A2" w:rsidP="000C12CD">
      <w:pPr>
        <w:autoSpaceDE w:val="0"/>
        <w:autoSpaceDN w:val="0"/>
        <w:adjustRightInd w:val="0"/>
        <w:ind w:firstLine="567"/>
        <w:rPr>
          <w:b/>
          <w:sz w:val="22"/>
          <w:szCs w:val="22"/>
          <w:u w:val="single"/>
          <w:lang w:eastAsia="lt-LT"/>
        </w:rPr>
      </w:pPr>
    </w:p>
    <w:p w:rsidR="000D1266" w:rsidRDefault="00CC7888" w:rsidP="00CC7888">
      <w:pPr>
        <w:autoSpaceDE w:val="0"/>
        <w:autoSpaceDN w:val="0"/>
        <w:adjustRightInd w:val="0"/>
        <w:ind w:firstLine="567"/>
        <w:rPr>
          <w:sz w:val="22"/>
          <w:szCs w:val="22"/>
          <w:lang w:eastAsia="lt-LT"/>
        </w:rPr>
      </w:pPr>
      <w:r>
        <w:rPr>
          <w:sz w:val="22"/>
          <w:szCs w:val="22"/>
          <w:lang w:eastAsia="lt-LT"/>
        </w:rPr>
        <w:t xml:space="preserve">Nuo veiksmų programos įgyvendinimo pradžios </w:t>
      </w:r>
      <w:r w:rsidR="00495C55">
        <w:rPr>
          <w:sz w:val="22"/>
          <w:szCs w:val="22"/>
          <w:lang w:eastAsia="lt-LT"/>
        </w:rPr>
        <w:t>sudaryta sutarčių už</w:t>
      </w:r>
      <w:r>
        <w:rPr>
          <w:sz w:val="22"/>
          <w:szCs w:val="22"/>
          <w:lang w:eastAsia="lt-LT"/>
        </w:rPr>
        <w:t xml:space="preserve"> </w:t>
      </w:r>
      <w:r w:rsidR="00F75D93" w:rsidRPr="00F75D93">
        <w:rPr>
          <w:b/>
          <w:sz w:val="22"/>
          <w:szCs w:val="22"/>
          <w:lang w:eastAsia="lt-LT"/>
        </w:rPr>
        <w:t xml:space="preserve">4,8 </w:t>
      </w:r>
      <w:r w:rsidR="005E74BE" w:rsidRPr="00CC7888">
        <w:rPr>
          <w:b/>
          <w:sz w:val="22"/>
          <w:szCs w:val="22"/>
          <w:lang w:eastAsia="lt-LT"/>
        </w:rPr>
        <w:t>mlrd.</w:t>
      </w:r>
      <w:r w:rsidR="005E74BE" w:rsidRPr="005E74BE">
        <w:rPr>
          <w:sz w:val="22"/>
          <w:szCs w:val="22"/>
          <w:lang w:eastAsia="lt-LT"/>
        </w:rPr>
        <w:t xml:space="preserve"> eurų (</w:t>
      </w:r>
      <w:r w:rsidR="00F75D93">
        <w:rPr>
          <w:b/>
          <w:sz w:val="22"/>
          <w:szCs w:val="22"/>
          <w:lang w:eastAsia="lt-LT"/>
        </w:rPr>
        <w:t>71</w:t>
      </w:r>
      <w:r w:rsidR="005E74BE" w:rsidRPr="002B00E3">
        <w:rPr>
          <w:b/>
          <w:sz w:val="22"/>
          <w:szCs w:val="22"/>
          <w:lang w:eastAsia="lt-LT"/>
        </w:rPr>
        <w:t xml:space="preserve"> proc.</w:t>
      </w:r>
      <w:r w:rsidR="005E74BE" w:rsidRPr="005E74BE">
        <w:rPr>
          <w:sz w:val="22"/>
          <w:szCs w:val="22"/>
          <w:lang w:eastAsia="lt-LT"/>
        </w:rPr>
        <w:t xml:space="preserve">) ES fondų lėšų. </w:t>
      </w:r>
      <w:r w:rsidRPr="00CC7888">
        <w:rPr>
          <w:sz w:val="22"/>
          <w:szCs w:val="22"/>
          <w:lang w:eastAsia="lt-LT"/>
        </w:rPr>
        <w:t>Per 2019 metų I</w:t>
      </w:r>
      <w:r w:rsidR="00F75D93">
        <w:rPr>
          <w:sz w:val="22"/>
          <w:szCs w:val="22"/>
          <w:lang w:eastAsia="lt-LT"/>
        </w:rPr>
        <w:t>I</w:t>
      </w:r>
      <w:r w:rsidRPr="00CC7888">
        <w:rPr>
          <w:sz w:val="22"/>
          <w:szCs w:val="22"/>
          <w:lang w:eastAsia="lt-LT"/>
        </w:rPr>
        <w:t xml:space="preserve"> ketvirtį sudarytų sutarčių suma (ES fondų lėšos) padidėjo </w:t>
      </w:r>
      <w:r w:rsidR="00F75D93">
        <w:rPr>
          <w:sz w:val="22"/>
          <w:szCs w:val="22"/>
          <w:lang w:eastAsia="lt-LT"/>
        </w:rPr>
        <w:t>3</w:t>
      </w:r>
      <w:r w:rsidR="00D7433A">
        <w:rPr>
          <w:sz w:val="22"/>
          <w:szCs w:val="22"/>
          <w:lang w:eastAsia="lt-LT"/>
        </w:rPr>
        <w:t>,</w:t>
      </w:r>
      <w:r w:rsidR="00102E0E">
        <w:rPr>
          <w:sz w:val="22"/>
          <w:szCs w:val="22"/>
          <w:lang w:eastAsia="lt-LT"/>
        </w:rPr>
        <w:t>4</w:t>
      </w:r>
      <w:r w:rsidR="00F75D93">
        <w:rPr>
          <w:sz w:val="22"/>
          <w:szCs w:val="22"/>
          <w:lang w:eastAsia="lt-LT"/>
        </w:rPr>
        <w:t xml:space="preserve"> </w:t>
      </w:r>
      <w:r w:rsidRPr="00CC7888">
        <w:rPr>
          <w:sz w:val="22"/>
          <w:szCs w:val="22"/>
          <w:lang w:eastAsia="lt-LT"/>
        </w:rPr>
        <w:t>proc. Padidėjo ir paskelbtų kvietimų bei sudarytų projektų sąrašų suma, iki 2019 m. I</w:t>
      </w:r>
      <w:r w:rsidR="00F75D93">
        <w:rPr>
          <w:sz w:val="22"/>
          <w:szCs w:val="22"/>
          <w:lang w:eastAsia="lt-LT"/>
        </w:rPr>
        <w:t>I</w:t>
      </w:r>
      <w:r w:rsidRPr="00CC7888">
        <w:rPr>
          <w:sz w:val="22"/>
          <w:szCs w:val="22"/>
          <w:lang w:eastAsia="lt-LT"/>
        </w:rPr>
        <w:t xml:space="preserve"> ketvirčio pabaigos minėta suma sudarė </w:t>
      </w:r>
      <w:r w:rsidRPr="00CC7888">
        <w:rPr>
          <w:b/>
          <w:sz w:val="22"/>
          <w:szCs w:val="22"/>
          <w:lang w:eastAsia="lt-LT"/>
        </w:rPr>
        <w:t>5,</w:t>
      </w:r>
      <w:r w:rsidR="00B04F85">
        <w:rPr>
          <w:b/>
          <w:sz w:val="22"/>
          <w:szCs w:val="22"/>
          <w:lang w:eastAsia="lt-LT"/>
        </w:rPr>
        <w:t>9</w:t>
      </w:r>
      <w:r w:rsidRPr="00CC7888">
        <w:rPr>
          <w:b/>
          <w:sz w:val="22"/>
          <w:szCs w:val="22"/>
          <w:lang w:eastAsia="lt-LT"/>
        </w:rPr>
        <w:t xml:space="preserve"> mlrd. </w:t>
      </w:r>
      <w:r w:rsidRPr="00CC7888">
        <w:rPr>
          <w:sz w:val="22"/>
          <w:szCs w:val="22"/>
          <w:lang w:eastAsia="lt-LT"/>
        </w:rPr>
        <w:t>eurų (</w:t>
      </w:r>
      <w:r w:rsidRPr="00CC7888">
        <w:rPr>
          <w:b/>
          <w:sz w:val="22"/>
          <w:szCs w:val="22"/>
          <w:lang w:eastAsia="lt-LT"/>
        </w:rPr>
        <w:t>86 proc.</w:t>
      </w:r>
      <w:r w:rsidRPr="00CC7888">
        <w:rPr>
          <w:sz w:val="22"/>
          <w:szCs w:val="22"/>
          <w:lang w:eastAsia="lt-LT"/>
        </w:rPr>
        <w:t xml:space="preserve">) ES fondų lėšų. Per </w:t>
      </w:r>
      <w:r w:rsidR="00C94C1E">
        <w:rPr>
          <w:sz w:val="22"/>
          <w:szCs w:val="22"/>
          <w:lang w:eastAsia="lt-LT"/>
        </w:rPr>
        <w:t>antrą</w:t>
      </w:r>
      <w:r w:rsidRPr="00CC7888">
        <w:rPr>
          <w:sz w:val="22"/>
          <w:szCs w:val="22"/>
          <w:lang w:eastAsia="lt-LT"/>
        </w:rPr>
        <w:t xml:space="preserve"> šių metų ketvirtį išmokėtų lėšų suma padidėjo </w:t>
      </w:r>
      <w:r w:rsidR="00C94C1E">
        <w:rPr>
          <w:sz w:val="22"/>
          <w:szCs w:val="22"/>
          <w:lang w:eastAsia="lt-LT"/>
        </w:rPr>
        <w:t>3</w:t>
      </w:r>
      <w:r w:rsidRPr="00CC7888">
        <w:rPr>
          <w:sz w:val="22"/>
          <w:szCs w:val="22"/>
          <w:lang w:eastAsia="lt-LT"/>
        </w:rPr>
        <w:t xml:space="preserve"> proc., ir sudaro </w:t>
      </w:r>
      <w:r w:rsidRPr="00CC7888">
        <w:rPr>
          <w:b/>
          <w:sz w:val="22"/>
          <w:szCs w:val="22"/>
          <w:lang w:eastAsia="lt-LT"/>
        </w:rPr>
        <w:t>2,</w:t>
      </w:r>
      <w:r w:rsidR="00C94C1E">
        <w:rPr>
          <w:b/>
          <w:sz w:val="22"/>
          <w:szCs w:val="22"/>
          <w:lang w:eastAsia="lt-LT"/>
        </w:rPr>
        <w:t>4</w:t>
      </w:r>
      <w:r w:rsidRPr="00CC7888">
        <w:rPr>
          <w:b/>
          <w:sz w:val="22"/>
          <w:szCs w:val="22"/>
          <w:lang w:eastAsia="lt-LT"/>
        </w:rPr>
        <w:t xml:space="preserve"> mlrd.</w:t>
      </w:r>
      <w:r w:rsidRPr="00CC7888">
        <w:rPr>
          <w:sz w:val="22"/>
          <w:szCs w:val="22"/>
          <w:lang w:eastAsia="lt-LT"/>
        </w:rPr>
        <w:t xml:space="preserve"> eurų (</w:t>
      </w:r>
      <w:r w:rsidRPr="00CC7888">
        <w:rPr>
          <w:b/>
          <w:sz w:val="22"/>
          <w:szCs w:val="22"/>
          <w:lang w:eastAsia="lt-LT"/>
        </w:rPr>
        <w:t>3</w:t>
      </w:r>
      <w:r w:rsidR="00C94C1E">
        <w:rPr>
          <w:b/>
          <w:sz w:val="22"/>
          <w:szCs w:val="22"/>
          <w:lang w:eastAsia="lt-LT"/>
        </w:rPr>
        <w:t>5</w:t>
      </w:r>
      <w:r w:rsidRPr="00CC7888">
        <w:rPr>
          <w:b/>
          <w:sz w:val="22"/>
          <w:szCs w:val="22"/>
          <w:lang w:eastAsia="lt-LT"/>
        </w:rPr>
        <w:t xml:space="preserve"> proc.</w:t>
      </w:r>
      <w:r w:rsidRPr="00CC7888">
        <w:rPr>
          <w:sz w:val="22"/>
          <w:szCs w:val="22"/>
          <w:lang w:eastAsia="lt-LT"/>
        </w:rPr>
        <w:t>). EK</w:t>
      </w:r>
      <w:r>
        <w:rPr>
          <w:sz w:val="22"/>
          <w:szCs w:val="22"/>
          <w:lang w:eastAsia="lt-LT"/>
        </w:rPr>
        <w:t xml:space="preserve"> iš viso</w:t>
      </w:r>
      <w:r w:rsidRPr="00CC7888">
        <w:rPr>
          <w:sz w:val="22"/>
          <w:szCs w:val="22"/>
          <w:lang w:eastAsia="lt-LT"/>
        </w:rPr>
        <w:t xml:space="preserve"> deklaruota </w:t>
      </w:r>
      <w:r w:rsidR="00C94C1E">
        <w:rPr>
          <w:b/>
          <w:sz w:val="22"/>
          <w:szCs w:val="22"/>
          <w:lang w:eastAsia="lt-LT"/>
        </w:rPr>
        <w:t>2</w:t>
      </w:r>
      <w:r w:rsidRPr="00CC7888">
        <w:rPr>
          <w:b/>
          <w:sz w:val="22"/>
          <w:szCs w:val="22"/>
          <w:lang w:eastAsia="lt-LT"/>
        </w:rPr>
        <w:t xml:space="preserve"> mlrd.</w:t>
      </w:r>
      <w:r w:rsidRPr="00CC7888">
        <w:rPr>
          <w:sz w:val="22"/>
          <w:szCs w:val="22"/>
          <w:lang w:eastAsia="lt-LT"/>
        </w:rPr>
        <w:t xml:space="preserve"> eurų (</w:t>
      </w:r>
      <w:r w:rsidR="00C94C1E">
        <w:rPr>
          <w:b/>
          <w:sz w:val="22"/>
          <w:szCs w:val="22"/>
          <w:lang w:eastAsia="lt-LT"/>
        </w:rPr>
        <w:t>30</w:t>
      </w:r>
      <w:r w:rsidRPr="00CC7888">
        <w:rPr>
          <w:b/>
          <w:sz w:val="22"/>
          <w:szCs w:val="22"/>
          <w:lang w:eastAsia="lt-LT"/>
        </w:rPr>
        <w:t xml:space="preserve"> proc.</w:t>
      </w:r>
      <w:r w:rsidRPr="00CC7888">
        <w:rPr>
          <w:sz w:val="22"/>
          <w:szCs w:val="22"/>
          <w:lang w:eastAsia="lt-LT"/>
        </w:rPr>
        <w:t>) ES fondų lėšų.</w:t>
      </w:r>
    </w:p>
    <w:p w:rsidR="005E74BE" w:rsidRPr="002B00E3" w:rsidRDefault="00CC7888" w:rsidP="005E74BE">
      <w:pPr>
        <w:autoSpaceDE w:val="0"/>
        <w:autoSpaceDN w:val="0"/>
        <w:adjustRightInd w:val="0"/>
        <w:ind w:firstLine="567"/>
        <w:rPr>
          <w:b/>
          <w:sz w:val="22"/>
          <w:szCs w:val="22"/>
          <w:lang w:eastAsia="lt-LT"/>
        </w:rPr>
      </w:pPr>
      <w:r w:rsidRPr="00CC7888">
        <w:rPr>
          <w:b/>
          <w:sz w:val="22"/>
          <w:szCs w:val="22"/>
          <w:lang w:eastAsia="lt-LT"/>
        </w:rPr>
        <w:t>Lietuva pagal ES išmokėtas Lietuvai lėšas (3</w:t>
      </w:r>
      <w:r w:rsidR="00C94C1E">
        <w:rPr>
          <w:b/>
          <w:sz w:val="22"/>
          <w:szCs w:val="22"/>
          <w:lang w:eastAsia="lt-LT"/>
        </w:rPr>
        <w:t>5</w:t>
      </w:r>
      <w:r w:rsidRPr="00CC7888">
        <w:rPr>
          <w:b/>
          <w:sz w:val="22"/>
          <w:szCs w:val="22"/>
          <w:lang w:eastAsia="lt-LT"/>
        </w:rPr>
        <w:t xml:space="preserve"> proc. nuo 2014–2020 m. Lietuvai skirto finansavimo) užima </w:t>
      </w:r>
      <w:r w:rsidR="00C94C1E">
        <w:rPr>
          <w:b/>
          <w:sz w:val="22"/>
          <w:szCs w:val="22"/>
          <w:lang w:eastAsia="lt-LT"/>
        </w:rPr>
        <w:t>8</w:t>
      </w:r>
      <w:r w:rsidRPr="00CC7888">
        <w:rPr>
          <w:b/>
          <w:sz w:val="22"/>
          <w:szCs w:val="22"/>
          <w:lang w:eastAsia="lt-LT"/>
        </w:rPr>
        <w:t xml:space="preserve">-ąją vietą tarp visų šalių narių ir viršija ES vidurkį. </w:t>
      </w:r>
      <w:r w:rsidR="005E74BE" w:rsidRPr="002B00E3">
        <w:rPr>
          <w:b/>
          <w:sz w:val="22"/>
          <w:szCs w:val="22"/>
          <w:lang w:eastAsia="lt-LT"/>
        </w:rPr>
        <w:t xml:space="preserve"> </w:t>
      </w:r>
    </w:p>
    <w:p w:rsidR="000D1266" w:rsidRDefault="000D1266" w:rsidP="000D1266">
      <w:pPr>
        <w:autoSpaceDE w:val="0"/>
        <w:autoSpaceDN w:val="0"/>
        <w:adjustRightInd w:val="0"/>
        <w:ind w:firstLine="567"/>
        <w:rPr>
          <w:sz w:val="22"/>
          <w:szCs w:val="22"/>
          <w:lang w:eastAsia="lt-LT"/>
        </w:rPr>
      </w:pPr>
    </w:p>
    <w:p w:rsidR="001F02A2" w:rsidRDefault="00102E0E" w:rsidP="005E74BE">
      <w:pPr>
        <w:autoSpaceDE w:val="0"/>
        <w:autoSpaceDN w:val="0"/>
        <w:adjustRightInd w:val="0"/>
        <w:ind w:firstLine="567"/>
        <w:jc w:val="center"/>
        <w:rPr>
          <w:b/>
          <w:szCs w:val="24"/>
          <w:u w:val="single"/>
          <w:lang w:eastAsia="lt-LT"/>
        </w:rPr>
      </w:pPr>
      <w:r>
        <w:rPr>
          <w:noProof/>
          <w:lang w:eastAsia="lt-LT"/>
        </w:rPr>
        <w:drawing>
          <wp:inline distT="0" distB="0" distL="0" distR="0" wp14:anchorId="691415CE" wp14:editId="42957360">
            <wp:extent cx="5118735" cy="2498502"/>
            <wp:effectExtent l="0" t="0" r="5715" b="16510"/>
            <wp:docPr id="14" name="Diagrama 14"/>
            <wp:cNvGraphicFramePr/>
            <a:graphic xmlns:a="http://schemas.openxmlformats.org/drawingml/2006/main">
              <a:graphicData uri="http://schemas.openxmlformats.org/drawingml/2006/chart">
                <c:chart xmlns:c="http://schemas.openxmlformats.org/drawingml/2006/chart" r:id="rId8"/>
              </a:graphicData>
            </a:graphic>
          </wp:inline>
        </w:drawing>
      </w:r>
    </w:p>
    <w:p w:rsidR="00F518D2" w:rsidRDefault="00F518D2" w:rsidP="0006604E">
      <w:pPr>
        <w:autoSpaceDE w:val="0"/>
        <w:autoSpaceDN w:val="0"/>
        <w:adjustRightInd w:val="0"/>
        <w:rPr>
          <w:b/>
          <w:sz w:val="22"/>
          <w:szCs w:val="22"/>
          <w:u w:val="single"/>
          <w:lang w:eastAsia="lt-LT"/>
        </w:rPr>
      </w:pPr>
    </w:p>
    <w:p w:rsidR="004E1F06" w:rsidRDefault="004E1F06" w:rsidP="000D53A3">
      <w:pPr>
        <w:autoSpaceDE w:val="0"/>
        <w:autoSpaceDN w:val="0"/>
        <w:adjustRightInd w:val="0"/>
        <w:rPr>
          <w:b/>
          <w:sz w:val="22"/>
          <w:szCs w:val="22"/>
          <w:lang w:eastAsia="lt-LT"/>
        </w:rPr>
      </w:pPr>
    </w:p>
    <w:p w:rsidR="00EC3B08" w:rsidRPr="00245532" w:rsidRDefault="00EC3B08" w:rsidP="00D7433A">
      <w:pPr>
        <w:autoSpaceDE w:val="0"/>
        <w:autoSpaceDN w:val="0"/>
        <w:adjustRightInd w:val="0"/>
        <w:jc w:val="center"/>
        <w:rPr>
          <w:b/>
          <w:sz w:val="22"/>
          <w:szCs w:val="22"/>
          <w:lang w:eastAsia="lt-LT"/>
        </w:rPr>
      </w:pPr>
      <w:r w:rsidRPr="00245532">
        <w:rPr>
          <w:b/>
          <w:sz w:val="22"/>
          <w:szCs w:val="22"/>
          <w:lang w:eastAsia="lt-LT"/>
        </w:rPr>
        <w:t>201</w:t>
      </w:r>
      <w:r w:rsidR="006B2A9F">
        <w:rPr>
          <w:b/>
          <w:sz w:val="22"/>
          <w:szCs w:val="22"/>
          <w:lang w:eastAsia="lt-LT"/>
        </w:rPr>
        <w:t>9</w:t>
      </w:r>
      <w:r w:rsidRPr="00245532">
        <w:rPr>
          <w:b/>
          <w:sz w:val="22"/>
          <w:szCs w:val="22"/>
          <w:lang w:eastAsia="lt-LT"/>
        </w:rPr>
        <w:t xml:space="preserve"> m. asignavimų naudojimas</w:t>
      </w:r>
      <w:r w:rsidR="00FA59DE" w:rsidRPr="00245532">
        <w:rPr>
          <w:b/>
          <w:sz w:val="22"/>
          <w:szCs w:val="22"/>
          <w:lang w:eastAsia="lt-LT"/>
        </w:rPr>
        <w:t xml:space="preserve"> ir ministerijų pažanga</w:t>
      </w:r>
      <w:r w:rsidRPr="00245532">
        <w:rPr>
          <w:b/>
          <w:sz w:val="22"/>
          <w:szCs w:val="22"/>
          <w:lang w:eastAsia="lt-LT"/>
        </w:rPr>
        <w:t>.</w:t>
      </w:r>
    </w:p>
    <w:p w:rsidR="004E1F06" w:rsidRPr="004E1F06" w:rsidRDefault="004E1F06" w:rsidP="004E1F06">
      <w:pPr>
        <w:ind w:firstLine="567"/>
        <w:rPr>
          <w:sz w:val="22"/>
          <w:szCs w:val="22"/>
          <w:lang w:eastAsia="lt-LT"/>
        </w:rPr>
      </w:pPr>
      <w:r w:rsidRPr="004E1F06">
        <w:rPr>
          <w:sz w:val="22"/>
          <w:szCs w:val="22"/>
          <w:lang w:eastAsia="lt-LT"/>
        </w:rPr>
        <w:t xml:space="preserve">Nuo periodo pradžios iki 2019 m. II ketvirčio pabaigos didžiausią dalį ministerijoms skirtų ES fondų lėšų yra investavusios Socialinės apsaugos ir darbo (53 proc.) bei Aplinkos (46 proc.) ministerijos. </w:t>
      </w:r>
      <w:r w:rsidR="00A6341B">
        <w:rPr>
          <w:sz w:val="22"/>
          <w:szCs w:val="22"/>
          <w:lang w:eastAsia="lt-LT"/>
        </w:rPr>
        <w:t>P</w:t>
      </w:r>
      <w:r w:rsidRPr="004E1F06">
        <w:rPr>
          <w:sz w:val="22"/>
          <w:szCs w:val="22"/>
          <w:lang w:eastAsia="lt-LT"/>
        </w:rPr>
        <w:t>er ataskaitinį laikotarpį, lyginant su kitomis ministerijomis, daugiausia investuota Sveikatos apsaugos ministerijos (5,5 proc.) ir Kultūros ministerijos (5,2 proc.) administruojamose priemonėse.</w:t>
      </w:r>
    </w:p>
    <w:p w:rsidR="00982AD7" w:rsidRPr="00235E38" w:rsidRDefault="004E1F06" w:rsidP="004E1F06">
      <w:pPr>
        <w:ind w:firstLine="567"/>
        <w:rPr>
          <w:sz w:val="22"/>
          <w:szCs w:val="22"/>
          <w:lang w:eastAsia="lt-LT"/>
        </w:rPr>
      </w:pPr>
      <w:r w:rsidRPr="004E1F06">
        <w:rPr>
          <w:sz w:val="22"/>
          <w:szCs w:val="22"/>
          <w:lang w:eastAsia="lt-LT"/>
        </w:rPr>
        <w:t xml:space="preserve">Iš viso didžiausias pasirašytų sutarčių procentas yra Aplinkos ministerijos (84 proc.) bei Socialinės apsaugos ir darbo ministerijos (81 proc.) administruojamose priemonėse. </w:t>
      </w:r>
    </w:p>
    <w:p w:rsidR="00A6341B" w:rsidRDefault="00A6341B" w:rsidP="00A6341B">
      <w:pPr>
        <w:autoSpaceDE w:val="0"/>
        <w:autoSpaceDN w:val="0"/>
        <w:adjustRightInd w:val="0"/>
        <w:ind w:firstLine="567"/>
        <w:rPr>
          <w:sz w:val="22"/>
          <w:szCs w:val="22"/>
          <w:lang w:eastAsia="lt-LT"/>
        </w:rPr>
      </w:pPr>
      <w:r w:rsidRPr="00A6341B">
        <w:rPr>
          <w:sz w:val="22"/>
          <w:szCs w:val="22"/>
          <w:lang w:eastAsia="lt-LT"/>
        </w:rPr>
        <w:t xml:space="preserve">Per pirmąjį šių metų pusmetį investuota 347 mln. eurų ES fondų lėšų ir tai sudaro </w:t>
      </w:r>
      <w:r w:rsidRPr="00A6341B">
        <w:rPr>
          <w:b/>
          <w:sz w:val="22"/>
          <w:szCs w:val="22"/>
          <w:lang w:eastAsia="lt-LT"/>
        </w:rPr>
        <w:t>29</w:t>
      </w:r>
      <w:r w:rsidRPr="00A6341B">
        <w:rPr>
          <w:sz w:val="22"/>
          <w:szCs w:val="22"/>
          <w:lang w:eastAsia="lt-LT"/>
        </w:rPr>
        <w:t xml:space="preserve"> proc. 2019 m. asignavimų plano (per metus numatyta investuoti </w:t>
      </w:r>
      <w:r w:rsidRPr="00A6341B">
        <w:rPr>
          <w:b/>
          <w:sz w:val="22"/>
          <w:szCs w:val="22"/>
          <w:lang w:eastAsia="lt-LT"/>
        </w:rPr>
        <w:t>1,2 mlrd.</w:t>
      </w:r>
      <w:r w:rsidRPr="00A6341B">
        <w:rPr>
          <w:sz w:val="22"/>
          <w:szCs w:val="22"/>
          <w:lang w:eastAsia="lt-LT"/>
        </w:rPr>
        <w:t xml:space="preserve"> eurų). Pusę šiais metais ministerijai planuotų lėšų jau investavo Ekonomikos ir inovacijų ministerija (51 proc.). Lėčiausias planuotų asignavimų investavimo tempas Kultūros ir Aplinkos ministerijų (19 proc.) administruojamose priemonėse.</w:t>
      </w:r>
    </w:p>
    <w:p w:rsidR="00A6341B" w:rsidRPr="00A6341B" w:rsidRDefault="00A6341B" w:rsidP="00A6341B">
      <w:pPr>
        <w:autoSpaceDE w:val="0"/>
        <w:autoSpaceDN w:val="0"/>
        <w:adjustRightInd w:val="0"/>
        <w:ind w:firstLine="567"/>
        <w:rPr>
          <w:b/>
          <w:sz w:val="22"/>
          <w:szCs w:val="22"/>
          <w:lang w:eastAsia="lt-LT"/>
        </w:rPr>
      </w:pPr>
      <w:r w:rsidRPr="00A6341B">
        <w:rPr>
          <w:b/>
          <w:sz w:val="22"/>
          <w:szCs w:val="22"/>
          <w:lang w:eastAsia="lt-LT"/>
        </w:rPr>
        <w:t>Investicijų sparta atsilieka šiose srityse:</w:t>
      </w:r>
    </w:p>
    <w:p w:rsidR="00A6341B" w:rsidRPr="00A6341B" w:rsidRDefault="00A6341B" w:rsidP="00A6341B">
      <w:pPr>
        <w:autoSpaceDE w:val="0"/>
        <w:autoSpaceDN w:val="0"/>
        <w:adjustRightInd w:val="0"/>
        <w:ind w:firstLine="567"/>
        <w:rPr>
          <w:sz w:val="22"/>
          <w:szCs w:val="22"/>
          <w:lang w:eastAsia="lt-LT"/>
        </w:rPr>
      </w:pPr>
      <w:r w:rsidRPr="00A6341B">
        <w:rPr>
          <w:sz w:val="22"/>
          <w:szCs w:val="22"/>
          <w:lang w:eastAsia="lt-LT"/>
        </w:rPr>
        <w:t>•</w:t>
      </w:r>
      <w:r w:rsidRPr="00A6341B">
        <w:rPr>
          <w:sz w:val="22"/>
          <w:szCs w:val="22"/>
          <w:lang w:eastAsia="lt-LT"/>
        </w:rPr>
        <w:tab/>
        <w:t>Viešojo administravimo</w:t>
      </w:r>
      <w:r>
        <w:rPr>
          <w:sz w:val="22"/>
          <w:szCs w:val="22"/>
          <w:lang w:eastAsia="lt-LT"/>
        </w:rPr>
        <w:t xml:space="preserve"> srityje</w:t>
      </w:r>
      <w:r w:rsidRPr="00A6341B">
        <w:rPr>
          <w:sz w:val="22"/>
          <w:szCs w:val="22"/>
          <w:lang w:eastAsia="lt-LT"/>
        </w:rPr>
        <w:t>;</w:t>
      </w:r>
    </w:p>
    <w:p w:rsidR="00A6341B" w:rsidRPr="00A6341B" w:rsidRDefault="00A6341B" w:rsidP="00A6341B">
      <w:pPr>
        <w:autoSpaceDE w:val="0"/>
        <w:autoSpaceDN w:val="0"/>
        <w:adjustRightInd w:val="0"/>
        <w:ind w:firstLine="567"/>
        <w:rPr>
          <w:sz w:val="22"/>
          <w:szCs w:val="22"/>
          <w:lang w:eastAsia="lt-LT"/>
        </w:rPr>
      </w:pPr>
      <w:r w:rsidRPr="00A6341B">
        <w:rPr>
          <w:sz w:val="22"/>
          <w:szCs w:val="22"/>
          <w:lang w:eastAsia="lt-LT"/>
        </w:rPr>
        <w:t>•</w:t>
      </w:r>
      <w:r w:rsidRPr="00A6341B">
        <w:rPr>
          <w:sz w:val="22"/>
          <w:szCs w:val="22"/>
          <w:lang w:eastAsia="lt-LT"/>
        </w:rPr>
        <w:tab/>
        <w:t xml:space="preserve">Valstybės išteklių konsolidavimo ir duomenų atvėrimo srityje; </w:t>
      </w:r>
    </w:p>
    <w:p w:rsidR="00A6341B" w:rsidRPr="00A6341B" w:rsidRDefault="00A6341B" w:rsidP="00A6341B">
      <w:pPr>
        <w:autoSpaceDE w:val="0"/>
        <w:autoSpaceDN w:val="0"/>
        <w:adjustRightInd w:val="0"/>
        <w:ind w:firstLine="567"/>
        <w:rPr>
          <w:sz w:val="22"/>
          <w:szCs w:val="22"/>
          <w:lang w:eastAsia="lt-LT"/>
        </w:rPr>
      </w:pPr>
      <w:r w:rsidRPr="00A6341B">
        <w:rPr>
          <w:sz w:val="22"/>
          <w:szCs w:val="22"/>
          <w:lang w:eastAsia="lt-LT"/>
        </w:rPr>
        <w:t>•</w:t>
      </w:r>
      <w:r w:rsidRPr="00A6341B">
        <w:rPr>
          <w:sz w:val="22"/>
          <w:szCs w:val="22"/>
          <w:lang w:eastAsia="lt-LT"/>
        </w:rPr>
        <w:tab/>
        <w:t>Strateginės infrastruktūros plėtojime</w:t>
      </w:r>
      <w:r>
        <w:rPr>
          <w:sz w:val="22"/>
          <w:szCs w:val="22"/>
          <w:lang w:eastAsia="lt-LT"/>
        </w:rPr>
        <w:t>:</w:t>
      </w:r>
      <w:r w:rsidRPr="00A6341B">
        <w:rPr>
          <w:sz w:val="22"/>
          <w:szCs w:val="22"/>
          <w:lang w:eastAsia="lt-LT"/>
        </w:rPr>
        <w:t xml:space="preserve"> investavimas į </w:t>
      </w:r>
      <w:r w:rsidR="00D7433A">
        <w:rPr>
          <w:sz w:val="22"/>
          <w:szCs w:val="22"/>
          <w:lang w:eastAsia="lt-LT"/>
        </w:rPr>
        <w:t xml:space="preserve">jūros transporto </w:t>
      </w:r>
      <w:r w:rsidRPr="00A6341B">
        <w:rPr>
          <w:sz w:val="22"/>
          <w:szCs w:val="22"/>
          <w:lang w:eastAsia="lt-LT"/>
        </w:rPr>
        <w:t xml:space="preserve">eismo sąlygų gerinimą </w:t>
      </w:r>
      <w:r w:rsidR="00D7433A">
        <w:rPr>
          <w:sz w:val="22"/>
          <w:szCs w:val="22"/>
          <w:lang w:eastAsia="lt-LT"/>
        </w:rPr>
        <w:t xml:space="preserve">Klaipėdos </w:t>
      </w:r>
      <w:r w:rsidRPr="00A6341B">
        <w:rPr>
          <w:sz w:val="22"/>
          <w:szCs w:val="22"/>
          <w:lang w:eastAsia="lt-LT"/>
        </w:rPr>
        <w:t>uoste;</w:t>
      </w:r>
    </w:p>
    <w:p w:rsidR="00A6341B" w:rsidRPr="00A6341B" w:rsidRDefault="00A6341B" w:rsidP="00A6341B">
      <w:pPr>
        <w:autoSpaceDE w:val="0"/>
        <w:autoSpaceDN w:val="0"/>
        <w:adjustRightInd w:val="0"/>
        <w:ind w:firstLine="567"/>
        <w:rPr>
          <w:sz w:val="22"/>
          <w:szCs w:val="22"/>
          <w:lang w:eastAsia="lt-LT"/>
        </w:rPr>
      </w:pPr>
      <w:r w:rsidRPr="00A6341B">
        <w:rPr>
          <w:sz w:val="22"/>
          <w:szCs w:val="22"/>
          <w:lang w:eastAsia="lt-LT"/>
        </w:rPr>
        <w:t>•</w:t>
      </w:r>
      <w:r w:rsidRPr="00A6341B">
        <w:rPr>
          <w:sz w:val="22"/>
          <w:szCs w:val="22"/>
          <w:lang w:eastAsia="lt-LT"/>
        </w:rPr>
        <w:tab/>
        <w:t>Švietimo srityje</w:t>
      </w:r>
      <w:r>
        <w:rPr>
          <w:sz w:val="22"/>
          <w:szCs w:val="22"/>
          <w:lang w:eastAsia="lt-LT"/>
        </w:rPr>
        <w:t>:</w:t>
      </w:r>
      <w:r w:rsidRPr="00A6341B">
        <w:rPr>
          <w:sz w:val="22"/>
          <w:szCs w:val="22"/>
          <w:lang w:eastAsia="lt-LT"/>
        </w:rPr>
        <w:t xml:space="preserve"> investicijos į praktinių įgūdžių rėmimą ir skatinimą;</w:t>
      </w:r>
    </w:p>
    <w:p w:rsidR="00A6341B" w:rsidRDefault="00A6341B" w:rsidP="00A6341B">
      <w:pPr>
        <w:autoSpaceDE w:val="0"/>
        <w:autoSpaceDN w:val="0"/>
        <w:adjustRightInd w:val="0"/>
        <w:ind w:firstLine="567"/>
        <w:rPr>
          <w:sz w:val="22"/>
          <w:szCs w:val="22"/>
          <w:lang w:eastAsia="lt-LT"/>
        </w:rPr>
      </w:pPr>
      <w:r w:rsidRPr="00A6341B">
        <w:rPr>
          <w:sz w:val="22"/>
          <w:szCs w:val="22"/>
          <w:lang w:eastAsia="lt-LT"/>
        </w:rPr>
        <w:t>•</w:t>
      </w:r>
      <w:r w:rsidRPr="00A6341B">
        <w:rPr>
          <w:sz w:val="22"/>
          <w:szCs w:val="22"/>
          <w:lang w:eastAsia="lt-LT"/>
        </w:rPr>
        <w:tab/>
        <w:t>Energijos efektyvumo didinimo srityje</w:t>
      </w:r>
      <w:r>
        <w:rPr>
          <w:sz w:val="22"/>
          <w:szCs w:val="22"/>
          <w:lang w:eastAsia="lt-LT"/>
        </w:rPr>
        <w:t xml:space="preserve">: </w:t>
      </w:r>
      <w:r w:rsidRPr="00A6341B">
        <w:rPr>
          <w:sz w:val="22"/>
          <w:szCs w:val="22"/>
          <w:lang w:eastAsia="lt-LT"/>
        </w:rPr>
        <w:t>savivaldybių viešųjų pastatų atnaujinimo ir daugiabučių namų modernizavimo techninės paramos priemonės</w:t>
      </w:r>
      <w:r>
        <w:rPr>
          <w:sz w:val="22"/>
          <w:szCs w:val="22"/>
          <w:lang w:eastAsia="lt-LT"/>
        </w:rPr>
        <w:t xml:space="preserve"> (Aplinkos ministerijos). </w:t>
      </w:r>
    </w:p>
    <w:p w:rsidR="00D7433A" w:rsidRDefault="00D7433A" w:rsidP="00A6341B">
      <w:pPr>
        <w:autoSpaceDE w:val="0"/>
        <w:autoSpaceDN w:val="0"/>
        <w:adjustRightInd w:val="0"/>
        <w:ind w:firstLine="567"/>
        <w:rPr>
          <w:sz w:val="22"/>
          <w:szCs w:val="22"/>
          <w:lang w:eastAsia="lt-LT"/>
        </w:rPr>
      </w:pPr>
    </w:p>
    <w:p w:rsidR="00D7433A" w:rsidRPr="00D7433A" w:rsidRDefault="00D7433A" w:rsidP="00D7433A">
      <w:pPr>
        <w:autoSpaceDE w:val="0"/>
        <w:autoSpaceDN w:val="0"/>
        <w:adjustRightInd w:val="0"/>
        <w:ind w:firstLine="567"/>
        <w:jc w:val="center"/>
        <w:rPr>
          <w:b/>
          <w:sz w:val="22"/>
          <w:szCs w:val="22"/>
          <w:lang w:eastAsia="lt-LT"/>
        </w:rPr>
      </w:pPr>
      <w:r w:rsidRPr="00D7433A">
        <w:rPr>
          <w:b/>
          <w:sz w:val="22"/>
          <w:szCs w:val="22"/>
          <w:lang w:eastAsia="lt-LT"/>
        </w:rPr>
        <w:t>Ministerijų investavimo būklė</w:t>
      </w:r>
      <w:r>
        <w:rPr>
          <w:b/>
          <w:sz w:val="22"/>
          <w:szCs w:val="22"/>
          <w:lang w:eastAsia="lt-LT"/>
        </w:rPr>
        <w:t xml:space="preserve"> 2019-06-30</w:t>
      </w:r>
      <w:r w:rsidRPr="00D7433A">
        <w:rPr>
          <w:b/>
          <w:sz w:val="22"/>
          <w:szCs w:val="22"/>
          <w:lang w:eastAsia="lt-LT"/>
        </w:rPr>
        <w:t>:</w:t>
      </w:r>
    </w:p>
    <w:p w:rsidR="008F1852" w:rsidRPr="006E32C4" w:rsidRDefault="009A2F71" w:rsidP="00235E38">
      <w:pPr>
        <w:autoSpaceDE w:val="0"/>
        <w:autoSpaceDN w:val="0"/>
        <w:adjustRightInd w:val="0"/>
        <w:ind w:firstLine="567"/>
        <w:jc w:val="left"/>
        <w:rPr>
          <w:b/>
          <w:sz w:val="22"/>
          <w:szCs w:val="22"/>
          <w:lang w:eastAsia="lt-LT"/>
        </w:rPr>
      </w:pPr>
      <w:r>
        <w:rPr>
          <w:noProof/>
          <w:lang w:eastAsia="lt-LT"/>
        </w:rPr>
        <w:lastRenderedPageBreak/>
        <w:drawing>
          <wp:inline distT="0" distB="0" distL="0" distR="0" wp14:anchorId="0F788E03" wp14:editId="1EECB9F2">
            <wp:extent cx="6120130" cy="3228841"/>
            <wp:effectExtent l="0" t="0" r="13970" b="10160"/>
            <wp:docPr id="12" name="Diagrama 12"/>
            <wp:cNvGraphicFramePr/>
            <a:graphic xmlns:a="http://schemas.openxmlformats.org/drawingml/2006/main">
              <a:graphicData uri="http://schemas.openxmlformats.org/drawingml/2006/chart">
                <c:chart xmlns:c="http://schemas.openxmlformats.org/drawingml/2006/chart" r:id="rId9"/>
              </a:graphicData>
            </a:graphic>
          </wp:inline>
        </w:drawing>
      </w:r>
    </w:p>
    <w:p w:rsidR="00EC3B08" w:rsidRDefault="00EC3B08" w:rsidP="00FA59DE">
      <w:pPr>
        <w:autoSpaceDE w:val="0"/>
        <w:autoSpaceDN w:val="0"/>
        <w:adjustRightInd w:val="0"/>
        <w:ind w:firstLine="567"/>
        <w:jc w:val="center"/>
        <w:rPr>
          <w:sz w:val="22"/>
          <w:szCs w:val="22"/>
          <w:lang w:eastAsia="lt-LT"/>
        </w:rPr>
      </w:pPr>
    </w:p>
    <w:p w:rsidR="00EC3B08" w:rsidRDefault="00EC3B08" w:rsidP="00EC3B08">
      <w:pPr>
        <w:autoSpaceDE w:val="0"/>
        <w:autoSpaceDN w:val="0"/>
        <w:adjustRightInd w:val="0"/>
        <w:ind w:firstLine="567"/>
        <w:jc w:val="center"/>
        <w:rPr>
          <w:sz w:val="22"/>
          <w:szCs w:val="22"/>
          <w:lang w:eastAsia="lt-LT"/>
        </w:rPr>
      </w:pPr>
    </w:p>
    <w:p w:rsidR="00EC3B08" w:rsidRDefault="00235E38" w:rsidP="00CB10CA">
      <w:pPr>
        <w:autoSpaceDE w:val="0"/>
        <w:autoSpaceDN w:val="0"/>
        <w:adjustRightInd w:val="0"/>
        <w:ind w:firstLine="567"/>
        <w:jc w:val="center"/>
        <w:rPr>
          <w:b/>
          <w:sz w:val="22"/>
          <w:szCs w:val="22"/>
          <w:u w:val="single"/>
          <w:lang w:eastAsia="lt-LT"/>
        </w:rPr>
      </w:pPr>
      <w:r>
        <w:rPr>
          <w:b/>
          <w:sz w:val="22"/>
          <w:szCs w:val="22"/>
          <w:u w:val="single"/>
          <w:lang w:eastAsia="lt-LT"/>
        </w:rPr>
        <w:t>Situacijos analizė ir siūlymai</w:t>
      </w:r>
      <w:r w:rsidR="00842E35">
        <w:rPr>
          <w:b/>
          <w:sz w:val="22"/>
          <w:szCs w:val="22"/>
          <w:u w:val="single"/>
          <w:lang w:eastAsia="lt-LT"/>
        </w:rPr>
        <w:t xml:space="preserve"> </w:t>
      </w:r>
      <w:r w:rsidR="008B47F9">
        <w:rPr>
          <w:b/>
          <w:sz w:val="22"/>
          <w:szCs w:val="22"/>
          <w:u w:val="single"/>
          <w:lang w:eastAsia="lt-LT"/>
        </w:rPr>
        <w:t xml:space="preserve">dėl </w:t>
      </w:r>
      <w:r w:rsidR="00510EB8">
        <w:rPr>
          <w:b/>
          <w:sz w:val="22"/>
          <w:szCs w:val="22"/>
          <w:u w:val="single"/>
          <w:lang w:eastAsia="lt-LT"/>
        </w:rPr>
        <w:t>procesų tobulinimo</w:t>
      </w:r>
    </w:p>
    <w:p w:rsidR="00235E38" w:rsidRDefault="00235E38" w:rsidP="00CB10CA">
      <w:pPr>
        <w:autoSpaceDE w:val="0"/>
        <w:autoSpaceDN w:val="0"/>
        <w:adjustRightInd w:val="0"/>
        <w:ind w:firstLine="567"/>
        <w:jc w:val="center"/>
        <w:rPr>
          <w:b/>
          <w:sz w:val="22"/>
          <w:szCs w:val="22"/>
          <w:u w:val="single"/>
          <w:lang w:eastAsia="lt-LT"/>
        </w:rPr>
      </w:pPr>
    </w:p>
    <w:p w:rsidR="002A1BA4" w:rsidRPr="00D7433A" w:rsidRDefault="00C055BE" w:rsidP="002A1BA4">
      <w:pPr>
        <w:autoSpaceDE w:val="0"/>
        <w:autoSpaceDN w:val="0"/>
        <w:adjustRightInd w:val="0"/>
        <w:ind w:firstLine="567"/>
        <w:rPr>
          <w:sz w:val="22"/>
          <w:szCs w:val="22"/>
          <w:u w:val="single"/>
          <w:lang w:eastAsia="lt-LT"/>
        </w:rPr>
      </w:pPr>
      <w:r w:rsidRPr="00D7433A">
        <w:rPr>
          <w:sz w:val="22"/>
          <w:szCs w:val="22"/>
          <w:u w:val="single"/>
          <w:lang w:eastAsia="lt-LT"/>
        </w:rPr>
        <w:t xml:space="preserve">Iš </w:t>
      </w:r>
      <w:r w:rsidR="00D7433A">
        <w:rPr>
          <w:sz w:val="22"/>
          <w:szCs w:val="22"/>
          <w:u w:val="single"/>
          <w:lang w:eastAsia="lt-LT"/>
        </w:rPr>
        <w:t>visų</w:t>
      </w:r>
      <w:r w:rsidRPr="00D7433A">
        <w:rPr>
          <w:sz w:val="22"/>
          <w:szCs w:val="22"/>
          <w:u w:val="single"/>
          <w:lang w:eastAsia="lt-LT"/>
        </w:rPr>
        <w:t xml:space="preserve"> pasiūlymų</w:t>
      </w:r>
      <w:r w:rsidR="00D7433A">
        <w:rPr>
          <w:sz w:val="22"/>
          <w:szCs w:val="22"/>
          <w:u w:val="single"/>
          <w:lang w:eastAsia="lt-LT"/>
        </w:rPr>
        <w:t xml:space="preserve">, teikiamų ataskaitoje, </w:t>
      </w:r>
      <w:r w:rsidRPr="00D7433A">
        <w:rPr>
          <w:sz w:val="22"/>
          <w:szCs w:val="22"/>
          <w:u w:val="single"/>
          <w:lang w:eastAsia="lt-LT"/>
        </w:rPr>
        <w:t xml:space="preserve">paminėtini </w:t>
      </w:r>
      <w:r w:rsidR="00D7433A">
        <w:rPr>
          <w:sz w:val="22"/>
          <w:szCs w:val="22"/>
          <w:u w:val="single"/>
          <w:lang w:eastAsia="lt-LT"/>
        </w:rPr>
        <w:t>svarbiausi</w:t>
      </w:r>
      <w:r w:rsidRPr="00D7433A">
        <w:rPr>
          <w:sz w:val="22"/>
          <w:szCs w:val="22"/>
          <w:u w:val="single"/>
          <w:lang w:eastAsia="lt-LT"/>
        </w:rPr>
        <w:t>:</w:t>
      </w:r>
    </w:p>
    <w:p w:rsidR="00C055BE" w:rsidRDefault="00C055BE" w:rsidP="00C055BE">
      <w:pPr>
        <w:autoSpaceDE w:val="0"/>
        <w:autoSpaceDN w:val="0"/>
        <w:adjustRightInd w:val="0"/>
        <w:ind w:firstLine="567"/>
        <w:rPr>
          <w:sz w:val="22"/>
          <w:szCs w:val="22"/>
          <w:lang w:eastAsia="lt-LT"/>
        </w:rPr>
      </w:pPr>
      <w:r w:rsidRPr="00C055BE">
        <w:rPr>
          <w:b/>
          <w:sz w:val="22"/>
          <w:szCs w:val="22"/>
          <w:lang w:eastAsia="lt-LT"/>
        </w:rPr>
        <w:t>2 prioriteto</w:t>
      </w:r>
      <w:r w:rsidR="00303764" w:rsidRPr="00303764">
        <w:t xml:space="preserve"> </w:t>
      </w:r>
      <w:r w:rsidR="00303764" w:rsidRPr="00303764">
        <w:rPr>
          <w:b/>
          <w:sz w:val="22"/>
          <w:szCs w:val="22"/>
          <w:lang w:eastAsia="lt-LT"/>
        </w:rPr>
        <w:t>Informacinės visuomenės skatinimas</w:t>
      </w:r>
      <w:r w:rsidRPr="00C055BE">
        <w:rPr>
          <w:sz w:val="22"/>
          <w:szCs w:val="22"/>
          <w:lang w:eastAsia="lt-LT"/>
        </w:rPr>
        <w:t xml:space="preserve"> įgyvendinimas pasižymi pakankama sutarčių sudarymo pažanga (94 proc.), tačiau atsilieka investavimas, kuris iki 2019 m. II </w:t>
      </w:r>
      <w:proofErr w:type="spellStart"/>
      <w:r w:rsidRPr="00C055BE">
        <w:rPr>
          <w:sz w:val="22"/>
          <w:szCs w:val="22"/>
          <w:lang w:eastAsia="lt-LT"/>
        </w:rPr>
        <w:t>ketv</w:t>
      </w:r>
      <w:proofErr w:type="spellEnd"/>
      <w:r w:rsidRPr="00C055BE">
        <w:rPr>
          <w:sz w:val="22"/>
          <w:szCs w:val="22"/>
          <w:lang w:eastAsia="lt-LT"/>
        </w:rPr>
        <w:t xml:space="preserve">. pabaigos sudarė tik </w:t>
      </w:r>
      <w:r w:rsidRPr="00C055BE">
        <w:rPr>
          <w:b/>
          <w:sz w:val="22"/>
          <w:szCs w:val="22"/>
          <w:lang w:eastAsia="lt-LT"/>
        </w:rPr>
        <w:t>16 proc.</w:t>
      </w:r>
      <w:r w:rsidRPr="00C055BE">
        <w:rPr>
          <w:sz w:val="22"/>
          <w:szCs w:val="22"/>
          <w:lang w:eastAsia="lt-LT"/>
        </w:rPr>
        <w:t xml:space="preserve"> Investavimas atsilieka, nes didžiausios vertės projektai pradėti įgyvendinti tik 2018 m. pabaigoje, šiuo metu vyksta pagrindiniai šių projektų viešieji pirkimai.</w:t>
      </w:r>
      <w:r>
        <w:rPr>
          <w:sz w:val="22"/>
          <w:szCs w:val="22"/>
          <w:lang w:eastAsia="lt-LT"/>
        </w:rPr>
        <w:t xml:space="preserve"> </w:t>
      </w:r>
      <w:r w:rsidRPr="00C055BE">
        <w:rPr>
          <w:b/>
          <w:sz w:val="22"/>
          <w:szCs w:val="22"/>
          <w:lang w:eastAsia="lt-LT"/>
        </w:rPr>
        <w:t>Pasiūlyma</w:t>
      </w:r>
      <w:r>
        <w:rPr>
          <w:b/>
          <w:sz w:val="22"/>
          <w:szCs w:val="22"/>
          <w:lang w:eastAsia="lt-LT"/>
        </w:rPr>
        <w:t>i</w:t>
      </w:r>
      <w:r w:rsidRPr="00C055BE">
        <w:rPr>
          <w:b/>
          <w:sz w:val="22"/>
          <w:szCs w:val="22"/>
          <w:lang w:eastAsia="lt-LT"/>
        </w:rPr>
        <w:t>:</w:t>
      </w:r>
      <w:r>
        <w:rPr>
          <w:b/>
          <w:sz w:val="22"/>
          <w:szCs w:val="22"/>
          <w:lang w:eastAsia="lt-LT"/>
        </w:rPr>
        <w:t xml:space="preserve"> 1) </w:t>
      </w:r>
      <w:r>
        <w:rPr>
          <w:sz w:val="22"/>
          <w:szCs w:val="22"/>
          <w:lang w:eastAsia="lt-LT"/>
        </w:rPr>
        <w:t xml:space="preserve">Sveikatos </w:t>
      </w:r>
      <w:r w:rsidR="00D7433A">
        <w:rPr>
          <w:sz w:val="22"/>
          <w:szCs w:val="22"/>
          <w:lang w:eastAsia="lt-LT"/>
        </w:rPr>
        <w:t xml:space="preserve">apsaugos </w:t>
      </w:r>
      <w:r>
        <w:rPr>
          <w:sz w:val="22"/>
          <w:szCs w:val="22"/>
          <w:lang w:eastAsia="lt-LT"/>
        </w:rPr>
        <w:t>ministerijai</w:t>
      </w:r>
      <w:r w:rsidRPr="00C055BE">
        <w:rPr>
          <w:sz w:val="22"/>
          <w:szCs w:val="22"/>
          <w:lang w:eastAsia="lt-LT"/>
        </w:rPr>
        <w:t xml:space="preserve"> </w:t>
      </w:r>
      <w:r>
        <w:rPr>
          <w:sz w:val="22"/>
          <w:szCs w:val="22"/>
          <w:lang w:eastAsia="lt-LT"/>
        </w:rPr>
        <w:t xml:space="preserve"> </w:t>
      </w:r>
      <w:r>
        <w:rPr>
          <w:sz w:val="22"/>
          <w:szCs w:val="22"/>
          <w:lang w:eastAsia="lt-LT"/>
        </w:rPr>
        <w:t>i</w:t>
      </w:r>
      <w:r w:rsidRPr="00C055BE">
        <w:rPr>
          <w:sz w:val="22"/>
          <w:szCs w:val="22"/>
          <w:lang w:eastAsia="lt-LT"/>
        </w:rPr>
        <w:t>ki 2019</w:t>
      </w:r>
      <w:r>
        <w:rPr>
          <w:sz w:val="22"/>
          <w:szCs w:val="22"/>
          <w:lang w:eastAsia="lt-LT"/>
        </w:rPr>
        <w:t>-09-20</w:t>
      </w:r>
      <w:r w:rsidRPr="00C055BE">
        <w:rPr>
          <w:sz w:val="22"/>
          <w:szCs w:val="22"/>
          <w:lang w:eastAsia="lt-LT"/>
        </w:rPr>
        <w:t xml:space="preserve"> pateikti</w:t>
      </w:r>
      <w:r>
        <w:rPr>
          <w:sz w:val="22"/>
          <w:szCs w:val="22"/>
          <w:lang w:eastAsia="lt-LT"/>
        </w:rPr>
        <w:t xml:space="preserve"> </w:t>
      </w:r>
      <w:r w:rsidRPr="00C055BE">
        <w:rPr>
          <w:sz w:val="22"/>
          <w:szCs w:val="22"/>
          <w:lang w:eastAsia="lt-LT"/>
        </w:rPr>
        <w:t>patikslintą projekto „Elektroninės sveikatos paslaugų ir bendradarbiavimo infrastruktūros informacinės sistemos plėtra“ investicijų projektą</w:t>
      </w:r>
      <w:r>
        <w:rPr>
          <w:sz w:val="22"/>
          <w:szCs w:val="22"/>
          <w:lang w:eastAsia="lt-LT"/>
        </w:rPr>
        <w:t xml:space="preserve">, o </w:t>
      </w:r>
      <w:r w:rsidRPr="00C055BE">
        <w:rPr>
          <w:sz w:val="22"/>
          <w:szCs w:val="22"/>
          <w:lang w:eastAsia="lt-LT"/>
        </w:rPr>
        <w:t>Susisiekimo ministerijai</w:t>
      </w:r>
      <w:r>
        <w:rPr>
          <w:sz w:val="22"/>
          <w:szCs w:val="22"/>
          <w:lang w:eastAsia="lt-LT"/>
        </w:rPr>
        <w:t xml:space="preserve"> iki 2019-10-31 įtraukti projektą </w:t>
      </w:r>
      <w:r w:rsidRPr="00C055BE">
        <w:rPr>
          <w:sz w:val="22"/>
          <w:szCs w:val="22"/>
          <w:lang w:eastAsia="lt-LT"/>
        </w:rPr>
        <w:t>į valstybės projektų sąrašą</w:t>
      </w:r>
      <w:r>
        <w:rPr>
          <w:sz w:val="22"/>
          <w:szCs w:val="22"/>
          <w:lang w:eastAsia="lt-LT"/>
        </w:rPr>
        <w:t xml:space="preserve">. </w:t>
      </w:r>
      <w:r w:rsidRPr="00C055BE">
        <w:rPr>
          <w:b/>
          <w:sz w:val="22"/>
          <w:szCs w:val="22"/>
          <w:lang w:eastAsia="lt-LT"/>
        </w:rPr>
        <w:t>2)</w:t>
      </w:r>
      <w:r>
        <w:rPr>
          <w:b/>
          <w:sz w:val="22"/>
          <w:szCs w:val="22"/>
          <w:lang w:eastAsia="lt-LT"/>
        </w:rPr>
        <w:t xml:space="preserve"> </w:t>
      </w:r>
      <w:r w:rsidRPr="00C055BE">
        <w:rPr>
          <w:sz w:val="22"/>
          <w:szCs w:val="22"/>
          <w:lang w:eastAsia="lt-LT"/>
        </w:rPr>
        <w:t>Krašto apsaugos ministerijai</w:t>
      </w:r>
      <w:r w:rsidRPr="00C055BE">
        <w:rPr>
          <w:sz w:val="22"/>
          <w:szCs w:val="22"/>
          <w:lang w:eastAsia="lt-LT"/>
        </w:rPr>
        <w:t xml:space="preserve"> </w:t>
      </w:r>
      <w:r>
        <w:rPr>
          <w:sz w:val="22"/>
          <w:szCs w:val="22"/>
          <w:lang w:eastAsia="lt-LT"/>
        </w:rPr>
        <w:t>u</w:t>
      </w:r>
      <w:r w:rsidRPr="00C055BE">
        <w:rPr>
          <w:sz w:val="22"/>
          <w:szCs w:val="22"/>
          <w:lang w:eastAsia="lt-LT"/>
        </w:rPr>
        <w:t>žtikrinti, kad iki 2019</w:t>
      </w:r>
      <w:r>
        <w:rPr>
          <w:sz w:val="22"/>
          <w:szCs w:val="22"/>
          <w:lang w:eastAsia="lt-LT"/>
        </w:rPr>
        <w:t>-11-</w:t>
      </w:r>
      <w:r w:rsidRPr="00C055BE">
        <w:rPr>
          <w:sz w:val="22"/>
          <w:szCs w:val="22"/>
          <w:lang w:eastAsia="lt-LT"/>
        </w:rPr>
        <w:t>30 būtų paruoštos IT konsolidavimo projekto įrangos talpinimui reikalingos duomenų centrų patalpos</w:t>
      </w:r>
      <w:r>
        <w:rPr>
          <w:sz w:val="22"/>
          <w:szCs w:val="22"/>
          <w:lang w:eastAsia="lt-LT"/>
        </w:rPr>
        <w:t xml:space="preserve">. </w:t>
      </w:r>
    </w:p>
    <w:p w:rsidR="00C055BE" w:rsidRDefault="00303764" w:rsidP="00303764">
      <w:pPr>
        <w:autoSpaceDE w:val="0"/>
        <w:autoSpaceDN w:val="0"/>
        <w:adjustRightInd w:val="0"/>
        <w:ind w:firstLine="567"/>
        <w:rPr>
          <w:sz w:val="22"/>
          <w:szCs w:val="22"/>
          <w:lang w:eastAsia="lt-LT"/>
        </w:rPr>
      </w:pPr>
      <w:r w:rsidRPr="00303764">
        <w:rPr>
          <w:b/>
          <w:sz w:val="22"/>
          <w:szCs w:val="22"/>
          <w:lang w:eastAsia="lt-LT"/>
        </w:rPr>
        <w:t>4 prioritet</w:t>
      </w:r>
      <w:r w:rsidRPr="00303764">
        <w:rPr>
          <w:b/>
          <w:sz w:val="22"/>
          <w:szCs w:val="22"/>
          <w:lang w:eastAsia="lt-LT"/>
        </w:rPr>
        <w:t>o</w:t>
      </w:r>
      <w:r w:rsidRPr="00303764">
        <w:rPr>
          <w:b/>
          <w:sz w:val="22"/>
          <w:szCs w:val="22"/>
          <w:lang w:eastAsia="lt-LT"/>
        </w:rPr>
        <w:t xml:space="preserve"> Energijos efektyvumo ir atsinaujinančių išteklių energijos gamybos ir naudojimo skatinimas</w:t>
      </w:r>
      <w:r>
        <w:rPr>
          <w:sz w:val="22"/>
          <w:szCs w:val="22"/>
          <w:lang w:eastAsia="lt-LT"/>
        </w:rPr>
        <w:t xml:space="preserve"> </w:t>
      </w:r>
      <w:bookmarkStart w:id="2" w:name="_Hlk19619369"/>
      <w:r>
        <w:rPr>
          <w:sz w:val="22"/>
          <w:szCs w:val="22"/>
          <w:lang w:eastAsia="lt-LT"/>
        </w:rPr>
        <w:t>įgyvendinimas</w:t>
      </w:r>
      <w:bookmarkEnd w:id="2"/>
      <w:r>
        <w:rPr>
          <w:sz w:val="22"/>
          <w:szCs w:val="22"/>
          <w:lang w:eastAsia="lt-LT"/>
        </w:rPr>
        <w:t xml:space="preserve"> </w:t>
      </w:r>
      <w:r w:rsidRPr="00303764">
        <w:rPr>
          <w:sz w:val="22"/>
          <w:szCs w:val="22"/>
          <w:lang w:eastAsia="lt-LT"/>
        </w:rPr>
        <w:t>iš dalies atsilieka nuo Veiksmų programos įgyvendinimo vidurkio (sudaryta sutarčių už 77 proc., investuota 24 proc.).</w:t>
      </w:r>
      <w:r>
        <w:rPr>
          <w:sz w:val="22"/>
          <w:szCs w:val="22"/>
          <w:lang w:eastAsia="lt-LT"/>
        </w:rPr>
        <w:t xml:space="preserve"> I</w:t>
      </w:r>
      <w:r w:rsidRPr="00303764">
        <w:rPr>
          <w:sz w:val="22"/>
          <w:szCs w:val="22"/>
          <w:lang w:eastAsia="lt-LT"/>
        </w:rPr>
        <w:t xml:space="preserve">šlieka didelė rizika dėl konkursinės nedidelės galios biokuro </w:t>
      </w:r>
      <w:proofErr w:type="spellStart"/>
      <w:r w:rsidRPr="00303764">
        <w:rPr>
          <w:sz w:val="22"/>
          <w:szCs w:val="22"/>
          <w:lang w:eastAsia="lt-LT"/>
        </w:rPr>
        <w:t>kogeneracijos</w:t>
      </w:r>
      <w:proofErr w:type="spellEnd"/>
      <w:r w:rsidRPr="00303764">
        <w:rPr>
          <w:sz w:val="22"/>
          <w:szCs w:val="22"/>
          <w:lang w:eastAsia="lt-LT"/>
        </w:rPr>
        <w:t xml:space="preserve"> skatinimo priemonės įgyvendinimo laiku.</w:t>
      </w:r>
      <w:r>
        <w:rPr>
          <w:sz w:val="22"/>
          <w:szCs w:val="22"/>
          <w:lang w:eastAsia="lt-LT"/>
        </w:rPr>
        <w:t xml:space="preserve"> </w:t>
      </w:r>
      <w:r w:rsidRPr="00303764">
        <w:rPr>
          <w:b/>
          <w:sz w:val="22"/>
          <w:szCs w:val="22"/>
          <w:lang w:eastAsia="lt-LT"/>
        </w:rPr>
        <w:t>Pasiūlymai:</w:t>
      </w:r>
      <w:r>
        <w:rPr>
          <w:sz w:val="22"/>
          <w:szCs w:val="22"/>
          <w:lang w:eastAsia="lt-LT"/>
        </w:rPr>
        <w:t xml:space="preserve"> </w:t>
      </w:r>
      <w:r w:rsidRPr="00303764">
        <w:rPr>
          <w:sz w:val="22"/>
          <w:szCs w:val="22"/>
          <w:lang w:eastAsia="lt-LT"/>
        </w:rPr>
        <w:t>Energetikos ministerijai</w:t>
      </w:r>
      <w:r>
        <w:rPr>
          <w:sz w:val="22"/>
          <w:szCs w:val="22"/>
          <w:lang w:eastAsia="lt-LT"/>
        </w:rPr>
        <w:t xml:space="preserve"> i</w:t>
      </w:r>
      <w:r w:rsidRPr="00303764">
        <w:rPr>
          <w:sz w:val="22"/>
          <w:szCs w:val="22"/>
          <w:lang w:eastAsia="lt-LT"/>
        </w:rPr>
        <w:t xml:space="preserve">ki </w:t>
      </w:r>
      <w:r>
        <w:rPr>
          <w:sz w:val="22"/>
          <w:szCs w:val="22"/>
          <w:lang w:eastAsia="lt-LT"/>
        </w:rPr>
        <w:t xml:space="preserve">2019-10-31 </w:t>
      </w:r>
      <w:r w:rsidRPr="00303764">
        <w:rPr>
          <w:sz w:val="22"/>
          <w:szCs w:val="22"/>
          <w:lang w:eastAsia="lt-LT"/>
        </w:rPr>
        <w:t xml:space="preserve">pakeisti Nacionalinę šilumos ūkio plėtros 2015–2021 m. programą ir siekiant padidinti konkursinės nedidelės galios biokuro </w:t>
      </w:r>
      <w:proofErr w:type="spellStart"/>
      <w:r w:rsidRPr="00303764">
        <w:rPr>
          <w:sz w:val="22"/>
          <w:szCs w:val="22"/>
          <w:lang w:eastAsia="lt-LT"/>
        </w:rPr>
        <w:t>kogeneracijos</w:t>
      </w:r>
      <w:proofErr w:type="spellEnd"/>
      <w:r w:rsidRPr="00303764">
        <w:rPr>
          <w:sz w:val="22"/>
          <w:szCs w:val="22"/>
          <w:lang w:eastAsia="lt-LT"/>
        </w:rPr>
        <w:t xml:space="preserve"> skatinimo priemonės patrauklumą bei pagreitinti įgyvendinimą, pakoreguoti finansavimo sąlygas.</w:t>
      </w:r>
    </w:p>
    <w:p w:rsidR="00F01B95" w:rsidRDefault="00303764" w:rsidP="00C1122C">
      <w:pPr>
        <w:autoSpaceDE w:val="0"/>
        <w:autoSpaceDN w:val="0"/>
        <w:adjustRightInd w:val="0"/>
        <w:ind w:firstLine="567"/>
        <w:rPr>
          <w:sz w:val="22"/>
          <w:szCs w:val="22"/>
          <w:lang w:eastAsia="lt-LT"/>
        </w:rPr>
      </w:pPr>
      <w:r w:rsidRPr="00303764">
        <w:rPr>
          <w:b/>
          <w:sz w:val="22"/>
          <w:szCs w:val="22"/>
          <w:lang w:eastAsia="lt-LT"/>
        </w:rPr>
        <w:t>5 prioritet</w:t>
      </w:r>
      <w:r w:rsidRPr="00303764">
        <w:rPr>
          <w:b/>
          <w:sz w:val="22"/>
          <w:szCs w:val="22"/>
          <w:lang w:eastAsia="lt-LT"/>
        </w:rPr>
        <w:t>o</w:t>
      </w:r>
      <w:r w:rsidRPr="00303764">
        <w:rPr>
          <w:b/>
          <w:sz w:val="22"/>
          <w:szCs w:val="22"/>
          <w:lang w:eastAsia="lt-LT"/>
        </w:rPr>
        <w:t xml:space="preserve"> Aplinkosauga, gamtos išteklių darnus naudojimas ir prisitaikymas prie klimato kaitos</w:t>
      </w:r>
      <w:r>
        <w:rPr>
          <w:sz w:val="22"/>
          <w:szCs w:val="22"/>
          <w:lang w:eastAsia="lt-LT"/>
        </w:rPr>
        <w:t xml:space="preserve"> </w:t>
      </w:r>
      <w:r w:rsidRPr="00303764">
        <w:rPr>
          <w:sz w:val="22"/>
          <w:szCs w:val="22"/>
          <w:lang w:eastAsia="lt-LT"/>
        </w:rPr>
        <w:t>įgyvendinimas</w:t>
      </w:r>
      <w:r>
        <w:rPr>
          <w:sz w:val="22"/>
          <w:szCs w:val="22"/>
          <w:lang w:eastAsia="lt-LT"/>
        </w:rPr>
        <w:t xml:space="preserve"> </w:t>
      </w:r>
      <w:r w:rsidR="00BE3132">
        <w:rPr>
          <w:sz w:val="22"/>
          <w:szCs w:val="22"/>
          <w:lang w:eastAsia="lt-LT"/>
        </w:rPr>
        <w:t>viršija veiksmų programos vidurkį, tačiau s</w:t>
      </w:r>
      <w:r w:rsidR="00BE3132" w:rsidRPr="00BE3132">
        <w:rPr>
          <w:sz w:val="22"/>
          <w:szCs w:val="22"/>
          <w:lang w:eastAsia="lt-LT"/>
        </w:rPr>
        <w:t xml:space="preserve">iekiant užtikrinti gyventojų pajungimus prie nuotekų tvarkymo tinklų </w:t>
      </w:r>
      <w:r w:rsidR="00BE3132">
        <w:rPr>
          <w:sz w:val="22"/>
          <w:szCs w:val="22"/>
          <w:lang w:eastAsia="lt-LT"/>
        </w:rPr>
        <w:t xml:space="preserve">ir išvengti realios EK pažeidimų procedūros, reikia </w:t>
      </w:r>
      <w:r w:rsidR="00BE3132" w:rsidRPr="00BE3132">
        <w:rPr>
          <w:sz w:val="22"/>
          <w:szCs w:val="22"/>
          <w:lang w:eastAsia="lt-LT"/>
        </w:rPr>
        <w:t xml:space="preserve">imtis visų priemonių siekiant užtikrinti </w:t>
      </w:r>
      <w:r w:rsidR="00BE3132">
        <w:rPr>
          <w:sz w:val="22"/>
          <w:szCs w:val="22"/>
          <w:lang w:eastAsia="lt-LT"/>
        </w:rPr>
        <w:t>Vandentvarkos fondo</w:t>
      </w:r>
      <w:r w:rsidR="00F01B95">
        <w:rPr>
          <w:sz w:val="22"/>
          <w:szCs w:val="22"/>
          <w:lang w:eastAsia="lt-LT"/>
        </w:rPr>
        <w:t xml:space="preserve"> lėšų</w:t>
      </w:r>
      <w:r w:rsidR="00BE3132">
        <w:rPr>
          <w:sz w:val="22"/>
          <w:szCs w:val="22"/>
          <w:lang w:eastAsia="lt-LT"/>
        </w:rPr>
        <w:t xml:space="preserve"> </w:t>
      </w:r>
      <w:r w:rsidR="00F01B95">
        <w:rPr>
          <w:sz w:val="22"/>
          <w:szCs w:val="22"/>
          <w:lang w:eastAsia="lt-LT"/>
        </w:rPr>
        <w:t>panaudojimą</w:t>
      </w:r>
      <w:r w:rsidR="00BE3132" w:rsidRPr="00BE3132">
        <w:rPr>
          <w:sz w:val="22"/>
          <w:szCs w:val="22"/>
          <w:lang w:eastAsia="lt-LT"/>
        </w:rPr>
        <w:t xml:space="preserve"> </w:t>
      </w:r>
      <w:r w:rsidR="00F01B95">
        <w:rPr>
          <w:sz w:val="22"/>
          <w:szCs w:val="22"/>
          <w:lang w:eastAsia="lt-LT"/>
        </w:rPr>
        <w:t>ir</w:t>
      </w:r>
      <w:r w:rsidR="00BE3132" w:rsidRPr="00BE3132">
        <w:rPr>
          <w:sz w:val="22"/>
          <w:szCs w:val="22"/>
          <w:lang w:eastAsia="lt-LT"/>
        </w:rPr>
        <w:t xml:space="preserve"> kuo didesnius gyventojų pajungimus</w:t>
      </w:r>
      <w:r w:rsidR="00C1122C">
        <w:rPr>
          <w:sz w:val="22"/>
          <w:szCs w:val="22"/>
          <w:lang w:eastAsia="lt-LT"/>
        </w:rPr>
        <w:t>.</w:t>
      </w:r>
      <w:r w:rsidR="003F1436">
        <w:rPr>
          <w:sz w:val="22"/>
          <w:szCs w:val="22"/>
          <w:lang w:eastAsia="lt-LT"/>
        </w:rPr>
        <w:t xml:space="preserve"> </w:t>
      </w:r>
      <w:r w:rsidR="00C1122C" w:rsidRPr="00C1122C">
        <w:rPr>
          <w:b/>
          <w:sz w:val="22"/>
          <w:szCs w:val="22"/>
          <w:lang w:eastAsia="lt-LT"/>
        </w:rPr>
        <w:t>Pasiūlymai:</w:t>
      </w:r>
      <w:r w:rsidR="00C1122C">
        <w:rPr>
          <w:sz w:val="22"/>
          <w:szCs w:val="22"/>
          <w:lang w:eastAsia="lt-LT"/>
        </w:rPr>
        <w:t xml:space="preserve"> Aplinkos ministerijai i</w:t>
      </w:r>
      <w:r w:rsidR="00C1122C" w:rsidRPr="00C1122C">
        <w:rPr>
          <w:sz w:val="22"/>
          <w:szCs w:val="22"/>
          <w:lang w:eastAsia="lt-LT"/>
        </w:rPr>
        <w:t xml:space="preserve">mtis aktyvių veiksmų, sudarant prielaidas sėkmingam </w:t>
      </w:r>
      <w:r w:rsidR="00256279">
        <w:rPr>
          <w:sz w:val="22"/>
          <w:szCs w:val="22"/>
          <w:lang w:eastAsia="lt-LT"/>
        </w:rPr>
        <w:t>V</w:t>
      </w:r>
      <w:r w:rsidR="00C1122C" w:rsidRPr="00C1122C">
        <w:rPr>
          <w:sz w:val="22"/>
          <w:szCs w:val="22"/>
          <w:lang w:eastAsia="lt-LT"/>
        </w:rPr>
        <w:t>andentvarkos fondo ir grąžinamosios subsidijos finansavimo mechanizmo veikimui ir užtikrinti reikiamus gyventojų pajungimus</w:t>
      </w:r>
      <w:r w:rsidR="00C1122C">
        <w:rPr>
          <w:sz w:val="22"/>
          <w:szCs w:val="22"/>
          <w:lang w:eastAsia="lt-LT"/>
        </w:rPr>
        <w:t>, p</w:t>
      </w:r>
      <w:r w:rsidR="00C1122C" w:rsidRPr="00C1122C">
        <w:rPr>
          <w:sz w:val="22"/>
          <w:szCs w:val="22"/>
          <w:lang w:eastAsia="lt-LT"/>
        </w:rPr>
        <w:t>akartotinai įvertinti naujausius prie nuotekų valymo sistemų nepajungtų gyventojų rodiklius bei valdyti rodiklių pasiekimą veikiančias rizikas</w:t>
      </w:r>
      <w:r w:rsidR="00C1122C">
        <w:rPr>
          <w:sz w:val="22"/>
          <w:szCs w:val="22"/>
          <w:lang w:eastAsia="lt-LT"/>
        </w:rPr>
        <w:t>.</w:t>
      </w:r>
    </w:p>
    <w:p w:rsidR="00303764" w:rsidRPr="00F01B95" w:rsidRDefault="00C1122C" w:rsidP="0072281A">
      <w:pPr>
        <w:autoSpaceDE w:val="0"/>
        <w:autoSpaceDN w:val="0"/>
        <w:adjustRightInd w:val="0"/>
        <w:ind w:firstLine="567"/>
        <w:rPr>
          <w:sz w:val="22"/>
          <w:szCs w:val="22"/>
          <w:lang w:eastAsia="lt-LT"/>
        </w:rPr>
      </w:pPr>
      <w:r>
        <w:rPr>
          <w:sz w:val="22"/>
          <w:szCs w:val="22"/>
          <w:lang w:eastAsia="lt-LT"/>
        </w:rPr>
        <w:t xml:space="preserve"> </w:t>
      </w:r>
      <w:r w:rsidR="00F01B95" w:rsidRPr="00F01B95">
        <w:rPr>
          <w:b/>
          <w:sz w:val="22"/>
          <w:szCs w:val="22"/>
          <w:lang w:eastAsia="lt-LT"/>
        </w:rPr>
        <w:t>6 prioritet</w:t>
      </w:r>
      <w:r w:rsidR="00F01B95" w:rsidRPr="00F01B95">
        <w:rPr>
          <w:b/>
          <w:sz w:val="22"/>
          <w:szCs w:val="22"/>
          <w:lang w:eastAsia="lt-LT"/>
        </w:rPr>
        <w:t>o</w:t>
      </w:r>
      <w:r w:rsidR="00F01B95" w:rsidRPr="00F01B95">
        <w:rPr>
          <w:b/>
          <w:sz w:val="22"/>
          <w:szCs w:val="22"/>
          <w:lang w:eastAsia="lt-LT"/>
        </w:rPr>
        <w:t xml:space="preserve"> Darnaus transporto ir pagrindinių tinklų infrastruktūros plėtra</w:t>
      </w:r>
      <w:r w:rsidR="00F01B95">
        <w:rPr>
          <w:sz w:val="22"/>
          <w:szCs w:val="22"/>
          <w:lang w:eastAsia="lt-LT"/>
        </w:rPr>
        <w:t xml:space="preserve"> </w:t>
      </w:r>
      <w:r w:rsidR="00F01B95" w:rsidRPr="00F01B95">
        <w:rPr>
          <w:sz w:val="22"/>
          <w:szCs w:val="22"/>
          <w:lang w:eastAsia="lt-LT"/>
        </w:rPr>
        <w:t>Energetikos ministerijos administruojamų priemonių projektų planavimas ir įgyvendinimas atsilieka</w:t>
      </w:r>
      <w:r w:rsidR="00256279">
        <w:rPr>
          <w:sz w:val="22"/>
          <w:szCs w:val="22"/>
          <w:lang w:eastAsia="lt-LT"/>
        </w:rPr>
        <w:t>.</w:t>
      </w:r>
      <w:r w:rsidR="00F01B95" w:rsidRPr="00F01B95">
        <w:rPr>
          <w:sz w:val="22"/>
          <w:szCs w:val="22"/>
          <w:lang w:eastAsia="lt-LT"/>
        </w:rPr>
        <w:t xml:space="preserve"> </w:t>
      </w:r>
      <w:r w:rsidR="00256279">
        <w:rPr>
          <w:sz w:val="22"/>
          <w:szCs w:val="22"/>
          <w:lang w:eastAsia="lt-LT"/>
        </w:rPr>
        <w:t>I</w:t>
      </w:r>
      <w:r w:rsidR="00F01B95" w:rsidRPr="00F01B95">
        <w:rPr>
          <w:sz w:val="22"/>
          <w:szCs w:val="22"/>
          <w:lang w:eastAsia="lt-LT"/>
        </w:rPr>
        <w:t xml:space="preserve">ki </w:t>
      </w:r>
      <w:r w:rsidR="00F01B95">
        <w:rPr>
          <w:sz w:val="22"/>
          <w:szCs w:val="22"/>
          <w:lang w:eastAsia="lt-LT"/>
        </w:rPr>
        <w:t>šiol</w:t>
      </w:r>
      <w:r w:rsidR="00F01B95" w:rsidRPr="00F01B95">
        <w:rPr>
          <w:sz w:val="22"/>
          <w:szCs w:val="22"/>
          <w:lang w:eastAsia="lt-LT"/>
        </w:rPr>
        <w:t xml:space="preserve"> sudaryta sutarčių už 57 proc., o investuota 22 proc. ministerijai skirtų ES lėšų.</w:t>
      </w:r>
      <w:r w:rsidR="00F01B95">
        <w:rPr>
          <w:sz w:val="22"/>
          <w:szCs w:val="22"/>
          <w:lang w:eastAsia="lt-LT"/>
        </w:rPr>
        <w:t xml:space="preserve"> </w:t>
      </w:r>
      <w:r w:rsidR="0072281A" w:rsidRPr="0072281A">
        <w:rPr>
          <w:sz w:val="22"/>
          <w:szCs w:val="22"/>
          <w:lang w:eastAsia="lt-LT"/>
        </w:rPr>
        <w:t xml:space="preserve">Planuotos investicijos į dujų skirstymo tinklų </w:t>
      </w:r>
      <w:proofErr w:type="spellStart"/>
      <w:r w:rsidR="0072281A" w:rsidRPr="0072281A">
        <w:rPr>
          <w:sz w:val="22"/>
          <w:szCs w:val="22"/>
          <w:lang w:eastAsia="lt-LT"/>
        </w:rPr>
        <w:t>sužiedinimą</w:t>
      </w:r>
      <w:proofErr w:type="spellEnd"/>
      <w:r w:rsidR="0072281A" w:rsidRPr="0072281A">
        <w:rPr>
          <w:sz w:val="22"/>
          <w:szCs w:val="22"/>
          <w:lang w:eastAsia="lt-LT"/>
        </w:rPr>
        <w:t xml:space="preserve"> ir išmaniosios gamtinių dujų apskaitos įdiegimo projektus užtruko</w:t>
      </w:r>
      <w:r w:rsidR="0072281A">
        <w:rPr>
          <w:sz w:val="22"/>
          <w:szCs w:val="22"/>
          <w:lang w:eastAsia="lt-LT"/>
        </w:rPr>
        <w:t>, t</w:t>
      </w:r>
      <w:r w:rsidR="00F01B95">
        <w:rPr>
          <w:sz w:val="22"/>
          <w:szCs w:val="22"/>
          <w:lang w:eastAsia="lt-LT"/>
        </w:rPr>
        <w:t xml:space="preserve">odėl </w:t>
      </w:r>
      <w:r w:rsidR="0072281A">
        <w:rPr>
          <w:sz w:val="22"/>
          <w:szCs w:val="22"/>
          <w:lang w:eastAsia="lt-LT"/>
        </w:rPr>
        <w:t xml:space="preserve">jau anksčiau buvo </w:t>
      </w:r>
      <w:r w:rsidR="00F01B95" w:rsidRPr="00F01B95">
        <w:rPr>
          <w:sz w:val="22"/>
          <w:szCs w:val="22"/>
          <w:lang w:eastAsia="lt-LT"/>
        </w:rPr>
        <w:t>nuspręsta Energetikos ministerijai skirtą finansavimą sumažinti 16 mln. eurų, perskirstant šias lėšas kitų ministerijų įgyvendinamoms veikloms.</w:t>
      </w:r>
      <w:r w:rsidR="00F01B95">
        <w:rPr>
          <w:sz w:val="22"/>
          <w:szCs w:val="22"/>
          <w:lang w:eastAsia="lt-LT"/>
        </w:rPr>
        <w:t xml:space="preserve"> </w:t>
      </w:r>
      <w:bookmarkStart w:id="3" w:name="_Hlk19626869"/>
      <w:r w:rsidR="0072281A" w:rsidRPr="0072281A">
        <w:rPr>
          <w:b/>
          <w:sz w:val="22"/>
          <w:szCs w:val="22"/>
          <w:lang w:eastAsia="lt-LT"/>
        </w:rPr>
        <w:t>Pasiūlymai:</w:t>
      </w:r>
      <w:bookmarkEnd w:id="3"/>
      <w:r w:rsidR="0072281A">
        <w:rPr>
          <w:sz w:val="22"/>
          <w:szCs w:val="22"/>
          <w:lang w:eastAsia="lt-LT"/>
        </w:rPr>
        <w:t xml:space="preserve"> Energetikos ministerijai i</w:t>
      </w:r>
      <w:r w:rsidR="0072281A" w:rsidRPr="0072281A">
        <w:rPr>
          <w:sz w:val="22"/>
          <w:szCs w:val="22"/>
          <w:lang w:eastAsia="lt-LT"/>
        </w:rPr>
        <w:t>ki 2019</w:t>
      </w:r>
      <w:r w:rsidR="0072281A">
        <w:rPr>
          <w:sz w:val="22"/>
          <w:szCs w:val="22"/>
          <w:lang w:eastAsia="lt-LT"/>
        </w:rPr>
        <w:t>-09-</w:t>
      </w:r>
      <w:r w:rsidR="0072281A" w:rsidRPr="0072281A">
        <w:rPr>
          <w:sz w:val="22"/>
          <w:szCs w:val="22"/>
          <w:lang w:eastAsia="lt-LT"/>
        </w:rPr>
        <w:t>30 perkelti likusią nesuplanuotą konkursinės priemonės „Gamtinių dujų skirstymo sistemos ir plėtra“ lėšų sumą kitoms 6 prioriteto priemonėms;</w:t>
      </w:r>
      <w:r w:rsidR="0072281A">
        <w:rPr>
          <w:sz w:val="22"/>
          <w:szCs w:val="22"/>
          <w:lang w:eastAsia="lt-LT"/>
        </w:rPr>
        <w:t xml:space="preserve"> s</w:t>
      </w:r>
      <w:r w:rsidR="0072281A" w:rsidRPr="0072281A">
        <w:rPr>
          <w:sz w:val="22"/>
          <w:szCs w:val="22"/>
          <w:lang w:eastAsia="lt-LT"/>
        </w:rPr>
        <w:t xml:space="preserve">partinti planinių gamtinių dujų ir elektros perdavimo sistemų modernizavimo projektų planavimą, </w:t>
      </w:r>
      <w:r w:rsidR="0072281A">
        <w:rPr>
          <w:sz w:val="22"/>
          <w:szCs w:val="22"/>
          <w:lang w:eastAsia="lt-LT"/>
        </w:rPr>
        <w:t xml:space="preserve">iki </w:t>
      </w:r>
      <w:r w:rsidR="0072281A" w:rsidRPr="0072281A">
        <w:rPr>
          <w:sz w:val="22"/>
          <w:szCs w:val="22"/>
          <w:lang w:eastAsia="lt-LT"/>
        </w:rPr>
        <w:t xml:space="preserve">2019 m. </w:t>
      </w:r>
      <w:r w:rsidR="0072281A">
        <w:rPr>
          <w:sz w:val="22"/>
          <w:szCs w:val="22"/>
          <w:lang w:eastAsia="lt-LT"/>
        </w:rPr>
        <w:t xml:space="preserve">pabaigos </w:t>
      </w:r>
      <w:r w:rsidR="0072281A" w:rsidRPr="0072281A">
        <w:rPr>
          <w:sz w:val="22"/>
          <w:szCs w:val="22"/>
          <w:lang w:eastAsia="lt-LT"/>
        </w:rPr>
        <w:t>suplanuot</w:t>
      </w:r>
      <w:r w:rsidR="0072281A">
        <w:rPr>
          <w:sz w:val="22"/>
          <w:szCs w:val="22"/>
          <w:lang w:eastAsia="lt-LT"/>
        </w:rPr>
        <w:t>i</w:t>
      </w:r>
      <w:r w:rsidR="0072281A" w:rsidRPr="0072281A">
        <w:rPr>
          <w:sz w:val="22"/>
          <w:szCs w:val="22"/>
          <w:lang w:eastAsia="lt-LT"/>
        </w:rPr>
        <w:t xml:space="preserve"> bent 90 proc. likusių </w:t>
      </w:r>
      <w:r w:rsidR="00F36194">
        <w:rPr>
          <w:sz w:val="22"/>
          <w:szCs w:val="22"/>
          <w:lang w:eastAsia="lt-LT"/>
        </w:rPr>
        <w:t xml:space="preserve">nesuplanuotų </w:t>
      </w:r>
      <w:r w:rsidR="0072281A" w:rsidRPr="0072281A">
        <w:rPr>
          <w:sz w:val="22"/>
          <w:szCs w:val="22"/>
          <w:lang w:eastAsia="lt-LT"/>
        </w:rPr>
        <w:t>investicijų.</w:t>
      </w:r>
      <w:r w:rsidR="0072281A">
        <w:rPr>
          <w:sz w:val="22"/>
          <w:szCs w:val="22"/>
          <w:lang w:eastAsia="lt-LT"/>
        </w:rPr>
        <w:t xml:space="preserve"> </w:t>
      </w:r>
    </w:p>
    <w:p w:rsidR="00C055BE" w:rsidRDefault="009D6154" w:rsidP="001062B6">
      <w:pPr>
        <w:autoSpaceDE w:val="0"/>
        <w:autoSpaceDN w:val="0"/>
        <w:adjustRightInd w:val="0"/>
        <w:ind w:firstLine="567"/>
        <w:rPr>
          <w:sz w:val="22"/>
          <w:szCs w:val="22"/>
          <w:lang w:eastAsia="lt-LT"/>
        </w:rPr>
      </w:pPr>
      <w:r w:rsidRPr="009D6154">
        <w:rPr>
          <w:b/>
          <w:sz w:val="22"/>
          <w:szCs w:val="22"/>
          <w:lang w:eastAsia="lt-LT"/>
        </w:rPr>
        <w:t>7 prioritet</w:t>
      </w:r>
      <w:r w:rsidRPr="009D6154">
        <w:rPr>
          <w:b/>
          <w:sz w:val="22"/>
          <w:szCs w:val="22"/>
          <w:lang w:eastAsia="lt-LT"/>
        </w:rPr>
        <w:t>o</w:t>
      </w:r>
      <w:r w:rsidRPr="009D6154">
        <w:rPr>
          <w:b/>
          <w:sz w:val="22"/>
          <w:szCs w:val="22"/>
          <w:lang w:eastAsia="lt-LT"/>
        </w:rPr>
        <w:t xml:space="preserve"> Kokybiško užimtumo ir dalyvavimo darbo rinkoje skatinimas</w:t>
      </w:r>
      <w:r>
        <w:rPr>
          <w:sz w:val="22"/>
          <w:szCs w:val="22"/>
          <w:lang w:eastAsia="lt-LT"/>
        </w:rPr>
        <w:t xml:space="preserve"> </w:t>
      </w:r>
      <w:r w:rsidRPr="009D6154">
        <w:rPr>
          <w:sz w:val="22"/>
          <w:szCs w:val="22"/>
          <w:lang w:eastAsia="lt-LT"/>
        </w:rPr>
        <w:t>Vidaus reikalų ministerijos administruojamų ERPF lėšomis finansuojamų priemonių projektų planavimas ir įgyvendinimas atsilieka nuo visos Veiksmų programos įgyvendinimo vidurkių (sudaryta sutarčių už 64 proc., investuota 24 proc.). Tam įtakos turėjo vėluojantis Vidaus reikalų ministerijos administruojamų didžiųjų miestų ir miestų kompleksinės plėtros priemonių projektų įgyvendinimas.</w:t>
      </w:r>
      <w:r w:rsidR="00B516F4">
        <w:rPr>
          <w:sz w:val="22"/>
          <w:szCs w:val="22"/>
          <w:lang w:eastAsia="lt-LT"/>
        </w:rPr>
        <w:t xml:space="preserve"> </w:t>
      </w:r>
      <w:r w:rsidR="00E63E2A" w:rsidRPr="00E63E2A">
        <w:rPr>
          <w:sz w:val="22"/>
          <w:szCs w:val="22"/>
          <w:lang w:eastAsia="lt-LT"/>
        </w:rPr>
        <w:t>Vidaus reikalų ministerija</w:t>
      </w:r>
      <w:r w:rsidR="00E63E2A">
        <w:rPr>
          <w:sz w:val="22"/>
          <w:szCs w:val="22"/>
          <w:lang w:eastAsia="lt-LT"/>
        </w:rPr>
        <w:t xml:space="preserve"> </w:t>
      </w:r>
      <w:r w:rsidR="00E63E2A" w:rsidRPr="00E63E2A">
        <w:rPr>
          <w:sz w:val="22"/>
          <w:szCs w:val="22"/>
          <w:lang w:eastAsia="lt-LT"/>
        </w:rPr>
        <w:t xml:space="preserve">pateikė Finansų ministerijai priemonės „Miesto inžinerinės infrastruktūros, svarbios verslui, atnaujinimas ir plėtra“ dokumentų tikslinimo planą, tačiau vėluoja jį įgyvendinti. </w:t>
      </w:r>
      <w:r w:rsidR="001062B6" w:rsidRPr="0072281A">
        <w:rPr>
          <w:b/>
          <w:sz w:val="22"/>
          <w:szCs w:val="22"/>
          <w:lang w:eastAsia="lt-LT"/>
        </w:rPr>
        <w:t>Pasiūlymai:</w:t>
      </w:r>
      <w:r w:rsidR="001062B6">
        <w:rPr>
          <w:b/>
          <w:sz w:val="22"/>
          <w:szCs w:val="22"/>
          <w:lang w:eastAsia="lt-LT"/>
        </w:rPr>
        <w:t xml:space="preserve"> </w:t>
      </w:r>
      <w:r w:rsidR="001062B6" w:rsidRPr="001062B6">
        <w:rPr>
          <w:sz w:val="22"/>
          <w:szCs w:val="22"/>
          <w:lang w:eastAsia="lt-LT"/>
        </w:rPr>
        <w:t>1)</w:t>
      </w:r>
      <w:r w:rsidR="001062B6">
        <w:rPr>
          <w:b/>
          <w:sz w:val="22"/>
          <w:szCs w:val="22"/>
          <w:lang w:eastAsia="lt-LT"/>
        </w:rPr>
        <w:t xml:space="preserve"> </w:t>
      </w:r>
      <w:r w:rsidR="001062B6">
        <w:rPr>
          <w:sz w:val="22"/>
          <w:szCs w:val="22"/>
          <w:lang w:eastAsia="lt-LT"/>
        </w:rPr>
        <w:t>p</w:t>
      </w:r>
      <w:r w:rsidR="001062B6" w:rsidRPr="001062B6">
        <w:rPr>
          <w:sz w:val="22"/>
          <w:szCs w:val="22"/>
          <w:lang w:eastAsia="lt-LT"/>
        </w:rPr>
        <w:t>er 2019 m. rugsėjo mėn. kartu su „Investuok Lietuvoje“ suorganizuoti susitikimus, konsultacijas su savivaldybėmis dėl verslo poreikius atitinkančių teritorijų identifikavimo;</w:t>
      </w:r>
      <w:r w:rsidR="001062B6">
        <w:rPr>
          <w:sz w:val="22"/>
          <w:szCs w:val="22"/>
          <w:lang w:eastAsia="lt-LT"/>
        </w:rPr>
        <w:t xml:space="preserve"> 2) s</w:t>
      </w:r>
      <w:r w:rsidR="001062B6" w:rsidRPr="001062B6">
        <w:rPr>
          <w:sz w:val="22"/>
          <w:szCs w:val="22"/>
          <w:lang w:eastAsia="lt-LT"/>
        </w:rPr>
        <w:t>partinti priemonės „Miesto inžinerinės infrastruktūros, svarbios verslui, atnaujinimas ir plėtra“ planavimo ir įgyvendinimo procesus, laikantis Finansų ministerijai pateiktame dokumentų tikslinimo plane numatytų terminų;</w:t>
      </w:r>
      <w:r w:rsidR="001062B6">
        <w:rPr>
          <w:sz w:val="22"/>
          <w:szCs w:val="22"/>
          <w:lang w:eastAsia="lt-LT"/>
        </w:rPr>
        <w:t xml:space="preserve"> 3) u</w:t>
      </w:r>
      <w:r w:rsidR="001062B6" w:rsidRPr="001062B6">
        <w:rPr>
          <w:sz w:val="22"/>
          <w:szCs w:val="22"/>
          <w:lang w:eastAsia="lt-LT"/>
        </w:rPr>
        <w:t>žtikrinti, kad būtų laikomasi priemonės „Kompleksinė paslaugų plėtra integruotų teritorijų vystymo programų tikslinėse teritorijose“ finansavimo sąlygose numatytų konkrečių projektinių pasiūlymų pateikimo terminų, o jų nesilaikant nedelsiant priimti sprendimus dėl projektų pakeitimo labiau parengtais, neprobleminiais arba lėšų perskirstymo kitoms sritims.</w:t>
      </w:r>
    </w:p>
    <w:p w:rsidR="001062B6" w:rsidRDefault="001062B6" w:rsidP="001062B6">
      <w:pPr>
        <w:autoSpaceDE w:val="0"/>
        <w:autoSpaceDN w:val="0"/>
        <w:adjustRightInd w:val="0"/>
        <w:ind w:firstLine="567"/>
        <w:rPr>
          <w:sz w:val="22"/>
          <w:szCs w:val="22"/>
          <w:lang w:eastAsia="lt-LT"/>
        </w:rPr>
      </w:pPr>
      <w:r w:rsidRPr="001062B6">
        <w:rPr>
          <w:b/>
          <w:sz w:val="22"/>
          <w:szCs w:val="22"/>
          <w:lang w:eastAsia="lt-LT"/>
        </w:rPr>
        <w:t>8 prioritet</w:t>
      </w:r>
      <w:r w:rsidRPr="001062B6">
        <w:rPr>
          <w:b/>
          <w:sz w:val="22"/>
          <w:szCs w:val="22"/>
          <w:lang w:eastAsia="lt-LT"/>
        </w:rPr>
        <w:t>o</w:t>
      </w:r>
      <w:r w:rsidRPr="001062B6">
        <w:rPr>
          <w:b/>
          <w:sz w:val="22"/>
          <w:szCs w:val="22"/>
          <w:lang w:eastAsia="lt-LT"/>
        </w:rPr>
        <w:t xml:space="preserve"> Socialinės </w:t>
      </w:r>
      <w:proofErr w:type="spellStart"/>
      <w:r w:rsidRPr="001062B6">
        <w:rPr>
          <w:b/>
          <w:sz w:val="22"/>
          <w:szCs w:val="22"/>
          <w:lang w:eastAsia="lt-LT"/>
        </w:rPr>
        <w:t>įtraukties</w:t>
      </w:r>
      <w:proofErr w:type="spellEnd"/>
      <w:r w:rsidRPr="001062B6">
        <w:rPr>
          <w:b/>
          <w:sz w:val="22"/>
          <w:szCs w:val="22"/>
          <w:lang w:eastAsia="lt-LT"/>
        </w:rPr>
        <w:t xml:space="preserve"> didinimas ir kova su skurdu</w:t>
      </w:r>
      <w:r>
        <w:rPr>
          <w:b/>
          <w:sz w:val="22"/>
          <w:szCs w:val="22"/>
          <w:lang w:eastAsia="lt-LT"/>
        </w:rPr>
        <w:t xml:space="preserve"> </w:t>
      </w:r>
      <w:r w:rsidRPr="001062B6">
        <w:rPr>
          <w:sz w:val="22"/>
          <w:szCs w:val="22"/>
          <w:lang w:eastAsia="lt-LT"/>
        </w:rPr>
        <w:t>Sveikatos apsaugos ministerijos administruojamų ESF lėšomis finansuojamų projektų įgyvendinimas</w:t>
      </w:r>
      <w:r>
        <w:rPr>
          <w:sz w:val="22"/>
          <w:szCs w:val="22"/>
          <w:lang w:eastAsia="lt-LT"/>
        </w:rPr>
        <w:t xml:space="preserve"> lėtas:</w:t>
      </w:r>
      <w:r w:rsidRPr="001062B6">
        <w:rPr>
          <w:sz w:val="22"/>
          <w:szCs w:val="22"/>
          <w:lang w:eastAsia="lt-LT"/>
        </w:rPr>
        <w:t xml:space="preserve"> sudaryta sutarčių už 55 proc., o investuota 16 proc. ministerijai skirtų ES lėšų.</w:t>
      </w:r>
      <w:r>
        <w:rPr>
          <w:sz w:val="22"/>
          <w:szCs w:val="22"/>
          <w:lang w:eastAsia="lt-LT"/>
        </w:rPr>
        <w:t xml:space="preserve"> M</w:t>
      </w:r>
      <w:r w:rsidRPr="001062B6">
        <w:rPr>
          <w:sz w:val="22"/>
          <w:szCs w:val="22"/>
          <w:lang w:eastAsia="lt-LT"/>
        </w:rPr>
        <w:t>inisterija per 2019 m. turėtų suplanuoti visas ministerijos administruojamas lėšas (įtraukti projektus į sąrašus arba paskelbti kvietimus). Tačiau numatyti veiksmai vėluoja</w:t>
      </w:r>
      <w:r>
        <w:rPr>
          <w:sz w:val="22"/>
          <w:szCs w:val="22"/>
          <w:lang w:eastAsia="lt-LT"/>
        </w:rPr>
        <w:t xml:space="preserve">. </w:t>
      </w:r>
      <w:r w:rsidRPr="001062B6">
        <w:rPr>
          <w:b/>
          <w:sz w:val="22"/>
          <w:szCs w:val="22"/>
          <w:lang w:eastAsia="lt-LT"/>
        </w:rPr>
        <w:t>Pasiūlymai:</w:t>
      </w:r>
      <w:r>
        <w:rPr>
          <w:sz w:val="22"/>
          <w:szCs w:val="22"/>
          <w:lang w:eastAsia="lt-LT"/>
        </w:rPr>
        <w:t xml:space="preserve"> i</w:t>
      </w:r>
      <w:r w:rsidRPr="001062B6">
        <w:rPr>
          <w:sz w:val="22"/>
          <w:szCs w:val="22"/>
          <w:lang w:eastAsia="lt-LT"/>
        </w:rPr>
        <w:t>ki 2019</w:t>
      </w:r>
      <w:r>
        <w:rPr>
          <w:sz w:val="22"/>
          <w:szCs w:val="22"/>
          <w:lang w:eastAsia="lt-LT"/>
        </w:rPr>
        <w:t>-10-</w:t>
      </w:r>
      <w:r w:rsidRPr="001062B6">
        <w:rPr>
          <w:sz w:val="22"/>
          <w:szCs w:val="22"/>
          <w:lang w:eastAsia="lt-LT"/>
        </w:rPr>
        <w:t>15 įvertinti visuomenės sveikatos biurų vykdomų projektų gerąją patirtį ir skirti papildomą finansavimą tik didžiausią pridėtinę vertę duodančioms veikloms;</w:t>
      </w:r>
      <w:r>
        <w:rPr>
          <w:sz w:val="22"/>
          <w:szCs w:val="22"/>
          <w:lang w:eastAsia="lt-LT"/>
        </w:rPr>
        <w:t xml:space="preserve"> </w:t>
      </w:r>
      <w:r w:rsidRPr="001062B6">
        <w:rPr>
          <w:sz w:val="22"/>
          <w:szCs w:val="22"/>
          <w:lang w:eastAsia="lt-LT"/>
        </w:rPr>
        <w:t xml:space="preserve"> Iki 2019</w:t>
      </w:r>
      <w:r>
        <w:rPr>
          <w:sz w:val="22"/>
          <w:szCs w:val="22"/>
          <w:lang w:eastAsia="lt-LT"/>
        </w:rPr>
        <w:t>-10-</w:t>
      </w:r>
      <w:r w:rsidRPr="001062B6">
        <w:rPr>
          <w:sz w:val="22"/>
          <w:szCs w:val="22"/>
          <w:lang w:eastAsia="lt-LT"/>
        </w:rPr>
        <w:t>15 apsispręsti, kam bus skiriami 6,5 mln. eurų ESF lėšų (planuotų gydytojų rezidentų ir gydytojų skatinimui vykti dirbti į regionus), ir pateikti dokumentų projektus Finansų ministerijai derinti.</w:t>
      </w:r>
    </w:p>
    <w:p w:rsidR="001062B6" w:rsidRPr="00F9615C" w:rsidRDefault="00F9615C" w:rsidP="008B47F9">
      <w:pPr>
        <w:autoSpaceDE w:val="0"/>
        <w:autoSpaceDN w:val="0"/>
        <w:adjustRightInd w:val="0"/>
        <w:ind w:firstLine="567"/>
        <w:rPr>
          <w:sz w:val="22"/>
          <w:szCs w:val="22"/>
          <w:lang w:eastAsia="lt-LT"/>
        </w:rPr>
      </w:pPr>
      <w:r w:rsidRPr="00F9615C">
        <w:rPr>
          <w:b/>
          <w:sz w:val="22"/>
          <w:szCs w:val="22"/>
          <w:lang w:eastAsia="lt-LT"/>
        </w:rPr>
        <w:t>10 prioritet</w:t>
      </w:r>
      <w:r w:rsidRPr="00F9615C">
        <w:rPr>
          <w:b/>
          <w:sz w:val="22"/>
          <w:szCs w:val="22"/>
          <w:lang w:eastAsia="lt-LT"/>
        </w:rPr>
        <w:t>o</w:t>
      </w:r>
      <w:r w:rsidRPr="00F9615C">
        <w:rPr>
          <w:b/>
          <w:sz w:val="22"/>
          <w:szCs w:val="22"/>
          <w:lang w:eastAsia="lt-LT"/>
        </w:rPr>
        <w:t xml:space="preserve"> Visuomenės poreikius atitinkantis ir pažangus viešasis valdymas</w:t>
      </w:r>
      <w:r>
        <w:rPr>
          <w:sz w:val="22"/>
          <w:szCs w:val="22"/>
          <w:lang w:eastAsia="lt-LT"/>
        </w:rPr>
        <w:t xml:space="preserve"> </w:t>
      </w:r>
      <w:r w:rsidR="00F36194">
        <w:rPr>
          <w:sz w:val="22"/>
          <w:szCs w:val="22"/>
          <w:lang w:eastAsia="lt-LT"/>
        </w:rPr>
        <w:t xml:space="preserve">Vidaus reikalų ministerijos administruojamų priemonių </w:t>
      </w:r>
      <w:r w:rsidR="008B47F9" w:rsidRPr="008B47F9">
        <w:rPr>
          <w:sz w:val="22"/>
          <w:szCs w:val="22"/>
          <w:lang w:eastAsia="lt-LT"/>
        </w:rPr>
        <w:t xml:space="preserve">įgyvendinimas pasižymi pakankama sutarčių sudarymo pažanga (88 proc.), tačiau atsilieka lėšų investavimas (20 </w:t>
      </w:r>
      <w:proofErr w:type="spellStart"/>
      <w:r w:rsidR="008B47F9" w:rsidRPr="008B47F9">
        <w:rPr>
          <w:sz w:val="22"/>
          <w:szCs w:val="22"/>
          <w:lang w:eastAsia="lt-LT"/>
        </w:rPr>
        <w:t>proc</w:t>
      </w:r>
      <w:proofErr w:type="spellEnd"/>
      <w:r w:rsidR="008B47F9" w:rsidRPr="008B47F9">
        <w:rPr>
          <w:sz w:val="22"/>
          <w:szCs w:val="22"/>
          <w:lang w:eastAsia="lt-LT"/>
        </w:rPr>
        <w:t>).</w:t>
      </w:r>
      <w:r w:rsidR="008B47F9">
        <w:rPr>
          <w:sz w:val="22"/>
          <w:szCs w:val="22"/>
          <w:lang w:eastAsia="lt-LT"/>
        </w:rPr>
        <w:t xml:space="preserve"> </w:t>
      </w:r>
      <w:r w:rsidR="008B47F9" w:rsidRPr="008B47F9">
        <w:rPr>
          <w:b/>
          <w:sz w:val="22"/>
          <w:szCs w:val="22"/>
          <w:lang w:eastAsia="lt-LT"/>
        </w:rPr>
        <w:t>Pasiūlymai:</w:t>
      </w:r>
      <w:r w:rsidR="008B47F9">
        <w:rPr>
          <w:sz w:val="22"/>
          <w:szCs w:val="22"/>
          <w:lang w:eastAsia="lt-LT"/>
        </w:rPr>
        <w:t xml:space="preserve"> 1) p</w:t>
      </w:r>
      <w:r w:rsidR="008B47F9" w:rsidRPr="008B47F9">
        <w:rPr>
          <w:sz w:val="22"/>
          <w:szCs w:val="22"/>
          <w:lang w:eastAsia="lt-LT"/>
        </w:rPr>
        <w:t xml:space="preserve">er 2019 m. III–IV </w:t>
      </w:r>
      <w:proofErr w:type="spellStart"/>
      <w:r w:rsidR="008B47F9" w:rsidRPr="008B47F9">
        <w:rPr>
          <w:sz w:val="22"/>
          <w:szCs w:val="22"/>
          <w:lang w:eastAsia="lt-LT"/>
        </w:rPr>
        <w:t>ketv</w:t>
      </w:r>
      <w:proofErr w:type="spellEnd"/>
      <w:r w:rsidR="008B47F9" w:rsidRPr="008B47F9">
        <w:rPr>
          <w:sz w:val="22"/>
          <w:szCs w:val="22"/>
          <w:lang w:eastAsia="lt-LT"/>
        </w:rPr>
        <w:t>. įtraukti projektų į valstybės projektų sąrašus arba skirti papildomą finansavimą už ne mažiau nei 18,3 mln. eurų</w:t>
      </w:r>
      <w:r w:rsidR="00F36194">
        <w:rPr>
          <w:sz w:val="22"/>
          <w:szCs w:val="22"/>
          <w:lang w:eastAsia="lt-LT"/>
        </w:rPr>
        <w:t>;</w:t>
      </w:r>
      <w:r w:rsidR="008B47F9" w:rsidRPr="008B47F9">
        <w:rPr>
          <w:sz w:val="22"/>
          <w:szCs w:val="22"/>
          <w:lang w:eastAsia="lt-LT"/>
        </w:rPr>
        <w:t xml:space="preserve"> </w:t>
      </w:r>
      <w:r w:rsidR="008B47F9">
        <w:rPr>
          <w:sz w:val="22"/>
          <w:szCs w:val="22"/>
          <w:lang w:eastAsia="lt-LT"/>
        </w:rPr>
        <w:t>2) i</w:t>
      </w:r>
      <w:r w:rsidR="008B47F9" w:rsidRPr="008B47F9">
        <w:rPr>
          <w:sz w:val="22"/>
          <w:szCs w:val="22"/>
          <w:lang w:eastAsia="lt-LT"/>
        </w:rPr>
        <w:t xml:space="preserve">ki 2020 m. II </w:t>
      </w:r>
      <w:proofErr w:type="spellStart"/>
      <w:r w:rsidR="008B47F9" w:rsidRPr="008B47F9">
        <w:rPr>
          <w:sz w:val="22"/>
          <w:szCs w:val="22"/>
          <w:lang w:eastAsia="lt-LT"/>
        </w:rPr>
        <w:t>ketv</w:t>
      </w:r>
      <w:proofErr w:type="spellEnd"/>
      <w:r w:rsidR="008B47F9" w:rsidRPr="008B47F9">
        <w:rPr>
          <w:sz w:val="22"/>
          <w:szCs w:val="22"/>
          <w:lang w:eastAsia="lt-LT"/>
        </w:rPr>
        <w:t xml:space="preserve">. </w:t>
      </w:r>
      <w:r w:rsidR="008B47F9">
        <w:rPr>
          <w:sz w:val="22"/>
          <w:szCs w:val="22"/>
          <w:lang w:eastAsia="lt-LT"/>
        </w:rPr>
        <w:t>p</w:t>
      </w:r>
      <w:r w:rsidR="008B47F9" w:rsidRPr="008B47F9">
        <w:rPr>
          <w:sz w:val="22"/>
          <w:szCs w:val="22"/>
          <w:lang w:eastAsia="lt-LT"/>
        </w:rPr>
        <w:t>ab</w:t>
      </w:r>
      <w:r w:rsidR="00F36194">
        <w:rPr>
          <w:sz w:val="22"/>
          <w:szCs w:val="22"/>
          <w:lang w:eastAsia="lt-LT"/>
        </w:rPr>
        <w:t>aigos</w:t>
      </w:r>
      <w:r w:rsidR="008B47F9" w:rsidRPr="008B47F9">
        <w:rPr>
          <w:sz w:val="22"/>
          <w:szCs w:val="22"/>
          <w:lang w:eastAsia="lt-LT"/>
        </w:rPr>
        <w:t xml:space="preserve"> į valstybės projektų sąrašus įtraukti visus projektus, kurie bus finansuojami iš 10 prioritetui skirto </w:t>
      </w:r>
      <w:proofErr w:type="spellStart"/>
      <w:r w:rsidR="008B47F9" w:rsidRPr="008B47F9">
        <w:rPr>
          <w:sz w:val="22"/>
          <w:szCs w:val="22"/>
          <w:lang w:eastAsia="lt-LT"/>
        </w:rPr>
        <w:t>virškontraktavimo</w:t>
      </w:r>
      <w:proofErr w:type="spellEnd"/>
      <w:r w:rsidR="008B47F9" w:rsidRPr="008B47F9">
        <w:rPr>
          <w:sz w:val="22"/>
          <w:szCs w:val="22"/>
          <w:lang w:eastAsia="lt-LT"/>
        </w:rPr>
        <w:t>.</w:t>
      </w:r>
    </w:p>
    <w:p w:rsidR="00C055BE" w:rsidRDefault="00C055BE" w:rsidP="002A1BA4">
      <w:pPr>
        <w:autoSpaceDE w:val="0"/>
        <w:autoSpaceDN w:val="0"/>
        <w:adjustRightInd w:val="0"/>
        <w:ind w:firstLine="567"/>
        <w:rPr>
          <w:b/>
          <w:sz w:val="22"/>
          <w:szCs w:val="22"/>
          <w:u w:val="single"/>
          <w:lang w:eastAsia="lt-LT"/>
        </w:rPr>
      </w:pPr>
    </w:p>
    <w:p w:rsidR="00D253F8" w:rsidRPr="00D253F8" w:rsidRDefault="00D253F8" w:rsidP="00D253F8">
      <w:pPr>
        <w:autoSpaceDE w:val="0"/>
        <w:autoSpaceDN w:val="0"/>
        <w:adjustRightInd w:val="0"/>
        <w:jc w:val="center"/>
        <w:rPr>
          <w:b/>
          <w:sz w:val="22"/>
          <w:szCs w:val="22"/>
          <w:u w:val="single"/>
          <w:lang w:eastAsia="lt-LT"/>
        </w:rPr>
      </w:pPr>
      <w:r w:rsidRPr="00D253F8">
        <w:rPr>
          <w:b/>
          <w:sz w:val="22"/>
          <w:szCs w:val="22"/>
          <w:u w:val="single"/>
          <w:lang w:eastAsia="lt-LT"/>
        </w:rPr>
        <w:t>Pasirengimas 2021–2027 m. periodui</w:t>
      </w:r>
    </w:p>
    <w:p w:rsidR="00D253F8" w:rsidRPr="00D253F8" w:rsidRDefault="00D253F8" w:rsidP="00D253F8">
      <w:pPr>
        <w:autoSpaceDE w:val="0"/>
        <w:autoSpaceDN w:val="0"/>
        <w:adjustRightInd w:val="0"/>
        <w:jc w:val="center"/>
        <w:rPr>
          <w:sz w:val="22"/>
          <w:szCs w:val="22"/>
          <w:lang w:eastAsia="lt-LT"/>
        </w:rPr>
      </w:pPr>
    </w:p>
    <w:p w:rsidR="00F80DFE" w:rsidRPr="00F80DFE" w:rsidRDefault="00F80DFE" w:rsidP="00F80DFE">
      <w:pPr>
        <w:autoSpaceDE w:val="0"/>
        <w:autoSpaceDN w:val="0"/>
        <w:adjustRightInd w:val="0"/>
        <w:ind w:firstLine="720"/>
        <w:rPr>
          <w:sz w:val="22"/>
          <w:szCs w:val="22"/>
          <w:lang w:eastAsia="lt-LT"/>
        </w:rPr>
      </w:pPr>
      <w:r w:rsidRPr="00F80DFE">
        <w:rPr>
          <w:sz w:val="22"/>
          <w:szCs w:val="22"/>
          <w:lang w:eastAsia="lt-LT"/>
        </w:rPr>
        <w:t xml:space="preserve">Kadangi </w:t>
      </w:r>
      <w:proofErr w:type="spellStart"/>
      <w:r w:rsidRPr="00F80DFE">
        <w:rPr>
          <w:sz w:val="22"/>
          <w:szCs w:val="22"/>
          <w:lang w:eastAsia="lt-LT"/>
        </w:rPr>
        <w:t>Eurostat</w:t>
      </w:r>
      <w:proofErr w:type="spellEnd"/>
      <w:r w:rsidRPr="00F80DFE">
        <w:rPr>
          <w:sz w:val="22"/>
          <w:szCs w:val="22"/>
          <w:lang w:eastAsia="lt-LT"/>
        </w:rPr>
        <w:t xml:space="preserve"> yra jau atnaujinta NUTS 2 regionų klasifikacija, Europos Komisijai </w:t>
      </w:r>
      <w:r w:rsidRPr="00F80DFE">
        <w:rPr>
          <w:sz w:val="22"/>
          <w:szCs w:val="22"/>
          <w:u w:val="single"/>
          <w:lang w:eastAsia="lt-LT"/>
        </w:rPr>
        <w:t>nebelieka kliūčių atnaujinti pasiūlymą dėl 2021–2027 m. Sanglaudos politikos įgyvendinimo pagal naujausią statistiką</w:t>
      </w:r>
      <w:r w:rsidRPr="00F80DFE">
        <w:rPr>
          <w:sz w:val="22"/>
          <w:szCs w:val="22"/>
          <w:lang w:eastAsia="lt-LT"/>
        </w:rPr>
        <w:t>. Pagal ją Lietuva būtų traktuojama ne kaip vienas, o kaip du statistiniai regionai – labiau išsivystęs Sostinės regionas ir mažiau išsivystęs Vidurio-Vakarų regionas. 2016 m. NUTS2 klasifikacijos naudojimas yra vienas iš Lietuvos prioritetų derybose dėl Sanglaudos politikos po 2020 m. Tai neturėtų įtakos Lietuvai skiriamų ES lėšų dydžiui, tačiau būtų garantuotos palankesnės ir lankstesnės nacionalinio finansavimo sąlygos.</w:t>
      </w:r>
    </w:p>
    <w:p w:rsidR="00D253F8" w:rsidRDefault="00F80DFE" w:rsidP="00F80DFE">
      <w:pPr>
        <w:autoSpaceDE w:val="0"/>
        <w:autoSpaceDN w:val="0"/>
        <w:adjustRightInd w:val="0"/>
        <w:ind w:firstLine="567"/>
        <w:rPr>
          <w:sz w:val="22"/>
          <w:szCs w:val="22"/>
          <w:lang w:eastAsia="lt-LT"/>
        </w:rPr>
      </w:pPr>
      <w:r w:rsidRPr="00F80DFE">
        <w:rPr>
          <w:sz w:val="22"/>
          <w:szCs w:val="22"/>
          <w:lang w:eastAsia="lt-LT"/>
        </w:rPr>
        <w:t>2019 m. balandžio 9 d. Europos Komisijos atstovai oficialiai pristatė ES sanglaudos politikos investicijų gaires Lietuvai 2021–2027 metams</w:t>
      </w:r>
      <w:r>
        <w:rPr>
          <w:sz w:val="22"/>
          <w:szCs w:val="22"/>
          <w:lang w:eastAsia="lt-LT"/>
        </w:rPr>
        <w:t xml:space="preserve">. </w:t>
      </w:r>
      <w:r w:rsidRPr="00F80DFE">
        <w:rPr>
          <w:sz w:val="22"/>
          <w:szCs w:val="22"/>
          <w:lang w:eastAsia="lt-LT"/>
        </w:rPr>
        <w:t>2019 m. birželio 27 d. įvyko pirmosios neformalios derybos su Europos Komisijos atstovais dėl Investicijų programos 1 prioriteto „Pažangesnė Lietuva</w:t>
      </w:r>
      <w:r>
        <w:rPr>
          <w:sz w:val="22"/>
          <w:szCs w:val="22"/>
          <w:lang w:eastAsia="lt-LT"/>
        </w:rPr>
        <w:t>“</w:t>
      </w:r>
      <w:r w:rsidRPr="00F80DFE">
        <w:rPr>
          <w:sz w:val="22"/>
          <w:szCs w:val="22"/>
          <w:lang w:eastAsia="lt-LT"/>
        </w:rPr>
        <w:t xml:space="preserve"> investicijų</w:t>
      </w:r>
      <w:r>
        <w:rPr>
          <w:sz w:val="22"/>
          <w:szCs w:val="22"/>
          <w:lang w:eastAsia="lt-LT"/>
        </w:rPr>
        <w:t xml:space="preserve">. </w:t>
      </w:r>
      <w:r w:rsidRPr="00F80DFE">
        <w:rPr>
          <w:sz w:val="22"/>
          <w:szCs w:val="22"/>
          <w:lang w:eastAsia="lt-LT"/>
        </w:rPr>
        <w:t xml:space="preserve">Antras neformalių derybų su EK susitikimas </w:t>
      </w:r>
      <w:r>
        <w:rPr>
          <w:sz w:val="22"/>
          <w:szCs w:val="22"/>
          <w:lang w:eastAsia="lt-LT"/>
        </w:rPr>
        <w:t>įvyko</w:t>
      </w:r>
      <w:r w:rsidRPr="00F80DFE">
        <w:rPr>
          <w:sz w:val="22"/>
          <w:szCs w:val="22"/>
          <w:lang w:eastAsia="lt-LT"/>
        </w:rPr>
        <w:t xml:space="preserve"> 2019 m. rugsėjo 10–11 d., šiame susitikime bus diskutuojama apie 4 prioriteto </w:t>
      </w:r>
      <w:r>
        <w:rPr>
          <w:sz w:val="22"/>
          <w:szCs w:val="22"/>
          <w:lang w:eastAsia="lt-LT"/>
        </w:rPr>
        <w:t>„</w:t>
      </w:r>
      <w:r w:rsidRPr="00F80DFE">
        <w:rPr>
          <w:sz w:val="22"/>
          <w:szCs w:val="22"/>
          <w:lang w:eastAsia="lt-LT"/>
        </w:rPr>
        <w:t>Socialiai atsakingesnė Lietuva</w:t>
      </w:r>
      <w:r>
        <w:rPr>
          <w:sz w:val="22"/>
          <w:szCs w:val="22"/>
          <w:lang w:eastAsia="lt-LT"/>
        </w:rPr>
        <w:t>“</w:t>
      </w:r>
      <w:r w:rsidRPr="00F80DFE">
        <w:rPr>
          <w:sz w:val="22"/>
          <w:szCs w:val="22"/>
          <w:lang w:eastAsia="lt-LT"/>
        </w:rPr>
        <w:t xml:space="preserve"> investicijas, reikalingas šios srities iššūkiams spręsti.</w:t>
      </w:r>
    </w:p>
    <w:p w:rsidR="00F80DFE" w:rsidRDefault="00F80DFE" w:rsidP="00F80DFE">
      <w:pPr>
        <w:autoSpaceDE w:val="0"/>
        <w:autoSpaceDN w:val="0"/>
        <w:adjustRightInd w:val="0"/>
        <w:ind w:firstLine="567"/>
        <w:rPr>
          <w:sz w:val="22"/>
          <w:szCs w:val="22"/>
          <w:lang w:eastAsia="lt-LT"/>
        </w:rPr>
      </w:pPr>
      <w:r>
        <w:rPr>
          <w:sz w:val="22"/>
          <w:szCs w:val="22"/>
          <w:lang w:eastAsia="lt-LT"/>
        </w:rPr>
        <w:t xml:space="preserve">Numatomas tolimesnių neformalių derybų grafikas: </w:t>
      </w:r>
    </w:p>
    <w:p w:rsidR="00F80DFE" w:rsidRDefault="00F80DFE" w:rsidP="00F80DFE">
      <w:pPr>
        <w:autoSpaceDE w:val="0"/>
        <w:autoSpaceDN w:val="0"/>
        <w:adjustRightInd w:val="0"/>
        <w:ind w:firstLine="567"/>
        <w:rPr>
          <w:sz w:val="22"/>
          <w:szCs w:val="22"/>
          <w:lang w:eastAsia="lt-LT"/>
        </w:rPr>
      </w:pPr>
    </w:p>
    <w:tbl>
      <w:tblPr>
        <w:tblStyle w:val="viesustinklelis1parykinimas"/>
        <w:tblW w:w="0" w:type="auto"/>
        <w:jc w:val="center"/>
        <w:tblLook w:val="04A0" w:firstRow="1" w:lastRow="0" w:firstColumn="1" w:lastColumn="0" w:noHBand="0" w:noVBand="1"/>
      </w:tblPr>
      <w:tblGrid>
        <w:gridCol w:w="4591"/>
        <w:gridCol w:w="3196"/>
      </w:tblGrid>
      <w:tr w:rsidR="00F80DFE" w:rsidRPr="00F80DFE" w:rsidTr="00F80DF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91" w:type="dxa"/>
          </w:tcPr>
          <w:p w:rsidR="00F80DFE" w:rsidRPr="00F80DFE" w:rsidRDefault="00F80DFE" w:rsidP="00F80DFE">
            <w:pPr>
              <w:jc w:val="center"/>
              <w:rPr>
                <w:rFonts w:asciiTheme="minorHAnsi" w:hAnsiTheme="minorHAnsi"/>
                <w:color w:val="666666"/>
                <w:szCs w:val="24"/>
                <w:lang w:eastAsia="en-US"/>
              </w:rPr>
            </w:pPr>
            <w:r w:rsidRPr="00F80DFE">
              <w:rPr>
                <w:rFonts w:asciiTheme="minorHAnsi" w:hAnsiTheme="minorHAnsi"/>
                <w:color w:val="666666"/>
                <w:szCs w:val="24"/>
                <w:lang w:eastAsia="en-US"/>
              </w:rPr>
              <w:t>2021–2027 m. Investicijų programos prioritetas</w:t>
            </w:r>
          </w:p>
        </w:tc>
        <w:tc>
          <w:tcPr>
            <w:tcW w:w="3196" w:type="dxa"/>
          </w:tcPr>
          <w:p w:rsidR="00F80DFE" w:rsidRPr="00F80DFE" w:rsidRDefault="00F80DFE" w:rsidP="00F80DF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666666"/>
                <w:szCs w:val="24"/>
                <w:lang w:eastAsia="en-US"/>
              </w:rPr>
            </w:pPr>
            <w:r w:rsidRPr="00F80DFE">
              <w:rPr>
                <w:rFonts w:asciiTheme="minorHAnsi" w:hAnsiTheme="minorHAnsi"/>
                <w:color w:val="666666"/>
                <w:szCs w:val="24"/>
                <w:lang w:eastAsia="en-US"/>
              </w:rPr>
              <w:t>Preliminari neformalių derybų su EK data</w:t>
            </w:r>
          </w:p>
        </w:tc>
      </w:tr>
      <w:tr w:rsidR="00F80DFE" w:rsidRPr="00F80DFE" w:rsidTr="00F80DF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91" w:type="dxa"/>
          </w:tcPr>
          <w:p w:rsidR="00F80DFE" w:rsidRPr="00F80DFE" w:rsidRDefault="00F80DFE" w:rsidP="00F80DFE">
            <w:pPr>
              <w:jc w:val="left"/>
              <w:rPr>
                <w:rFonts w:asciiTheme="minorHAnsi" w:hAnsiTheme="minorHAnsi"/>
                <w:color w:val="666666"/>
                <w:szCs w:val="24"/>
                <w:lang w:eastAsia="lt-LT"/>
              </w:rPr>
            </w:pPr>
            <w:r w:rsidRPr="00F80DFE">
              <w:rPr>
                <w:rFonts w:asciiTheme="minorHAnsi" w:hAnsiTheme="minorHAnsi"/>
                <w:color w:val="666666"/>
                <w:szCs w:val="24"/>
                <w:lang w:eastAsia="lt-LT"/>
              </w:rPr>
              <w:t>1 prioritetas „Pažangesnė Lietuva“</w:t>
            </w:r>
          </w:p>
        </w:tc>
        <w:tc>
          <w:tcPr>
            <w:tcW w:w="3196" w:type="dxa"/>
          </w:tcPr>
          <w:p w:rsidR="00F80DFE" w:rsidRPr="00F80DFE" w:rsidRDefault="00F80DFE" w:rsidP="00F80DF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Cs/>
                <w:i/>
                <w:color w:val="666666"/>
                <w:szCs w:val="24"/>
                <w:lang w:eastAsia="lt-LT"/>
              </w:rPr>
            </w:pPr>
            <w:r w:rsidRPr="00F80DFE">
              <w:rPr>
                <w:rFonts w:asciiTheme="minorHAnsi" w:hAnsiTheme="minorHAnsi"/>
                <w:bCs/>
                <w:i/>
                <w:color w:val="666666"/>
                <w:szCs w:val="24"/>
                <w:lang w:eastAsia="lt-LT"/>
              </w:rPr>
              <w:t xml:space="preserve">      </w:t>
            </w:r>
            <w:r w:rsidRPr="00F80DFE">
              <w:rPr>
                <w:rFonts w:asciiTheme="minorHAnsi" w:hAnsiTheme="minorHAnsi"/>
                <w:bCs/>
                <w:i/>
                <w:color w:val="666666"/>
                <w:szCs w:val="24"/>
                <w:lang w:eastAsia="lt-LT"/>
              </w:rPr>
              <w:t xml:space="preserve">2019-06-27 </w:t>
            </w:r>
          </w:p>
        </w:tc>
      </w:tr>
      <w:tr w:rsidR="00F80DFE" w:rsidRPr="00F80DFE" w:rsidTr="00F80DF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91" w:type="dxa"/>
          </w:tcPr>
          <w:p w:rsidR="00F80DFE" w:rsidRPr="00F80DFE" w:rsidRDefault="00F80DFE" w:rsidP="00F80DFE">
            <w:pPr>
              <w:jc w:val="left"/>
              <w:rPr>
                <w:rFonts w:asciiTheme="minorHAnsi" w:hAnsiTheme="minorHAnsi"/>
                <w:color w:val="666666"/>
                <w:szCs w:val="24"/>
                <w:lang w:eastAsia="en-US"/>
              </w:rPr>
            </w:pPr>
            <w:r w:rsidRPr="00F80DFE">
              <w:rPr>
                <w:rFonts w:asciiTheme="minorHAnsi" w:hAnsiTheme="minorHAnsi"/>
                <w:color w:val="666666"/>
                <w:szCs w:val="24"/>
                <w:lang w:eastAsia="lt-LT"/>
              </w:rPr>
              <w:t>2 prioritetas „Žalesnė Lietuva“</w:t>
            </w:r>
          </w:p>
        </w:tc>
        <w:tc>
          <w:tcPr>
            <w:tcW w:w="3196" w:type="dxa"/>
          </w:tcPr>
          <w:p w:rsidR="00F80DFE" w:rsidRPr="00F80DFE" w:rsidRDefault="00F80DFE" w:rsidP="00F80DFE">
            <w:pPr>
              <w:ind w:firstLine="426"/>
              <w:jc w:val="center"/>
              <w:cnfStyle w:val="000000010000" w:firstRow="0" w:lastRow="0" w:firstColumn="0" w:lastColumn="0" w:oddVBand="0" w:evenVBand="0" w:oddHBand="0" w:evenHBand="1" w:firstRowFirstColumn="0" w:firstRowLastColumn="0" w:lastRowFirstColumn="0" w:lastRowLastColumn="0"/>
              <w:rPr>
                <w:rFonts w:asciiTheme="minorHAnsi" w:hAnsiTheme="minorHAnsi"/>
                <w:b/>
                <w:bCs/>
                <w:color w:val="666666"/>
                <w:szCs w:val="24"/>
                <w:lang w:eastAsia="lt-LT"/>
              </w:rPr>
            </w:pPr>
            <w:r w:rsidRPr="00F80DFE">
              <w:rPr>
                <w:rFonts w:asciiTheme="minorHAnsi" w:hAnsiTheme="minorHAnsi"/>
                <w:b/>
                <w:bCs/>
                <w:color w:val="666666"/>
                <w:szCs w:val="24"/>
                <w:lang w:eastAsia="lt-LT"/>
              </w:rPr>
              <w:t>2019-10-17</w:t>
            </w:r>
          </w:p>
        </w:tc>
      </w:tr>
      <w:tr w:rsidR="00F80DFE" w:rsidRPr="00F80DFE" w:rsidTr="00F80DF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91" w:type="dxa"/>
          </w:tcPr>
          <w:p w:rsidR="00F80DFE" w:rsidRPr="00F80DFE" w:rsidRDefault="00F80DFE" w:rsidP="00F80DFE">
            <w:pPr>
              <w:jc w:val="left"/>
              <w:rPr>
                <w:rFonts w:asciiTheme="minorHAnsi" w:hAnsiTheme="minorHAnsi"/>
                <w:color w:val="666666"/>
                <w:szCs w:val="24"/>
                <w:lang w:eastAsia="en-US"/>
              </w:rPr>
            </w:pPr>
            <w:r w:rsidRPr="00F80DFE">
              <w:rPr>
                <w:rFonts w:asciiTheme="minorHAnsi" w:hAnsiTheme="minorHAnsi"/>
                <w:color w:val="666666"/>
                <w:szCs w:val="24"/>
                <w:lang w:eastAsia="lt-LT"/>
              </w:rPr>
              <w:t>3 prioritetas „Geriau sujungta Lietuva“</w:t>
            </w:r>
          </w:p>
        </w:tc>
        <w:tc>
          <w:tcPr>
            <w:tcW w:w="3196" w:type="dxa"/>
          </w:tcPr>
          <w:p w:rsidR="00F80DFE" w:rsidRPr="00F80DFE" w:rsidRDefault="00F80DFE" w:rsidP="00F80DFE">
            <w:pPr>
              <w:ind w:firstLine="42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666666"/>
                <w:szCs w:val="24"/>
                <w:lang w:eastAsia="en-US"/>
              </w:rPr>
            </w:pPr>
            <w:r w:rsidRPr="00F80DFE">
              <w:rPr>
                <w:rFonts w:asciiTheme="minorHAnsi" w:hAnsiTheme="minorHAnsi"/>
                <w:b/>
                <w:bCs/>
                <w:color w:val="666666"/>
                <w:szCs w:val="24"/>
                <w:lang w:eastAsia="lt-LT"/>
              </w:rPr>
              <w:t>2019-10-17</w:t>
            </w:r>
          </w:p>
        </w:tc>
      </w:tr>
      <w:tr w:rsidR="00F80DFE" w:rsidRPr="00F80DFE" w:rsidTr="00F80DF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91" w:type="dxa"/>
          </w:tcPr>
          <w:p w:rsidR="00F80DFE" w:rsidRPr="00F80DFE" w:rsidRDefault="00F80DFE" w:rsidP="00F80DFE">
            <w:pPr>
              <w:jc w:val="left"/>
              <w:rPr>
                <w:rFonts w:asciiTheme="minorHAnsi" w:hAnsiTheme="minorHAnsi"/>
                <w:color w:val="666666"/>
                <w:szCs w:val="24"/>
                <w:lang w:eastAsia="en-US"/>
              </w:rPr>
            </w:pPr>
            <w:r w:rsidRPr="00F80DFE">
              <w:rPr>
                <w:rFonts w:asciiTheme="minorHAnsi" w:hAnsiTheme="minorHAnsi"/>
                <w:color w:val="666666"/>
                <w:szCs w:val="24"/>
                <w:lang w:eastAsia="lt-LT"/>
              </w:rPr>
              <w:t>4 prioritetas „Socialiai atsakingesnė Lietuva“</w:t>
            </w:r>
          </w:p>
        </w:tc>
        <w:tc>
          <w:tcPr>
            <w:tcW w:w="3196" w:type="dxa"/>
          </w:tcPr>
          <w:p w:rsidR="00F80DFE" w:rsidRPr="00F80DFE" w:rsidRDefault="00F80DFE" w:rsidP="00F80DFE">
            <w:pPr>
              <w:ind w:firstLine="426"/>
              <w:jc w:val="center"/>
              <w:cnfStyle w:val="000000010000" w:firstRow="0" w:lastRow="0" w:firstColumn="0" w:lastColumn="0" w:oddVBand="0" w:evenVBand="0" w:oddHBand="0" w:evenHBand="1" w:firstRowFirstColumn="0" w:firstRowLastColumn="0" w:lastRowFirstColumn="0" w:lastRowLastColumn="0"/>
              <w:rPr>
                <w:rFonts w:asciiTheme="minorHAnsi" w:hAnsiTheme="minorHAnsi"/>
                <w:i/>
                <w:color w:val="666666"/>
                <w:szCs w:val="24"/>
                <w:lang w:eastAsia="en-US"/>
              </w:rPr>
            </w:pPr>
            <w:r w:rsidRPr="00F80DFE">
              <w:rPr>
                <w:rFonts w:asciiTheme="minorHAnsi" w:hAnsiTheme="minorHAnsi"/>
                <w:bCs/>
                <w:i/>
                <w:color w:val="666666"/>
                <w:szCs w:val="24"/>
                <w:lang w:eastAsia="lt-LT"/>
              </w:rPr>
              <w:t>2019-09-10/11</w:t>
            </w:r>
          </w:p>
        </w:tc>
      </w:tr>
      <w:tr w:rsidR="00F80DFE" w:rsidRPr="00F80DFE" w:rsidTr="00F80DF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91" w:type="dxa"/>
          </w:tcPr>
          <w:p w:rsidR="00F80DFE" w:rsidRPr="00F80DFE" w:rsidRDefault="00F80DFE" w:rsidP="00F80DFE">
            <w:pPr>
              <w:jc w:val="left"/>
              <w:rPr>
                <w:rFonts w:asciiTheme="minorHAnsi" w:hAnsiTheme="minorHAnsi"/>
                <w:color w:val="666666"/>
                <w:szCs w:val="24"/>
                <w:lang w:eastAsia="en-US"/>
              </w:rPr>
            </w:pPr>
            <w:r w:rsidRPr="00F80DFE">
              <w:rPr>
                <w:rFonts w:asciiTheme="minorHAnsi" w:hAnsiTheme="minorHAnsi"/>
                <w:color w:val="666666"/>
                <w:szCs w:val="24"/>
                <w:lang w:eastAsia="lt-LT"/>
              </w:rPr>
              <w:t>5 prioritetas „Piliečiams artimesnė Lietuva“</w:t>
            </w:r>
          </w:p>
        </w:tc>
        <w:tc>
          <w:tcPr>
            <w:tcW w:w="3196" w:type="dxa"/>
          </w:tcPr>
          <w:p w:rsidR="00F80DFE" w:rsidRPr="00F80DFE" w:rsidRDefault="00F80DFE" w:rsidP="00F80DFE">
            <w:pPr>
              <w:ind w:firstLine="42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666666"/>
                <w:szCs w:val="24"/>
                <w:lang w:eastAsia="en-US"/>
              </w:rPr>
            </w:pPr>
            <w:r w:rsidRPr="00F80DFE">
              <w:rPr>
                <w:rFonts w:asciiTheme="minorHAnsi" w:hAnsiTheme="minorHAnsi"/>
                <w:b/>
                <w:bCs/>
                <w:color w:val="666666"/>
                <w:szCs w:val="24"/>
                <w:lang w:eastAsia="lt-LT"/>
              </w:rPr>
              <w:t>2019-10-18</w:t>
            </w:r>
          </w:p>
        </w:tc>
      </w:tr>
    </w:tbl>
    <w:p w:rsidR="00F80DFE" w:rsidRDefault="00F80DFE" w:rsidP="00F80DFE">
      <w:pPr>
        <w:autoSpaceDE w:val="0"/>
        <w:autoSpaceDN w:val="0"/>
        <w:adjustRightInd w:val="0"/>
        <w:ind w:firstLine="567"/>
        <w:rPr>
          <w:sz w:val="22"/>
          <w:szCs w:val="22"/>
          <w:lang w:eastAsia="lt-LT"/>
        </w:rPr>
      </w:pPr>
    </w:p>
    <w:p w:rsidR="00F80DFE" w:rsidRPr="00D253F8" w:rsidRDefault="00F80DFE" w:rsidP="00F80DFE">
      <w:pPr>
        <w:autoSpaceDE w:val="0"/>
        <w:autoSpaceDN w:val="0"/>
        <w:adjustRightInd w:val="0"/>
        <w:rPr>
          <w:lang w:eastAsia="lt-LT"/>
        </w:rPr>
      </w:pPr>
    </w:p>
    <w:p w:rsidR="00245532" w:rsidRPr="0060620F" w:rsidRDefault="00E6141B" w:rsidP="004A192E">
      <w:pPr>
        <w:autoSpaceDE w:val="0"/>
        <w:autoSpaceDN w:val="0"/>
        <w:adjustRightInd w:val="0"/>
        <w:ind w:firstLine="567"/>
        <w:rPr>
          <w:b/>
          <w:sz w:val="22"/>
          <w:szCs w:val="22"/>
          <w:lang w:eastAsia="lt-LT"/>
        </w:rPr>
      </w:pPr>
      <w:r w:rsidRPr="0060620F">
        <w:rPr>
          <w:b/>
          <w:sz w:val="22"/>
          <w:szCs w:val="22"/>
          <w:lang w:eastAsia="lt-LT"/>
        </w:rPr>
        <w:t>Dalykinio vertinimo išvada</w:t>
      </w:r>
    </w:p>
    <w:p w:rsidR="00E6141B" w:rsidRPr="0060620F" w:rsidRDefault="00E6141B" w:rsidP="004A192E">
      <w:pPr>
        <w:autoSpaceDE w:val="0"/>
        <w:autoSpaceDN w:val="0"/>
        <w:adjustRightInd w:val="0"/>
        <w:ind w:firstLine="567"/>
        <w:rPr>
          <w:sz w:val="22"/>
          <w:szCs w:val="22"/>
          <w:lang w:eastAsia="lt-LT"/>
        </w:rPr>
      </w:pPr>
    </w:p>
    <w:p w:rsidR="00E6141B" w:rsidRPr="0060620F" w:rsidRDefault="00E6141B" w:rsidP="004A192E">
      <w:pPr>
        <w:autoSpaceDE w:val="0"/>
        <w:autoSpaceDN w:val="0"/>
        <w:adjustRightInd w:val="0"/>
        <w:ind w:firstLine="567"/>
        <w:rPr>
          <w:sz w:val="22"/>
          <w:szCs w:val="22"/>
          <w:lang w:eastAsia="lt-LT"/>
        </w:rPr>
      </w:pPr>
      <w:r w:rsidRPr="0060620F">
        <w:rPr>
          <w:sz w:val="22"/>
          <w:szCs w:val="22"/>
          <w:lang w:eastAsia="lt-LT"/>
        </w:rPr>
        <w:t xml:space="preserve">Siūlytina ataskaitą svarstyti Vyriausybės pasitarime ir </w:t>
      </w:r>
      <w:r w:rsidR="002B00E3">
        <w:rPr>
          <w:sz w:val="22"/>
          <w:szCs w:val="22"/>
          <w:lang w:eastAsia="lt-LT"/>
        </w:rPr>
        <w:t>p</w:t>
      </w:r>
      <w:r w:rsidR="002B00E3" w:rsidRPr="002B00E3">
        <w:rPr>
          <w:sz w:val="22"/>
          <w:szCs w:val="22"/>
          <w:lang w:eastAsia="lt-LT"/>
        </w:rPr>
        <w:t xml:space="preserve">ritarti </w:t>
      </w:r>
      <w:r w:rsidR="002B00E3">
        <w:rPr>
          <w:sz w:val="22"/>
          <w:szCs w:val="22"/>
          <w:lang w:eastAsia="lt-LT"/>
        </w:rPr>
        <w:t xml:space="preserve">Finansų ministerijos </w:t>
      </w:r>
      <w:r w:rsidR="002B00E3" w:rsidRPr="002B00E3">
        <w:rPr>
          <w:sz w:val="22"/>
          <w:szCs w:val="22"/>
          <w:lang w:eastAsia="lt-LT"/>
        </w:rPr>
        <w:t xml:space="preserve">pasiūlymams, teikiamiems kartu su </w:t>
      </w:r>
      <w:r w:rsidR="002B00E3">
        <w:rPr>
          <w:sz w:val="22"/>
          <w:szCs w:val="22"/>
          <w:lang w:eastAsia="lt-LT"/>
        </w:rPr>
        <w:t xml:space="preserve">ataskaita. </w:t>
      </w:r>
    </w:p>
    <w:p w:rsidR="00245532" w:rsidRPr="0060620F" w:rsidRDefault="00245532" w:rsidP="004A192E">
      <w:pPr>
        <w:autoSpaceDE w:val="0"/>
        <w:autoSpaceDN w:val="0"/>
        <w:adjustRightInd w:val="0"/>
        <w:ind w:firstLine="567"/>
        <w:rPr>
          <w:sz w:val="22"/>
          <w:szCs w:val="22"/>
          <w:lang w:eastAsia="lt-LT"/>
        </w:rPr>
      </w:pPr>
    </w:p>
    <w:p w:rsidR="00245532" w:rsidRPr="0060620F" w:rsidRDefault="00245532" w:rsidP="004A192E">
      <w:pPr>
        <w:autoSpaceDE w:val="0"/>
        <w:autoSpaceDN w:val="0"/>
        <w:adjustRightInd w:val="0"/>
        <w:ind w:firstLine="567"/>
        <w:rPr>
          <w:sz w:val="22"/>
          <w:szCs w:val="22"/>
          <w:lang w:eastAsia="lt-LT"/>
        </w:rPr>
      </w:pPr>
    </w:p>
    <w:p w:rsidR="002D2622" w:rsidRPr="0060620F" w:rsidRDefault="00AE5496" w:rsidP="00C613BC">
      <w:pPr>
        <w:rPr>
          <w:sz w:val="22"/>
          <w:szCs w:val="22"/>
        </w:rPr>
      </w:pPr>
      <w:r>
        <w:rPr>
          <w:sz w:val="22"/>
          <w:szCs w:val="22"/>
        </w:rPr>
        <w:t>G</w:t>
      </w:r>
      <w:r w:rsidR="00C613BC" w:rsidRPr="0060620F">
        <w:rPr>
          <w:sz w:val="22"/>
          <w:szCs w:val="22"/>
        </w:rPr>
        <w:t>rupės</w:t>
      </w:r>
      <w:r>
        <w:rPr>
          <w:sz w:val="22"/>
          <w:szCs w:val="22"/>
        </w:rPr>
        <w:t xml:space="preserve"> </w:t>
      </w:r>
      <w:r w:rsidR="00DF678D" w:rsidRPr="0060620F">
        <w:rPr>
          <w:sz w:val="22"/>
          <w:szCs w:val="22"/>
        </w:rPr>
        <w:t xml:space="preserve">patarėja                                                                      </w:t>
      </w:r>
      <w:r w:rsidR="00C613BC" w:rsidRPr="0060620F">
        <w:rPr>
          <w:sz w:val="22"/>
          <w:szCs w:val="22"/>
        </w:rPr>
        <w:t xml:space="preserve">                </w:t>
      </w:r>
      <w:r w:rsidR="00DF678D" w:rsidRPr="0060620F">
        <w:rPr>
          <w:sz w:val="22"/>
          <w:szCs w:val="22"/>
        </w:rPr>
        <w:t xml:space="preserve">    </w:t>
      </w:r>
      <w:r w:rsidR="00A850DA" w:rsidRPr="0060620F">
        <w:rPr>
          <w:sz w:val="22"/>
          <w:szCs w:val="22"/>
        </w:rPr>
        <w:t xml:space="preserve">       </w:t>
      </w:r>
      <w:r w:rsidR="00C13EA0" w:rsidRPr="0060620F">
        <w:rPr>
          <w:sz w:val="22"/>
          <w:szCs w:val="22"/>
        </w:rPr>
        <w:t xml:space="preserve">      </w:t>
      </w:r>
      <w:r w:rsidR="00C613BC" w:rsidRPr="0060620F">
        <w:rPr>
          <w:sz w:val="22"/>
          <w:szCs w:val="22"/>
        </w:rPr>
        <w:t xml:space="preserve">       </w:t>
      </w:r>
      <w:r w:rsidR="00C13EA0" w:rsidRPr="0060620F">
        <w:rPr>
          <w:sz w:val="22"/>
          <w:szCs w:val="22"/>
        </w:rPr>
        <w:t xml:space="preserve">  </w:t>
      </w:r>
      <w:r w:rsidR="00DF678D" w:rsidRPr="0060620F">
        <w:rPr>
          <w:sz w:val="22"/>
          <w:szCs w:val="22"/>
        </w:rPr>
        <w:t>Šarūnė Navickaitė-</w:t>
      </w:r>
      <w:proofErr w:type="spellStart"/>
      <w:r w:rsidR="00DF678D" w:rsidRPr="0060620F">
        <w:rPr>
          <w:sz w:val="22"/>
          <w:szCs w:val="22"/>
        </w:rPr>
        <w:t>Dulaitienė</w:t>
      </w:r>
      <w:proofErr w:type="spellEnd"/>
      <w:r w:rsidR="00DF678D" w:rsidRPr="0060620F">
        <w:rPr>
          <w:sz w:val="22"/>
          <w:szCs w:val="22"/>
        </w:rPr>
        <w:t xml:space="preserve">                                                              </w:t>
      </w:r>
    </w:p>
    <w:p w:rsidR="005A7E22" w:rsidRDefault="005A7E22" w:rsidP="00A30205">
      <w:pPr>
        <w:pStyle w:val="Preformatted"/>
        <w:spacing w:line="360" w:lineRule="auto"/>
        <w:rPr>
          <w:rFonts w:ascii="Times New Roman" w:hAnsi="Times New Roman"/>
          <w:sz w:val="22"/>
          <w:szCs w:val="22"/>
        </w:rPr>
      </w:pPr>
    </w:p>
    <w:p w:rsidR="005A7E22" w:rsidRPr="0039310B" w:rsidRDefault="005A7E22" w:rsidP="00ED5CB9">
      <w:pPr>
        <w:pStyle w:val="Preformatted"/>
        <w:spacing w:line="360" w:lineRule="auto"/>
        <w:rPr>
          <w:rFonts w:ascii="Times New Roman" w:hAnsi="Times New Roman"/>
          <w:sz w:val="22"/>
          <w:szCs w:val="22"/>
        </w:rPr>
      </w:pPr>
    </w:p>
    <w:sectPr w:rsidR="005A7E22" w:rsidRPr="0039310B" w:rsidSect="00A6341B">
      <w:headerReference w:type="default" r:id="rId10"/>
      <w:footerReference w:type="first" r:id="rId11"/>
      <w:footnotePr>
        <w:pos w:val="beneathText"/>
      </w:footnotePr>
      <w:pgSz w:w="11907" w:h="16840" w:code="9"/>
      <w:pgMar w:top="851" w:right="709" w:bottom="709" w:left="851" w:header="567" w:footer="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171D" w:rsidRDefault="00B6171D">
      <w:r>
        <w:separator/>
      </w:r>
    </w:p>
  </w:endnote>
  <w:endnote w:type="continuationSeparator" w:id="0">
    <w:p w:rsidR="00B6171D" w:rsidRDefault="00B61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4641222"/>
      <w:docPartObj>
        <w:docPartGallery w:val="Page Numbers (Bottom of Page)"/>
        <w:docPartUnique/>
      </w:docPartObj>
    </w:sdtPr>
    <w:sdtEndPr>
      <w:rPr>
        <w:noProof/>
      </w:rPr>
    </w:sdtEndPr>
    <w:sdtContent>
      <w:p w:rsidR="00A10AC0" w:rsidRDefault="00A10AC0">
        <w:pPr>
          <w:pStyle w:val="Porat"/>
          <w:jc w:val="right"/>
        </w:pPr>
        <w:r>
          <w:fldChar w:fldCharType="begin"/>
        </w:r>
        <w:r>
          <w:instrText xml:space="preserve"> PAGE   \* MERGEFORMAT </w:instrText>
        </w:r>
        <w:r>
          <w:fldChar w:fldCharType="separate"/>
        </w:r>
        <w:r w:rsidR="005A7E22">
          <w:rPr>
            <w:noProof/>
          </w:rPr>
          <w:t>1</w:t>
        </w:r>
        <w:r>
          <w:rPr>
            <w:noProof/>
          </w:rPr>
          <w:fldChar w:fldCharType="end"/>
        </w:r>
      </w:p>
    </w:sdtContent>
  </w:sdt>
  <w:p w:rsidR="00A10AC0" w:rsidRDefault="00A10AC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171D" w:rsidRDefault="00B6171D">
      <w:r>
        <w:separator/>
      </w:r>
    </w:p>
  </w:footnote>
  <w:footnote w:type="continuationSeparator" w:id="0">
    <w:p w:rsidR="00B6171D" w:rsidRDefault="00B617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939" w:rsidRPr="00913597" w:rsidRDefault="00A45939" w:rsidP="00A45939">
    <w:pPr>
      <w:pStyle w:val="Antrats"/>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5A7E22">
      <w:rPr>
        <w:noProof/>
        <w:szCs w:val="24"/>
      </w:rPr>
      <w:t>3</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73E90"/>
    <w:multiLevelType w:val="hybridMultilevel"/>
    <w:tmpl w:val="ADD42060"/>
    <w:lvl w:ilvl="0" w:tplc="527611D0">
      <w:start w:val="3"/>
      <w:numFmt w:val="bullet"/>
      <w:lvlText w:val="-"/>
      <w:lvlJc w:val="left"/>
      <w:pPr>
        <w:ind w:left="987" w:hanging="360"/>
      </w:pPr>
      <w:rPr>
        <w:rFonts w:ascii="Times New Roman" w:eastAsia="Times New Roman" w:hAnsi="Times New Roman" w:cs="Times New Roman" w:hint="default"/>
      </w:rPr>
    </w:lvl>
    <w:lvl w:ilvl="1" w:tplc="04270003" w:tentative="1">
      <w:start w:val="1"/>
      <w:numFmt w:val="bullet"/>
      <w:lvlText w:val="o"/>
      <w:lvlJc w:val="left"/>
      <w:pPr>
        <w:ind w:left="1707" w:hanging="360"/>
      </w:pPr>
      <w:rPr>
        <w:rFonts w:ascii="Courier New" w:hAnsi="Courier New" w:cs="Courier New" w:hint="default"/>
      </w:rPr>
    </w:lvl>
    <w:lvl w:ilvl="2" w:tplc="04270005" w:tentative="1">
      <w:start w:val="1"/>
      <w:numFmt w:val="bullet"/>
      <w:lvlText w:val=""/>
      <w:lvlJc w:val="left"/>
      <w:pPr>
        <w:ind w:left="2427" w:hanging="360"/>
      </w:pPr>
      <w:rPr>
        <w:rFonts w:ascii="Wingdings" w:hAnsi="Wingdings" w:hint="default"/>
      </w:rPr>
    </w:lvl>
    <w:lvl w:ilvl="3" w:tplc="04270001" w:tentative="1">
      <w:start w:val="1"/>
      <w:numFmt w:val="bullet"/>
      <w:lvlText w:val=""/>
      <w:lvlJc w:val="left"/>
      <w:pPr>
        <w:ind w:left="3147" w:hanging="360"/>
      </w:pPr>
      <w:rPr>
        <w:rFonts w:ascii="Symbol" w:hAnsi="Symbol" w:hint="default"/>
      </w:rPr>
    </w:lvl>
    <w:lvl w:ilvl="4" w:tplc="04270003" w:tentative="1">
      <w:start w:val="1"/>
      <w:numFmt w:val="bullet"/>
      <w:lvlText w:val="o"/>
      <w:lvlJc w:val="left"/>
      <w:pPr>
        <w:ind w:left="3867" w:hanging="360"/>
      </w:pPr>
      <w:rPr>
        <w:rFonts w:ascii="Courier New" w:hAnsi="Courier New" w:cs="Courier New" w:hint="default"/>
      </w:rPr>
    </w:lvl>
    <w:lvl w:ilvl="5" w:tplc="04270005" w:tentative="1">
      <w:start w:val="1"/>
      <w:numFmt w:val="bullet"/>
      <w:lvlText w:val=""/>
      <w:lvlJc w:val="left"/>
      <w:pPr>
        <w:ind w:left="4587" w:hanging="360"/>
      </w:pPr>
      <w:rPr>
        <w:rFonts w:ascii="Wingdings" w:hAnsi="Wingdings" w:hint="default"/>
      </w:rPr>
    </w:lvl>
    <w:lvl w:ilvl="6" w:tplc="04270001" w:tentative="1">
      <w:start w:val="1"/>
      <w:numFmt w:val="bullet"/>
      <w:lvlText w:val=""/>
      <w:lvlJc w:val="left"/>
      <w:pPr>
        <w:ind w:left="5307" w:hanging="360"/>
      </w:pPr>
      <w:rPr>
        <w:rFonts w:ascii="Symbol" w:hAnsi="Symbol" w:hint="default"/>
      </w:rPr>
    </w:lvl>
    <w:lvl w:ilvl="7" w:tplc="04270003" w:tentative="1">
      <w:start w:val="1"/>
      <w:numFmt w:val="bullet"/>
      <w:lvlText w:val="o"/>
      <w:lvlJc w:val="left"/>
      <w:pPr>
        <w:ind w:left="6027" w:hanging="360"/>
      </w:pPr>
      <w:rPr>
        <w:rFonts w:ascii="Courier New" w:hAnsi="Courier New" w:cs="Courier New" w:hint="default"/>
      </w:rPr>
    </w:lvl>
    <w:lvl w:ilvl="8" w:tplc="04270005" w:tentative="1">
      <w:start w:val="1"/>
      <w:numFmt w:val="bullet"/>
      <w:lvlText w:val=""/>
      <w:lvlJc w:val="left"/>
      <w:pPr>
        <w:ind w:left="6747" w:hanging="360"/>
      </w:pPr>
      <w:rPr>
        <w:rFonts w:ascii="Wingdings" w:hAnsi="Wingdings" w:hint="default"/>
      </w:rPr>
    </w:lvl>
  </w:abstractNum>
  <w:abstractNum w:abstractNumId="1" w15:restartNumberingAfterBreak="0">
    <w:nsid w:val="1CBC0D99"/>
    <w:multiLevelType w:val="hybridMultilevel"/>
    <w:tmpl w:val="450EB158"/>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26873D4C"/>
    <w:multiLevelType w:val="hybridMultilevel"/>
    <w:tmpl w:val="1A547CCE"/>
    <w:lvl w:ilvl="0" w:tplc="BB94BA42">
      <w:start w:val="3"/>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09B5CFF"/>
    <w:multiLevelType w:val="hybridMultilevel"/>
    <w:tmpl w:val="D154277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37585B8E"/>
    <w:multiLevelType w:val="hybridMultilevel"/>
    <w:tmpl w:val="3EC67D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7B5D26"/>
    <w:multiLevelType w:val="multilevel"/>
    <w:tmpl w:val="327AE7CA"/>
    <w:lvl w:ilvl="0">
      <w:start w:val="1"/>
      <w:numFmt w:val="decimal"/>
      <w:lvlText w:val="%1."/>
      <w:lvlJc w:val="left"/>
      <w:pPr>
        <w:ind w:left="1004" w:hanging="36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6" w15:restartNumberingAfterBreak="0">
    <w:nsid w:val="518A6BE2"/>
    <w:multiLevelType w:val="hybridMultilevel"/>
    <w:tmpl w:val="FCBA325C"/>
    <w:lvl w:ilvl="0" w:tplc="04090001">
      <w:start w:val="1"/>
      <w:numFmt w:val="bullet"/>
      <w:lvlText w:val=""/>
      <w:lvlJc w:val="left"/>
      <w:pPr>
        <w:ind w:left="774" w:hanging="360"/>
      </w:pPr>
      <w:rPr>
        <w:rFonts w:ascii="Symbol" w:hAnsi="Symbol" w:hint="default"/>
      </w:rPr>
    </w:lvl>
    <w:lvl w:ilvl="1" w:tplc="04270003" w:tentative="1">
      <w:start w:val="1"/>
      <w:numFmt w:val="bullet"/>
      <w:lvlText w:val="o"/>
      <w:lvlJc w:val="left"/>
      <w:pPr>
        <w:ind w:left="1494" w:hanging="360"/>
      </w:pPr>
      <w:rPr>
        <w:rFonts w:ascii="Courier New" w:hAnsi="Courier New" w:cs="Courier New" w:hint="default"/>
      </w:rPr>
    </w:lvl>
    <w:lvl w:ilvl="2" w:tplc="04270005" w:tentative="1">
      <w:start w:val="1"/>
      <w:numFmt w:val="bullet"/>
      <w:lvlText w:val=""/>
      <w:lvlJc w:val="left"/>
      <w:pPr>
        <w:ind w:left="2214" w:hanging="360"/>
      </w:pPr>
      <w:rPr>
        <w:rFonts w:ascii="Wingdings" w:hAnsi="Wingdings" w:hint="default"/>
      </w:rPr>
    </w:lvl>
    <w:lvl w:ilvl="3" w:tplc="04270001" w:tentative="1">
      <w:start w:val="1"/>
      <w:numFmt w:val="bullet"/>
      <w:lvlText w:val=""/>
      <w:lvlJc w:val="left"/>
      <w:pPr>
        <w:ind w:left="2934" w:hanging="360"/>
      </w:pPr>
      <w:rPr>
        <w:rFonts w:ascii="Symbol" w:hAnsi="Symbol" w:hint="default"/>
      </w:rPr>
    </w:lvl>
    <w:lvl w:ilvl="4" w:tplc="04270003" w:tentative="1">
      <w:start w:val="1"/>
      <w:numFmt w:val="bullet"/>
      <w:lvlText w:val="o"/>
      <w:lvlJc w:val="left"/>
      <w:pPr>
        <w:ind w:left="3654" w:hanging="360"/>
      </w:pPr>
      <w:rPr>
        <w:rFonts w:ascii="Courier New" w:hAnsi="Courier New" w:cs="Courier New" w:hint="default"/>
      </w:rPr>
    </w:lvl>
    <w:lvl w:ilvl="5" w:tplc="04270005" w:tentative="1">
      <w:start w:val="1"/>
      <w:numFmt w:val="bullet"/>
      <w:lvlText w:val=""/>
      <w:lvlJc w:val="left"/>
      <w:pPr>
        <w:ind w:left="4374" w:hanging="360"/>
      </w:pPr>
      <w:rPr>
        <w:rFonts w:ascii="Wingdings" w:hAnsi="Wingdings" w:hint="default"/>
      </w:rPr>
    </w:lvl>
    <w:lvl w:ilvl="6" w:tplc="04270001" w:tentative="1">
      <w:start w:val="1"/>
      <w:numFmt w:val="bullet"/>
      <w:lvlText w:val=""/>
      <w:lvlJc w:val="left"/>
      <w:pPr>
        <w:ind w:left="5094" w:hanging="360"/>
      </w:pPr>
      <w:rPr>
        <w:rFonts w:ascii="Symbol" w:hAnsi="Symbol" w:hint="default"/>
      </w:rPr>
    </w:lvl>
    <w:lvl w:ilvl="7" w:tplc="04270003" w:tentative="1">
      <w:start w:val="1"/>
      <w:numFmt w:val="bullet"/>
      <w:lvlText w:val="o"/>
      <w:lvlJc w:val="left"/>
      <w:pPr>
        <w:ind w:left="5814" w:hanging="360"/>
      </w:pPr>
      <w:rPr>
        <w:rFonts w:ascii="Courier New" w:hAnsi="Courier New" w:cs="Courier New" w:hint="default"/>
      </w:rPr>
    </w:lvl>
    <w:lvl w:ilvl="8" w:tplc="04270005" w:tentative="1">
      <w:start w:val="1"/>
      <w:numFmt w:val="bullet"/>
      <w:lvlText w:val=""/>
      <w:lvlJc w:val="left"/>
      <w:pPr>
        <w:ind w:left="6534" w:hanging="360"/>
      </w:pPr>
      <w:rPr>
        <w:rFonts w:ascii="Wingdings" w:hAnsi="Wingdings" w:hint="default"/>
      </w:rPr>
    </w:lvl>
  </w:abstractNum>
  <w:abstractNum w:abstractNumId="7" w15:restartNumberingAfterBreak="0">
    <w:nsid w:val="51EB75E2"/>
    <w:multiLevelType w:val="hybridMultilevel"/>
    <w:tmpl w:val="493E5BF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8" w15:restartNumberingAfterBreak="0">
    <w:nsid w:val="62B91EF2"/>
    <w:multiLevelType w:val="hybridMultilevel"/>
    <w:tmpl w:val="AE1AA566"/>
    <w:lvl w:ilvl="0" w:tplc="3A149780">
      <w:start w:val="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4584539"/>
    <w:multiLevelType w:val="hybridMultilevel"/>
    <w:tmpl w:val="B9743F2C"/>
    <w:lvl w:ilvl="0" w:tplc="D2081916">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0" w15:restartNumberingAfterBreak="0">
    <w:nsid w:val="70CB61B1"/>
    <w:multiLevelType w:val="hybridMultilevel"/>
    <w:tmpl w:val="060A07D8"/>
    <w:lvl w:ilvl="0" w:tplc="0427000F">
      <w:start w:val="1"/>
      <w:numFmt w:val="decimal"/>
      <w:lvlText w:val="%1."/>
      <w:lvlJc w:val="left"/>
      <w:pPr>
        <w:ind w:left="107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1" w15:restartNumberingAfterBreak="0">
    <w:nsid w:val="7DC67375"/>
    <w:multiLevelType w:val="hybridMultilevel"/>
    <w:tmpl w:val="536A6D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
  </w:num>
  <w:num w:numId="3">
    <w:abstractNumId w:val="11"/>
  </w:num>
  <w:num w:numId="4">
    <w:abstractNumId w:val="4"/>
  </w:num>
  <w:num w:numId="5">
    <w:abstractNumId w:val="9"/>
  </w:num>
  <w:num w:numId="6">
    <w:abstractNumId w:val="8"/>
  </w:num>
  <w:num w:numId="7">
    <w:abstractNumId w:val="1"/>
  </w:num>
  <w:num w:numId="8">
    <w:abstractNumId w:val="7"/>
  </w:num>
  <w:num w:numId="9">
    <w:abstractNumId w:val="3"/>
  </w:num>
  <w:num w:numId="10">
    <w:abstractNumId w:val="6"/>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attachedTemplate r:id="rId1"/>
  <w:defaultTabStop w:val="720"/>
  <w:hyphenationZone w:val="396"/>
  <w:drawingGridHorizontalSpacing w:val="110"/>
  <w:displayHorizontalDrawingGridEvery w:val="2"/>
  <w:displayVerticalDrawingGridEvery w:val="2"/>
  <w:characterSpacingControl w:val="doNotCompress"/>
  <w:savePreviewPicture/>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372"/>
    <w:rsid w:val="000060D6"/>
    <w:rsid w:val="000064E6"/>
    <w:rsid w:val="00010AD2"/>
    <w:rsid w:val="0002176C"/>
    <w:rsid w:val="000252CC"/>
    <w:rsid w:val="00025980"/>
    <w:rsid w:val="000334EA"/>
    <w:rsid w:val="0003438D"/>
    <w:rsid w:val="00034DD8"/>
    <w:rsid w:val="0004383E"/>
    <w:rsid w:val="00054998"/>
    <w:rsid w:val="000619B6"/>
    <w:rsid w:val="00061F0C"/>
    <w:rsid w:val="00063F7F"/>
    <w:rsid w:val="000640D9"/>
    <w:rsid w:val="0006604E"/>
    <w:rsid w:val="0006646F"/>
    <w:rsid w:val="00075948"/>
    <w:rsid w:val="000768E7"/>
    <w:rsid w:val="0007793C"/>
    <w:rsid w:val="000836B0"/>
    <w:rsid w:val="00085B76"/>
    <w:rsid w:val="00087721"/>
    <w:rsid w:val="00090741"/>
    <w:rsid w:val="000A015A"/>
    <w:rsid w:val="000A48BF"/>
    <w:rsid w:val="000A6D79"/>
    <w:rsid w:val="000B1485"/>
    <w:rsid w:val="000B6F4D"/>
    <w:rsid w:val="000C12CD"/>
    <w:rsid w:val="000C356F"/>
    <w:rsid w:val="000C4C5B"/>
    <w:rsid w:val="000C4D8D"/>
    <w:rsid w:val="000C5349"/>
    <w:rsid w:val="000D05D4"/>
    <w:rsid w:val="000D1266"/>
    <w:rsid w:val="000D3F99"/>
    <w:rsid w:val="000D52F6"/>
    <w:rsid w:val="000D53A3"/>
    <w:rsid w:val="000E0F2A"/>
    <w:rsid w:val="000E1191"/>
    <w:rsid w:val="000E2261"/>
    <w:rsid w:val="000E67BC"/>
    <w:rsid w:val="000F348F"/>
    <w:rsid w:val="000F3D4F"/>
    <w:rsid w:val="00102E0E"/>
    <w:rsid w:val="0010306F"/>
    <w:rsid w:val="00103FB1"/>
    <w:rsid w:val="001062B6"/>
    <w:rsid w:val="00115B83"/>
    <w:rsid w:val="00115F3F"/>
    <w:rsid w:val="001172F2"/>
    <w:rsid w:val="00121647"/>
    <w:rsid w:val="00123745"/>
    <w:rsid w:val="0012378E"/>
    <w:rsid w:val="00132798"/>
    <w:rsid w:val="00132940"/>
    <w:rsid w:val="00132F4E"/>
    <w:rsid w:val="00135334"/>
    <w:rsid w:val="00142A4E"/>
    <w:rsid w:val="00144209"/>
    <w:rsid w:val="00144A61"/>
    <w:rsid w:val="00145E48"/>
    <w:rsid w:val="00147BF3"/>
    <w:rsid w:val="00152EDA"/>
    <w:rsid w:val="00154396"/>
    <w:rsid w:val="00154517"/>
    <w:rsid w:val="00171F01"/>
    <w:rsid w:val="0017277A"/>
    <w:rsid w:val="001738A3"/>
    <w:rsid w:val="00176B17"/>
    <w:rsid w:val="0017755D"/>
    <w:rsid w:val="00181DBC"/>
    <w:rsid w:val="00181EA8"/>
    <w:rsid w:val="00182296"/>
    <w:rsid w:val="001847E2"/>
    <w:rsid w:val="00184C77"/>
    <w:rsid w:val="00186F48"/>
    <w:rsid w:val="001907AD"/>
    <w:rsid w:val="001934A6"/>
    <w:rsid w:val="00195762"/>
    <w:rsid w:val="00196430"/>
    <w:rsid w:val="0019649B"/>
    <w:rsid w:val="001A407B"/>
    <w:rsid w:val="001A6AF6"/>
    <w:rsid w:val="001B050C"/>
    <w:rsid w:val="001B119F"/>
    <w:rsid w:val="001B3C1C"/>
    <w:rsid w:val="001B4AB0"/>
    <w:rsid w:val="001B6236"/>
    <w:rsid w:val="001B7C42"/>
    <w:rsid w:val="001C5090"/>
    <w:rsid w:val="001C5891"/>
    <w:rsid w:val="001C7AFF"/>
    <w:rsid w:val="001D0E69"/>
    <w:rsid w:val="001D6971"/>
    <w:rsid w:val="001D6BDC"/>
    <w:rsid w:val="001E1B13"/>
    <w:rsid w:val="001E605C"/>
    <w:rsid w:val="001F0218"/>
    <w:rsid w:val="001F02A2"/>
    <w:rsid w:val="001F0836"/>
    <w:rsid w:val="001F3570"/>
    <w:rsid w:val="001F4306"/>
    <w:rsid w:val="001F7681"/>
    <w:rsid w:val="0020155B"/>
    <w:rsid w:val="00206439"/>
    <w:rsid w:val="00207E8E"/>
    <w:rsid w:val="0021050E"/>
    <w:rsid w:val="002128B2"/>
    <w:rsid w:val="00213FD7"/>
    <w:rsid w:val="002164B9"/>
    <w:rsid w:val="00217A9C"/>
    <w:rsid w:val="00220951"/>
    <w:rsid w:val="00223745"/>
    <w:rsid w:val="002241B1"/>
    <w:rsid w:val="002242F2"/>
    <w:rsid w:val="00227A44"/>
    <w:rsid w:val="002329D9"/>
    <w:rsid w:val="00234F10"/>
    <w:rsid w:val="00235E38"/>
    <w:rsid w:val="00237858"/>
    <w:rsid w:val="0024366B"/>
    <w:rsid w:val="00245532"/>
    <w:rsid w:val="00247254"/>
    <w:rsid w:val="00256279"/>
    <w:rsid w:val="00262AF5"/>
    <w:rsid w:val="0026387D"/>
    <w:rsid w:val="00263AAB"/>
    <w:rsid w:val="0026457C"/>
    <w:rsid w:val="00264611"/>
    <w:rsid w:val="00276B1B"/>
    <w:rsid w:val="00277B77"/>
    <w:rsid w:val="00280094"/>
    <w:rsid w:val="00283247"/>
    <w:rsid w:val="00283BAD"/>
    <w:rsid w:val="00285501"/>
    <w:rsid w:val="002915D9"/>
    <w:rsid w:val="00291788"/>
    <w:rsid w:val="002956CD"/>
    <w:rsid w:val="002A1BA4"/>
    <w:rsid w:val="002B00E3"/>
    <w:rsid w:val="002B0494"/>
    <w:rsid w:val="002B04AD"/>
    <w:rsid w:val="002B1DAF"/>
    <w:rsid w:val="002B7552"/>
    <w:rsid w:val="002C039B"/>
    <w:rsid w:val="002C090B"/>
    <w:rsid w:val="002C10D5"/>
    <w:rsid w:val="002C2D23"/>
    <w:rsid w:val="002C4944"/>
    <w:rsid w:val="002C7662"/>
    <w:rsid w:val="002D0E0E"/>
    <w:rsid w:val="002D1BC2"/>
    <w:rsid w:val="002D1BD6"/>
    <w:rsid w:val="002D2622"/>
    <w:rsid w:val="002D2B1D"/>
    <w:rsid w:val="002D48B3"/>
    <w:rsid w:val="002D5E25"/>
    <w:rsid w:val="002E052E"/>
    <w:rsid w:val="002E4F45"/>
    <w:rsid w:val="002E7660"/>
    <w:rsid w:val="002F07F3"/>
    <w:rsid w:val="002F414A"/>
    <w:rsid w:val="0030117D"/>
    <w:rsid w:val="00303764"/>
    <w:rsid w:val="003111F5"/>
    <w:rsid w:val="003137E1"/>
    <w:rsid w:val="00315610"/>
    <w:rsid w:val="00317B6A"/>
    <w:rsid w:val="00322B27"/>
    <w:rsid w:val="0032650E"/>
    <w:rsid w:val="00330B7C"/>
    <w:rsid w:val="003331E6"/>
    <w:rsid w:val="0033356A"/>
    <w:rsid w:val="00333C35"/>
    <w:rsid w:val="0033471F"/>
    <w:rsid w:val="00337D17"/>
    <w:rsid w:val="00343C06"/>
    <w:rsid w:val="00346789"/>
    <w:rsid w:val="00347974"/>
    <w:rsid w:val="00350AA1"/>
    <w:rsid w:val="003536C9"/>
    <w:rsid w:val="0036334E"/>
    <w:rsid w:val="0036514F"/>
    <w:rsid w:val="0036567D"/>
    <w:rsid w:val="00371958"/>
    <w:rsid w:val="00372149"/>
    <w:rsid w:val="0037264E"/>
    <w:rsid w:val="003736B5"/>
    <w:rsid w:val="00381B34"/>
    <w:rsid w:val="00382EFC"/>
    <w:rsid w:val="00384B03"/>
    <w:rsid w:val="00384CE6"/>
    <w:rsid w:val="00390926"/>
    <w:rsid w:val="00390D71"/>
    <w:rsid w:val="003912FC"/>
    <w:rsid w:val="0039310B"/>
    <w:rsid w:val="00396AB2"/>
    <w:rsid w:val="00396BA1"/>
    <w:rsid w:val="003A7398"/>
    <w:rsid w:val="003A7A1E"/>
    <w:rsid w:val="003C0774"/>
    <w:rsid w:val="003C382F"/>
    <w:rsid w:val="003C6040"/>
    <w:rsid w:val="003C7869"/>
    <w:rsid w:val="003C78A9"/>
    <w:rsid w:val="003D1DBB"/>
    <w:rsid w:val="003D2E33"/>
    <w:rsid w:val="003D325D"/>
    <w:rsid w:val="003D49CD"/>
    <w:rsid w:val="003D6C70"/>
    <w:rsid w:val="003E04D4"/>
    <w:rsid w:val="003E4416"/>
    <w:rsid w:val="003E7405"/>
    <w:rsid w:val="003F1436"/>
    <w:rsid w:val="003F25EF"/>
    <w:rsid w:val="003F41FD"/>
    <w:rsid w:val="003F5940"/>
    <w:rsid w:val="00407785"/>
    <w:rsid w:val="00410276"/>
    <w:rsid w:val="00411494"/>
    <w:rsid w:val="00416F7C"/>
    <w:rsid w:val="004313DB"/>
    <w:rsid w:val="00431E5A"/>
    <w:rsid w:val="004324B5"/>
    <w:rsid w:val="00432D78"/>
    <w:rsid w:val="00434303"/>
    <w:rsid w:val="00435E8C"/>
    <w:rsid w:val="00443D64"/>
    <w:rsid w:val="00446062"/>
    <w:rsid w:val="0044631A"/>
    <w:rsid w:val="004512E6"/>
    <w:rsid w:val="004540E2"/>
    <w:rsid w:val="00454C5D"/>
    <w:rsid w:val="004604F2"/>
    <w:rsid w:val="00464B84"/>
    <w:rsid w:val="00464DCC"/>
    <w:rsid w:val="004651B3"/>
    <w:rsid w:val="004702EB"/>
    <w:rsid w:val="0047086E"/>
    <w:rsid w:val="004714BE"/>
    <w:rsid w:val="00474AEC"/>
    <w:rsid w:val="00477E66"/>
    <w:rsid w:val="004819C0"/>
    <w:rsid w:val="00481CF3"/>
    <w:rsid w:val="0048678B"/>
    <w:rsid w:val="00487B1B"/>
    <w:rsid w:val="00490844"/>
    <w:rsid w:val="00490875"/>
    <w:rsid w:val="00491C77"/>
    <w:rsid w:val="00494503"/>
    <w:rsid w:val="00495C55"/>
    <w:rsid w:val="004A192E"/>
    <w:rsid w:val="004A2EBC"/>
    <w:rsid w:val="004A3FA9"/>
    <w:rsid w:val="004A4CD1"/>
    <w:rsid w:val="004B1CB3"/>
    <w:rsid w:val="004C02EE"/>
    <w:rsid w:val="004C162D"/>
    <w:rsid w:val="004C2114"/>
    <w:rsid w:val="004C2E08"/>
    <w:rsid w:val="004C38D6"/>
    <w:rsid w:val="004C3B7E"/>
    <w:rsid w:val="004C3E91"/>
    <w:rsid w:val="004D06B0"/>
    <w:rsid w:val="004D4DA5"/>
    <w:rsid w:val="004D77A1"/>
    <w:rsid w:val="004E1362"/>
    <w:rsid w:val="004E15D1"/>
    <w:rsid w:val="004E1F06"/>
    <w:rsid w:val="004E2453"/>
    <w:rsid w:val="004F44F3"/>
    <w:rsid w:val="004F5E4F"/>
    <w:rsid w:val="005016A9"/>
    <w:rsid w:val="00510EB8"/>
    <w:rsid w:val="00511CB4"/>
    <w:rsid w:val="00512F6D"/>
    <w:rsid w:val="00521AB0"/>
    <w:rsid w:val="00523DFA"/>
    <w:rsid w:val="005243A9"/>
    <w:rsid w:val="00525437"/>
    <w:rsid w:val="00532032"/>
    <w:rsid w:val="00535D8F"/>
    <w:rsid w:val="00536728"/>
    <w:rsid w:val="00544DA2"/>
    <w:rsid w:val="00553DF3"/>
    <w:rsid w:val="005619A8"/>
    <w:rsid w:val="0056534F"/>
    <w:rsid w:val="00566FC0"/>
    <w:rsid w:val="00571221"/>
    <w:rsid w:val="005725E0"/>
    <w:rsid w:val="00575795"/>
    <w:rsid w:val="00581180"/>
    <w:rsid w:val="00585164"/>
    <w:rsid w:val="00585363"/>
    <w:rsid w:val="00585563"/>
    <w:rsid w:val="0058671E"/>
    <w:rsid w:val="00587D6F"/>
    <w:rsid w:val="00595E42"/>
    <w:rsid w:val="005962CF"/>
    <w:rsid w:val="00596AC5"/>
    <w:rsid w:val="005A7846"/>
    <w:rsid w:val="005A7E22"/>
    <w:rsid w:val="005B638D"/>
    <w:rsid w:val="005B7F18"/>
    <w:rsid w:val="005C31BA"/>
    <w:rsid w:val="005C5BED"/>
    <w:rsid w:val="005D1BC5"/>
    <w:rsid w:val="005D2F60"/>
    <w:rsid w:val="005D76F3"/>
    <w:rsid w:val="005E1005"/>
    <w:rsid w:val="005E4427"/>
    <w:rsid w:val="005E74BE"/>
    <w:rsid w:val="005F0086"/>
    <w:rsid w:val="005F01E8"/>
    <w:rsid w:val="005F3974"/>
    <w:rsid w:val="005F40C0"/>
    <w:rsid w:val="005F587B"/>
    <w:rsid w:val="00601661"/>
    <w:rsid w:val="00602132"/>
    <w:rsid w:val="00604C40"/>
    <w:rsid w:val="00606060"/>
    <w:rsid w:val="0060620F"/>
    <w:rsid w:val="00611901"/>
    <w:rsid w:val="00620713"/>
    <w:rsid w:val="00627072"/>
    <w:rsid w:val="00627F14"/>
    <w:rsid w:val="00636FA1"/>
    <w:rsid w:val="00637E32"/>
    <w:rsid w:val="00640B7B"/>
    <w:rsid w:val="006433E4"/>
    <w:rsid w:val="00643BF0"/>
    <w:rsid w:val="00643C98"/>
    <w:rsid w:val="00644945"/>
    <w:rsid w:val="0064790E"/>
    <w:rsid w:val="00650504"/>
    <w:rsid w:val="00650B96"/>
    <w:rsid w:val="006568F1"/>
    <w:rsid w:val="00660C29"/>
    <w:rsid w:val="00660E14"/>
    <w:rsid w:val="00664000"/>
    <w:rsid w:val="00674051"/>
    <w:rsid w:val="00675CEE"/>
    <w:rsid w:val="0067745D"/>
    <w:rsid w:val="00687627"/>
    <w:rsid w:val="00691C5D"/>
    <w:rsid w:val="006A2A84"/>
    <w:rsid w:val="006B0434"/>
    <w:rsid w:val="006B29F5"/>
    <w:rsid w:val="006B2A9F"/>
    <w:rsid w:val="006B7507"/>
    <w:rsid w:val="006C091D"/>
    <w:rsid w:val="006C2A33"/>
    <w:rsid w:val="006C3E41"/>
    <w:rsid w:val="006E24E4"/>
    <w:rsid w:val="006E2C52"/>
    <w:rsid w:val="006E32C4"/>
    <w:rsid w:val="006E6E3B"/>
    <w:rsid w:val="006F1998"/>
    <w:rsid w:val="00701815"/>
    <w:rsid w:val="0070257C"/>
    <w:rsid w:val="007115E3"/>
    <w:rsid w:val="00713E7F"/>
    <w:rsid w:val="00714844"/>
    <w:rsid w:val="0072281A"/>
    <w:rsid w:val="00725227"/>
    <w:rsid w:val="00730795"/>
    <w:rsid w:val="007316A5"/>
    <w:rsid w:val="00732E3F"/>
    <w:rsid w:val="007335AB"/>
    <w:rsid w:val="00740A7A"/>
    <w:rsid w:val="00742138"/>
    <w:rsid w:val="007447ED"/>
    <w:rsid w:val="00750648"/>
    <w:rsid w:val="00756E98"/>
    <w:rsid w:val="00760720"/>
    <w:rsid w:val="0076165D"/>
    <w:rsid w:val="0076629E"/>
    <w:rsid w:val="00766AFF"/>
    <w:rsid w:val="00766F24"/>
    <w:rsid w:val="007706F0"/>
    <w:rsid w:val="00775B2A"/>
    <w:rsid w:val="00775E27"/>
    <w:rsid w:val="00777128"/>
    <w:rsid w:val="00780299"/>
    <w:rsid w:val="00780596"/>
    <w:rsid w:val="00781F74"/>
    <w:rsid w:val="00784382"/>
    <w:rsid w:val="00786FF8"/>
    <w:rsid w:val="00787018"/>
    <w:rsid w:val="007903F9"/>
    <w:rsid w:val="0079766D"/>
    <w:rsid w:val="007A13DE"/>
    <w:rsid w:val="007A3316"/>
    <w:rsid w:val="007A34D1"/>
    <w:rsid w:val="007A4525"/>
    <w:rsid w:val="007A4DCB"/>
    <w:rsid w:val="007A5095"/>
    <w:rsid w:val="007B3021"/>
    <w:rsid w:val="007C2CE6"/>
    <w:rsid w:val="007C7D25"/>
    <w:rsid w:val="007E13AD"/>
    <w:rsid w:val="007E3129"/>
    <w:rsid w:val="007F2D76"/>
    <w:rsid w:val="00800237"/>
    <w:rsid w:val="008007B6"/>
    <w:rsid w:val="00802DF9"/>
    <w:rsid w:val="00810C67"/>
    <w:rsid w:val="008128DB"/>
    <w:rsid w:val="00815203"/>
    <w:rsid w:val="008241FE"/>
    <w:rsid w:val="008305A7"/>
    <w:rsid w:val="008308F8"/>
    <w:rsid w:val="00833D7D"/>
    <w:rsid w:val="008363AC"/>
    <w:rsid w:val="00840BA0"/>
    <w:rsid w:val="00842E35"/>
    <w:rsid w:val="00844EB7"/>
    <w:rsid w:val="00845A55"/>
    <w:rsid w:val="0084683D"/>
    <w:rsid w:val="00846AFB"/>
    <w:rsid w:val="0085063A"/>
    <w:rsid w:val="008600ED"/>
    <w:rsid w:val="00860717"/>
    <w:rsid w:val="00860FF7"/>
    <w:rsid w:val="00861767"/>
    <w:rsid w:val="008618DE"/>
    <w:rsid w:val="008628A4"/>
    <w:rsid w:val="00864C04"/>
    <w:rsid w:val="0086703B"/>
    <w:rsid w:val="00870EC1"/>
    <w:rsid w:val="008747C2"/>
    <w:rsid w:val="00876B75"/>
    <w:rsid w:val="008805F3"/>
    <w:rsid w:val="00883268"/>
    <w:rsid w:val="0088330A"/>
    <w:rsid w:val="00884691"/>
    <w:rsid w:val="00885739"/>
    <w:rsid w:val="00885B1A"/>
    <w:rsid w:val="00885C75"/>
    <w:rsid w:val="00897050"/>
    <w:rsid w:val="008A1294"/>
    <w:rsid w:val="008A1F17"/>
    <w:rsid w:val="008A5416"/>
    <w:rsid w:val="008A5A00"/>
    <w:rsid w:val="008B26B6"/>
    <w:rsid w:val="008B47F9"/>
    <w:rsid w:val="008B5752"/>
    <w:rsid w:val="008B5C58"/>
    <w:rsid w:val="008C0400"/>
    <w:rsid w:val="008C0BEC"/>
    <w:rsid w:val="008C3BFF"/>
    <w:rsid w:val="008C410C"/>
    <w:rsid w:val="008C45A7"/>
    <w:rsid w:val="008C7D7E"/>
    <w:rsid w:val="008D26F0"/>
    <w:rsid w:val="008D2DB3"/>
    <w:rsid w:val="008D3576"/>
    <w:rsid w:val="008D5820"/>
    <w:rsid w:val="008D5944"/>
    <w:rsid w:val="008D5CF5"/>
    <w:rsid w:val="008D689D"/>
    <w:rsid w:val="008E3195"/>
    <w:rsid w:val="008E3796"/>
    <w:rsid w:val="008E4D60"/>
    <w:rsid w:val="008E5555"/>
    <w:rsid w:val="008F1852"/>
    <w:rsid w:val="008F286A"/>
    <w:rsid w:val="008F31A4"/>
    <w:rsid w:val="00900E13"/>
    <w:rsid w:val="00902FE9"/>
    <w:rsid w:val="009058F9"/>
    <w:rsid w:val="00910D20"/>
    <w:rsid w:val="00911A51"/>
    <w:rsid w:val="009157C8"/>
    <w:rsid w:val="00923F2D"/>
    <w:rsid w:val="009244FF"/>
    <w:rsid w:val="00924712"/>
    <w:rsid w:val="00930E17"/>
    <w:rsid w:val="009322F8"/>
    <w:rsid w:val="00935AC7"/>
    <w:rsid w:val="00941002"/>
    <w:rsid w:val="009434D4"/>
    <w:rsid w:val="00944A52"/>
    <w:rsid w:val="00947216"/>
    <w:rsid w:val="00950ACF"/>
    <w:rsid w:val="00951F73"/>
    <w:rsid w:val="00954EE4"/>
    <w:rsid w:val="00956CA4"/>
    <w:rsid w:val="00960CF7"/>
    <w:rsid w:val="00961B3A"/>
    <w:rsid w:val="00963169"/>
    <w:rsid w:val="0096594A"/>
    <w:rsid w:val="00967ACB"/>
    <w:rsid w:val="0097121A"/>
    <w:rsid w:val="00975CF9"/>
    <w:rsid w:val="00982AD7"/>
    <w:rsid w:val="00982B8C"/>
    <w:rsid w:val="00983E6C"/>
    <w:rsid w:val="009842BB"/>
    <w:rsid w:val="00984EE6"/>
    <w:rsid w:val="009851BE"/>
    <w:rsid w:val="009861BE"/>
    <w:rsid w:val="0099450C"/>
    <w:rsid w:val="00994CF1"/>
    <w:rsid w:val="009954D5"/>
    <w:rsid w:val="00996907"/>
    <w:rsid w:val="00997F9F"/>
    <w:rsid w:val="009A2F71"/>
    <w:rsid w:val="009A6DEF"/>
    <w:rsid w:val="009A7FB9"/>
    <w:rsid w:val="009B032F"/>
    <w:rsid w:val="009B1432"/>
    <w:rsid w:val="009B2578"/>
    <w:rsid w:val="009B72FB"/>
    <w:rsid w:val="009B7A0D"/>
    <w:rsid w:val="009C2711"/>
    <w:rsid w:val="009C4CB2"/>
    <w:rsid w:val="009C5321"/>
    <w:rsid w:val="009C55D6"/>
    <w:rsid w:val="009D160D"/>
    <w:rsid w:val="009D4E5D"/>
    <w:rsid w:val="009D6107"/>
    <w:rsid w:val="009D6154"/>
    <w:rsid w:val="00A01581"/>
    <w:rsid w:val="00A0515D"/>
    <w:rsid w:val="00A0765A"/>
    <w:rsid w:val="00A10AC0"/>
    <w:rsid w:val="00A119E0"/>
    <w:rsid w:val="00A12003"/>
    <w:rsid w:val="00A14011"/>
    <w:rsid w:val="00A21578"/>
    <w:rsid w:val="00A240B4"/>
    <w:rsid w:val="00A2593F"/>
    <w:rsid w:val="00A30205"/>
    <w:rsid w:val="00A33959"/>
    <w:rsid w:val="00A34588"/>
    <w:rsid w:val="00A35277"/>
    <w:rsid w:val="00A37B79"/>
    <w:rsid w:val="00A40A4B"/>
    <w:rsid w:val="00A41815"/>
    <w:rsid w:val="00A421B6"/>
    <w:rsid w:val="00A43E48"/>
    <w:rsid w:val="00A44C77"/>
    <w:rsid w:val="00A44E3F"/>
    <w:rsid w:val="00A45939"/>
    <w:rsid w:val="00A46A37"/>
    <w:rsid w:val="00A471C5"/>
    <w:rsid w:val="00A51041"/>
    <w:rsid w:val="00A5324E"/>
    <w:rsid w:val="00A605F1"/>
    <w:rsid w:val="00A6341B"/>
    <w:rsid w:val="00A7075B"/>
    <w:rsid w:val="00A7315E"/>
    <w:rsid w:val="00A757A0"/>
    <w:rsid w:val="00A82AFF"/>
    <w:rsid w:val="00A850DA"/>
    <w:rsid w:val="00A87098"/>
    <w:rsid w:val="00A874C9"/>
    <w:rsid w:val="00AB1B36"/>
    <w:rsid w:val="00AB66D5"/>
    <w:rsid w:val="00AC68E9"/>
    <w:rsid w:val="00AE5496"/>
    <w:rsid w:val="00AE66DE"/>
    <w:rsid w:val="00AE71C0"/>
    <w:rsid w:val="00AF51AC"/>
    <w:rsid w:val="00AF7677"/>
    <w:rsid w:val="00B016D9"/>
    <w:rsid w:val="00B04F85"/>
    <w:rsid w:val="00B07163"/>
    <w:rsid w:val="00B14A97"/>
    <w:rsid w:val="00B1740F"/>
    <w:rsid w:val="00B212D2"/>
    <w:rsid w:val="00B2176E"/>
    <w:rsid w:val="00B21B20"/>
    <w:rsid w:val="00B22CBE"/>
    <w:rsid w:val="00B25506"/>
    <w:rsid w:val="00B3095D"/>
    <w:rsid w:val="00B30E20"/>
    <w:rsid w:val="00B317F3"/>
    <w:rsid w:val="00B3575E"/>
    <w:rsid w:val="00B36E64"/>
    <w:rsid w:val="00B405D7"/>
    <w:rsid w:val="00B4070B"/>
    <w:rsid w:val="00B40B95"/>
    <w:rsid w:val="00B413E4"/>
    <w:rsid w:val="00B423C1"/>
    <w:rsid w:val="00B44059"/>
    <w:rsid w:val="00B456DD"/>
    <w:rsid w:val="00B469A4"/>
    <w:rsid w:val="00B469D4"/>
    <w:rsid w:val="00B47A53"/>
    <w:rsid w:val="00B516F4"/>
    <w:rsid w:val="00B524E1"/>
    <w:rsid w:val="00B56DA0"/>
    <w:rsid w:val="00B571E9"/>
    <w:rsid w:val="00B6171D"/>
    <w:rsid w:val="00B64C65"/>
    <w:rsid w:val="00B71A75"/>
    <w:rsid w:val="00B743AB"/>
    <w:rsid w:val="00B80F92"/>
    <w:rsid w:val="00B8469C"/>
    <w:rsid w:val="00B858E9"/>
    <w:rsid w:val="00B86DE8"/>
    <w:rsid w:val="00B91219"/>
    <w:rsid w:val="00B915BD"/>
    <w:rsid w:val="00B94D6A"/>
    <w:rsid w:val="00B978E9"/>
    <w:rsid w:val="00BA0CFD"/>
    <w:rsid w:val="00BA2DCE"/>
    <w:rsid w:val="00BA519F"/>
    <w:rsid w:val="00BA5FD7"/>
    <w:rsid w:val="00BA7220"/>
    <w:rsid w:val="00BA773D"/>
    <w:rsid w:val="00BB34EC"/>
    <w:rsid w:val="00BB4837"/>
    <w:rsid w:val="00BB48B8"/>
    <w:rsid w:val="00BB60F4"/>
    <w:rsid w:val="00BB7CEA"/>
    <w:rsid w:val="00BC0E69"/>
    <w:rsid w:val="00BC1C58"/>
    <w:rsid w:val="00BC6EAD"/>
    <w:rsid w:val="00BD0E14"/>
    <w:rsid w:val="00BD12BB"/>
    <w:rsid w:val="00BE2C46"/>
    <w:rsid w:val="00BE3132"/>
    <w:rsid w:val="00BE4128"/>
    <w:rsid w:val="00BF57F1"/>
    <w:rsid w:val="00C055BE"/>
    <w:rsid w:val="00C10372"/>
    <w:rsid w:val="00C10F2E"/>
    <w:rsid w:val="00C1122C"/>
    <w:rsid w:val="00C119EC"/>
    <w:rsid w:val="00C13EA0"/>
    <w:rsid w:val="00C146B3"/>
    <w:rsid w:val="00C17EB7"/>
    <w:rsid w:val="00C2337C"/>
    <w:rsid w:val="00C31174"/>
    <w:rsid w:val="00C32926"/>
    <w:rsid w:val="00C3317A"/>
    <w:rsid w:val="00C4168A"/>
    <w:rsid w:val="00C5024B"/>
    <w:rsid w:val="00C51647"/>
    <w:rsid w:val="00C613BC"/>
    <w:rsid w:val="00C657B9"/>
    <w:rsid w:val="00C66B96"/>
    <w:rsid w:val="00C76B11"/>
    <w:rsid w:val="00C8387A"/>
    <w:rsid w:val="00C866EF"/>
    <w:rsid w:val="00C92736"/>
    <w:rsid w:val="00C94031"/>
    <w:rsid w:val="00C94C1E"/>
    <w:rsid w:val="00CA71EB"/>
    <w:rsid w:val="00CB10CA"/>
    <w:rsid w:val="00CB1E7B"/>
    <w:rsid w:val="00CB266A"/>
    <w:rsid w:val="00CB3E28"/>
    <w:rsid w:val="00CC2352"/>
    <w:rsid w:val="00CC4155"/>
    <w:rsid w:val="00CC7888"/>
    <w:rsid w:val="00CD20C4"/>
    <w:rsid w:val="00CD4301"/>
    <w:rsid w:val="00CD70EF"/>
    <w:rsid w:val="00CD7765"/>
    <w:rsid w:val="00CE10BF"/>
    <w:rsid w:val="00CE172C"/>
    <w:rsid w:val="00CF001B"/>
    <w:rsid w:val="00CF56B2"/>
    <w:rsid w:val="00CF5923"/>
    <w:rsid w:val="00CF7A63"/>
    <w:rsid w:val="00D01081"/>
    <w:rsid w:val="00D02BD0"/>
    <w:rsid w:val="00D0492D"/>
    <w:rsid w:val="00D102C0"/>
    <w:rsid w:val="00D2228A"/>
    <w:rsid w:val="00D23B28"/>
    <w:rsid w:val="00D253F8"/>
    <w:rsid w:val="00D2671F"/>
    <w:rsid w:val="00D3721B"/>
    <w:rsid w:val="00D37EF9"/>
    <w:rsid w:val="00D411A0"/>
    <w:rsid w:val="00D43FF0"/>
    <w:rsid w:val="00D4490F"/>
    <w:rsid w:val="00D4599D"/>
    <w:rsid w:val="00D45A40"/>
    <w:rsid w:val="00D463A0"/>
    <w:rsid w:val="00D505BD"/>
    <w:rsid w:val="00D530B0"/>
    <w:rsid w:val="00D55F73"/>
    <w:rsid w:val="00D66614"/>
    <w:rsid w:val="00D6683E"/>
    <w:rsid w:val="00D668C2"/>
    <w:rsid w:val="00D72E97"/>
    <w:rsid w:val="00D7433A"/>
    <w:rsid w:val="00D74644"/>
    <w:rsid w:val="00D807C8"/>
    <w:rsid w:val="00D83513"/>
    <w:rsid w:val="00D8530C"/>
    <w:rsid w:val="00D86310"/>
    <w:rsid w:val="00D873B4"/>
    <w:rsid w:val="00D87AFD"/>
    <w:rsid w:val="00D939AF"/>
    <w:rsid w:val="00D96070"/>
    <w:rsid w:val="00D96629"/>
    <w:rsid w:val="00D96B59"/>
    <w:rsid w:val="00D97A1E"/>
    <w:rsid w:val="00DA194A"/>
    <w:rsid w:val="00DB0D08"/>
    <w:rsid w:val="00DB6DA3"/>
    <w:rsid w:val="00DC4EFF"/>
    <w:rsid w:val="00DC64BA"/>
    <w:rsid w:val="00DD3121"/>
    <w:rsid w:val="00DE17C2"/>
    <w:rsid w:val="00DE4A06"/>
    <w:rsid w:val="00DE72B8"/>
    <w:rsid w:val="00DE7ECB"/>
    <w:rsid w:val="00DF1152"/>
    <w:rsid w:val="00DF2470"/>
    <w:rsid w:val="00DF3F65"/>
    <w:rsid w:val="00DF678D"/>
    <w:rsid w:val="00E0294C"/>
    <w:rsid w:val="00E045DA"/>
    <w:rsid w:val="00E10E16"/>
    <w:rsid w:val="00E115B3"/>
    <w:rsid w:val="00E13E76"/>
    <w:rsid w:val="00E1668F"/>
    <w:rsid w:val="00E20921"/>
    <w:rsid w:val="00E21253"/>
    <w:rsid w:val="00E212CC"/>
    <w:rsid w:val="00E21EFF"/>
    <w:rsid w:val="00E2343E"/>
    <w:rsid w:val="00E31F9B"/>
    <w:rsid w:val="00E322C3"/>
    <w:rsid w:val="00E37A9E"/>
    <w:rsid w:val="00E411B6"/>
    <w:rsid w:val="00E45BEB"/>
    <w:rsid w:val="00E47B44"/>
    <w:rsid w:val="00E5008E"/>
    <w:rsid w:val="00E51C33"/>
    <w:rsid w:val="00E52A2C"/>
    <w:rsid w:val="00E52D34"/>
    <w:rsid w:val="00E531CE"/>
    <w:rsid w:val="00E53455"/>
    <w:rsid w:val="00E54938"/>
    <w:rsid w:val="00E6141B"/>
    <w:rsid w:val="00E63E2A"/>
    <w:rsid w:val="00E65072"/>
    <w:rsid w:val="00E72261"/>
    <w:rsid w:val="00E73378"/>
    <w:rsid w:val="00E76838"/>
    <w:rsid w:val="00E801A3"/>
    <w:rsid w:val="00E8717E"/>
    <w:rsid w:val="00E87E14"/>
    <w:rsid w:val="00E93AF2"/>
    <w:rsid w:val="00E97131"/>
    <w:rsid w:val="00E9762D"/>
    <w:rsid w:val="00EA08A9"/>
    <w:rsid w:val="00EA139D"/>
    <w:rsid w:val="00EA2D07"/>
    <w:rsid w:val="00EA38BC"/>
    <w:rsid w:val="00EB386C"/>
    <w:rsid w:val="00EB3F15"/>
    <w:rsid w:val="00EB4244"/>
    <w:rsid w:val="00EB5DDE"/>
    <w:rsid w:val="00EB7E41"/>
    <w:rsid w:val="00EC3B08"/>
    <w:rsid w:val="00EC431F"/>
    <w:rsid w:val="00EC771F"/>
    <w:rsid w:val="00ED34A1"/>
    <w:rsid w:val="00ED4987"/>
    <w:rsid w:val="00ED5CB9"/>
    <w:rsid w:val="00ED7009"/>
    <w:rsid w:val="00EE77E5"/>
    <w:rsid w:val="00F01B95"/>
    <w:rsid w:val="00F03845"/>
    <w:rsid w:val="00F1050D"/>
    <w:rsid w:val="00F10C02"/>
    <w:rsid w:val="00F2096A"/>
    <w:rsid w:val="00F23751"/>
    <w:rsid w:val="00F25950"/>
    <w:rsid w:val="00F26B20"/>
    <w:rsid w:val="00F319B0"/>
    <w:rsid w:val="00F33B84"/>
    <w:rsid w:val="00F36194"/>
    <w:rsid w:val="00F368EA"/>
    <w:rsid w:val="00F377F7"/>
    <w:rsid w:val="00F43381"/>
    <w:rsid w:val="00F45694"/>
    <w:rsid w:val="00F4693D"/>
    <w:rsid w:val="00F50884"/>
    <w:rsid w:val="00F518D2"/>
    <w:rsid w:val="00F53DB0"/>
    <w:rsid w:val="00F550A8"/>
    <w:rsid w:val="00F56C5D"/>
    <w:rsid w:val="00F63BC6"/>
    <w:rsid w:val="00F6630B"/>
    <w:rsid w:val="00F7144A"/>
    <w:rsid w:val="00F717B5"/>
    <w:rsid w:val="00F7301E"/>
    <w:rsid w:val="00F7415C"/>
    <w:rsid w:val="00F75D93"/>
    <w:rsid w:val="00F76A69"/>
    <w:rsid w:val="00F80DFE"/>
    <w:rsid w:val="00F817DC"/>
    <w:rsid w:val="00F8578E"/>
    <w:rsid w:val="00F85903"/>
    <w:rsid w:val="00F94D25"/>
    <w:rsid w:val="00F9615C"/>
    <w:rsid w:val="00F97E85"/>
    <w:rsid w:val="00FA202D"/>
    <w:rsid w:val="00FA2515"/>
    <w:rsid w:val="00FA2A1F"/>
    <w:rsid w:val="00FA59DE"/>
    <w:rsid w:val="00FB03EF"/>
    <w:rsid w:val="00FB2E40"/>
    <w:rsid w:val="00FB78AA"/>
    <w:rsid w:val="00FC268F"/>
    <w:rsid w:val="00FC4C7D"/>
    <w:rsid w:val="00FC4D95"/>
    <w:rsid w:val="00FD6868"/>
    <w:rsid w:val="00FD6969"/>
    <w:rsid w:val="00FD78DE"/>
    <w:rsid w:val="00FD796D"/>
    <w:rsid w:val="00FE187B"/>
    <w:rsid w:val="00FE2938"/>
    <w:rsid w:val="00FE4B80"/>
    <w:rsid w:val="00FE5B87"/>
    <w:rsid w:val="00FF063D"/>
    <w:rsid w:val="00FF3B2C"/>
    <w:rsid w:val="00FF7D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E6878"/>
  <w15:docId w15:val="{2A2EEFB4-18B9-4CDB-9460-6E66F7016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7301E"/>
    <w:pPr>
      <w:jc w:val="both"/>
    </w:pPr>
    <w:rPr>
      <w:rFonts w:ascii="Times New Roman" w:eastAsia="Times New Roman" w:hAnsi="Times New Roman"/>
      <w:sz w:val="24"/>
      <w:lang w:eastAsia="ru-RU"/>
    </w:rPr>
  </w:style>
  <w:style w:type="paragraph" w:styleId="Antrat1">
    <w:name w:val="heading 1"/>
    <w:basedOn w:val="prastasis"/>
    <w:next w:val="prastasis"/>
    <w:link w:val="Antrat1Diagrama"/>
    <w:qFormat/>
    <w:rsid w:val="002D2622"/>
    <w:pPr>
      <w:keepNext/>
      <w:outlineLvl w:val="0"/>
    </w:pPr>
    <w:rPr>
      <w:cap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D2622"/>
    <w:rPr>
      <w:rFonts w:ascii="Times New Roman" w:eastAsia="Times New Roman" w:hAnsi="Times New Roman" w:cs="Times New Roman"/>
      <w:caps/>
      <w:sz w:val="24"/>
      <w:szCs w:val="24"/>
      <w:lang w:eastAsia="ru-RU"/>
    </w:rPr>
  </w:style>
  <w:style w:type="paragraph" w:styleId="Puslapioinaostekstas">
    <w:name w:val="footnote text"/>
    <w:basedOn w:val="prastasis"/>
    <w:link w:val="PuslapioinaostekstasDiagrama"/>
    <w:semiHidden/>
    <w:rsid w:val="002D2622"/>
  </w:style>
  <w:style w:type="character" w:customStyle="1" w:styleId="PuslapioinaostekstasDiagrama">
    <w:name w:val="Puslapio išnašos tekstas Diagrama"/>
    <w:basedOn w:val="Numatytasispastraiposriftas"/>
    <w:link w:val="Puslapioinaostekstas"/>
    <w:semiHidden/>
    <w:rsid w:val="002D2622"/>
    <w:rPr>
      <w:rFonts w:ascii="Times New Roman" w:eastAsia="Times New Roman" w:hAnsi="Times New Roman" w:cs="Times New Roman"/>
      <w:sz w:val="20"/>
      <w:szCs w:val="20"/>
      <w:lang w:eastAsia="ru-RU"/>
    </w:rPr>
  </w:style>
  <w:style w:type="paragraph" w:styleId="Antrats">
    <w:name w:val="header"/>
    <w:basedOn w:val="prastasis"/>
    <w:link w:val="AntratsDiagrama"/>
    <w:rsid w:val="002D2622"/>
    <w:pPr>
      <w:tabs>
        <w:tab w:val="center" w:pos="4153"/>
        <w:tab w:val="right" w:pos="8306"/>
      </w:tabs>
    </w:pPr>
  </w:style>
  <w:style w:type="character" w:customStyle="1" w:styleId="AntratsDiagrama">
    <w:name w:val="Antraštės Diagrama"/>
    <w:basedOn w:val="Numatytasispastraiposriftas"/>
    <w:link w:val="Antrats"/>
    <w:rsid w:val="002D2622"/>
    <w:rPr>
      <w:rFonts w:ascii="Times New Roman" w:eastAsia="Times New Roman" w:hAnsi="Times New Roman" w:cs="Times New Roman"/>
      <w:sz w:val="20"/>
      <w:szCs w:val="20"/>
      <w:lang w:eastAsia="ru-RU"/>
    </w:rPr>
  </w:style>
  <w:style w:type="paragraph" w:styleId="Porat">
    <w:name w:val="footer"/>
    <w:basedOn w:val="prastasis"/>
    <w:link w:val="PoratDiagrama"/>
    <w:uiPriority w:val="99"/>
    <w:rsid w:val="002D2622"/>
    <w:pPr>
      <w:tabs>
        <w:tab w:val="center" w:pos="4153"/>
        <w:tab w:val="right" w:pos="8306"/>
      </w:tabs>
    </w:pPr>
    <w:rPr>
      <w:lang w:val="x-none"/>
    </w:rPr>
  </w:style>
  <w:style w:type="character" w:customStyle="1" w:styleId="PoratDiagrama">
    <w:name w:val="Poraštė Diagrama"/>
    <w:basedOn w:val="Numatytasispastraiposriftas"/>
    <w:link w:val="Porat"/>
    <w:uiPriority w:val="99"/>
    <w:rsid w:val="002D2622"/>
    <w:rPr>
      <w:rFonts w:ascii="Times New Roman" w:eastAsia="Times New Roman" w:hAnsi="Times New Roman" w:cs="Times New Roman"/>
      <w:sz w:val="20"/>
      <w:szCs w:val="20"/>
      <w:lang w:val="x-none" w:eastAsia="ru-RU"/>
    </w:rPr>
  </w:style>
  <w:style w:type="paragraph" w:styleId="Pagrindinistekstas">
    <w:name w:val="Body Text"/>
    <w:basedOn w:val="prastasis"/>
    <w:link w:val="PagrindinistekstasDiagrama"/>
    <w:rsid w:val="002D2622"/>
    <w:pPr>
      <w:spacing w:line="250" w:lineRule="atLeast"/>
    </w:pPr>
    <w:rPr>
      <w:rFonts w:ascii="TimesLT" w:hAnsi="TimesLT"/>
      <w:b/>
      <w:bCs/>
      <w:color w:val="000000"/>
      <w:szCs w:val="24"/>
    </w:rPr>
  </w:style>
  <w:style w:type="character" w:customStyle="1" w:styleId="PagrindinistekstasDiagrama">
    <w:name w:val="Pagrindinis tekstas Diagrama"/>
    <w:basedOn w:val="Numatytasispastraiposriftas"/>
    <w:link w:val="Pagrindinistekstas"/>
    <w:rsid w:val="002D2622"/>
    <w:rPr>
      <w:rFonts w:ascii="TimesLT" w:eastAsia="Times New Roman" w:hAnsi="TimesLT" w:cs="Times New Roman"/>
      <w:b/>
      <w:bCs/>
      <w:color w:val="000000"/>
      <w:sz w:val="24"/>
      <w:szCs w:val="24"/>
      <w:lang w:eastAsia="ru-RU"/>
    </w:rPr>
  </w:style>
  <w:style w:type="paragraph" w:styleId="Debesliotekstas">
    <w:name w:val="Balloon Text"/>
    <w:basedOn w:val="prastasis"/>
    <w:link w:val="DebesliotekstasDiagrama"/>
    <w:uiPriority w:val="99"/>
    <w:semiHidden/>
    <w:unhideWhenUsed/>
    <w:rsid w:val="002D262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D2622"/>
    <w:rPr>
      <w:rFonts w:ascii="Tahoma" w:eastAsia="Times New Roman" w:hAnsi="Tahoma" w:cs="Tahoma"/>
      <w:sz w:val="16"/>
      <w:szCs w:val="16"/>
      <w:lang w:eastAsia="ru-RU"/>
    </w:rPr>
  </w:style>
  <w:style w:type="character" w:styleId="Vietosrezervavimoenklotekstas">
    <w:name w:val="Placeholder Text"/>
    <w:basedOn w:val="Numatytasispastraiposriftas"/>
    <w:uiPriority w:val="99"/>
    <w:semiHidden/>
    <w:rsid w:val="00317B6A"/>
    <w:rPr>
      <w:color w:val="808080"/>
    </w:rPr>
  </w:style>
  <w:style w:type="character" w:styleId="Puslapionumeris">
    <w:name w:val="page number"/>
    <w:basedOn w:val="Numatytasispastraiposriftas"/>
    <w:rsid w:val="00317B6A"/>
  </w:style>
  <w:style w:type="character" w:styleId="Komentaronuoroda">
    <w:name w:val="annotation reference"/>
    <w:basedOn w:val="Numatytasispastraiposriftas"/>
    <w:uiPriority w:val="99"/>
    <w:semiHidden/>
    <w:unhideWhenUsed/>
    <w:rsid w:val="00D55F73"/>
    <w:rPr>
      <w:sz w:val="16"/>
      <w:szCs w:val="16"/>
    </w:rPr>
  </w:style>
  <w:style w:type="paragraph" w:styleId="Komentarotekstas">
    <w:name w:val="annotation text"/>
    <w:basedOn w:val="prastasis"/>
    <w:link w:val="KomentarotekstasDiagrama"/>
    <w:uiPriority w:val="99"/>
    <w:semiHidden/>
    <w:unhideWhenUsed/>
    <w:rsid w:val="00D55F73"/>
  </w:style>
  <w:style w:type="character" w:customStyle="1" w:styleId="KomentarotekstasDiagrama">
    <w:name w:val="Komentaro tekstas Diagrama"/>
    <w:basedOn w:val="Numatytasispastraiposriftas"/>
    <w:link w:val="Komentarotekstas"/>
    <w:uiPriority w:val="99"/>
    <w:semiHidden/>
    <w:rsid w:val="00D55F73"/>
    <w:rPr>
      <w:rFonts w:ascii="Times New Roman" w:eastAsia="Times New Roman" w:hAnsi="Times New Roman"/>
      <w:lang w:eastAsia="ru-RU"/>
    </w:rPr>
  </w:style>
  <w:style w:type="paragraph" w:styleId="Komentarotema">
    <w:name w:val="annotation subject"/>
    <w:basedOn w:val="Komentarotekstas"/>
    <w:next w:val="Komentarotekstas"/>
    <w:link w:val="KomentarotemaDiagrama"/>
    <w:uiPriority w:val="99"/>
    <w:semiHidden/>
    <w:unhideWhenUsed/>
    <w:rsid w:val="00D55F73"/>
    <w:rPr>
      <w:b/>
      <w:bCs/>
    </w:rPr>
  </w:style>
  <w:style w:type="character" w:customStyle="1" w:styleId="KomentarotemaDiagrama">
    <w:name w:val="Komentaro tema Diagrama"/>
    <w:basedOn w:val="KomentarotekstasDiagrama"/>
    <w:link w:val="Komentarotema"/>
    <w:uiPriority w:val="99"/>
    <w:semiHidden/>
    <w:rsid w:val="00D55F73"/>
    <w:rPr>
      <w:rFonts w:ascii="Times New Roman" w:eastAsia="Times New Roman" w:hAnsi="Times New Roman"/>
      <w:b/>
      <w:bCs/>
      <w:lang w:eastAsia="ru-RU"/>
    </w:rPr>
  </w:style>
  <w:style w:type="paragraph" w:customStyle="1" w:styleId="Antraste">
    <w:name w:val="Antraste"/>
    <w:basedOn w:val="prastasis"/>
    <w:link w:val="AntrasteChar"/>
    <w:qFormat/>
    <w:rsid w:val="00343C06"/>
    <w:pPr>
      <w:jc w:val="center"/>
    </w:pPr>
    <w:rPr>
      <w:b/>
      <w:caps/>
      <w:spacing w:val="-6"/>
    </w:rPr>
  </w:style>
  <w:style w:type="character" w:customStyle="1" w:styleId="AntrasteChar">
    <w:name w:val="Antraste Char"/>
    <w:basedOn w:val="Numatytasispastraiposriftas"/>
    <w:link w:val="Antraste"/>
    <w:rsid w:val="00343C06"/>
    <w:rPr>
      <w:rFonts w:ascii="Times New Roman" w:eastAsia="Times New Roman" w:hAnsi="Times New Roman"/>
      <w:b/>
      <w:caps/>
      <w:spacing w:val="-6"/>
      <w:lang w:eastAsia="ru-RU"/>
    </w:rPr>
  </w:style>
  <w:style w:type="table" w:styleId="Lentelstinklelis">
    <w:name w:val="Table Grid"/>
    <w:basedOn w:val="prastojilente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paragraph" w:styleId="Sraopastraipa">
    <w:name w:val="List Paragraph"/>
    <w:basedOn w:val="prastasis"/>
    <w:uiPriority w:val="34"/>
    <w:qFormat/>
    <w:rsid w:val="00464DCC"/>
    <w:pPr>
      <w:spacing w:after="200" w:line="276" w:lineRule="auto"/>
      <w:ind w:left="720"/>
      <w:contextualSpacing/>
      <w:jc w:val="left"/>
    </w:pPr>
    <w:rPr>
      <w:rFonts w:ascii="Calibri" w:eastAsia="Calibri" w:hAnsi="Calibri"/>
      <w:sz w:val="22"/>
      <w:szCs w:val="22"/>
      <w:lang w:eastAsia="en-US"/>
    </w:rPr>
  </w:style>
  <w:style w:type="table" w:customStyle="1" w:styleId="TableGrid1">
    <w:name w:val="Table Grid1"/>
    <w:basedOn w:val="prastojilentel"/>
    <w:next w:val="Lentelstinklelis"/>
    <w:uiPriority w:val="39"/>
    <w:rsid w:val="004F44F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5A7E22"/>
    <w:pPr>
      <w:spacing w:before="100" w:beforeAutospacing="1" w:after="100" w:afterAutospacing="1"/>
      <w:jc w:val="left"/>
    </w:pPr>
    <w:rPr>
      <w:szCs w:val="24"/>
      <w:lang w:eastAsia="lt-LT"/>
    </w:rPr>
  </w:style>
  <w:style w:type="table" w:styleId="viesustinklelis1parykinimas">
    <w:name w:val="Light Grid Accent 1"/>
    <w:basedOn w:val="prastojilentel"/>
    <w:uiPriority w:val="62"/>
    <w:rsid w:val="00F80DFE"/>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168355">
      <w:bodyDiv w:val="1"/>
      <w:marLeft w:val="225"/>
      <w:marRight w:val="225"/>
      <w:marTop w:val="0"/>
      <w:marBottom w:val="0"/>
      <w:divBdr>
        <w:top w:val="none" w:sz="0" w:space="0" w:color="auto"/>
        <w:left w:val="none" w:sz="0" w:space="0" w:color="auto"/>
        <w:bottom w:val="none" w:sz="0" w:space="0" w:color="auto"/>
        <w:right w:val="none" w:sz="0" w:space="0" w:color="auto"/>
      </w:divBdr>
      <w:divsChild>
        <w:div w:id="739716053">
          <w:marLeft w:val="0"/>
          <w:marRight w:val="0"/>
          <w:marTop w:val="0"/>
          <w:marBottom w:val="0"/>
          <w:divBdr>
            <w:top w:val="none" w:sz="0" w:space="0" w:color="auto"/>
            <w:left w:val="none" w:sz="0" w:space="0" w:color="auto"/>
            <w:bottom w:val="none" w:sz="0" w:space="0" w:color="auto"/>
            <w:right w:val="none" w:sz="0" w:space="0" w:color="auto"/>
          </w:divBdr>
        </w:div>
      </w:divsChild>
    </w:div>
    <w:div w:id="444352566">
      <w:bodyDiv w:val="1"/>
      <w:marLeft w:val="225"/>
      <w:marRight w:val="225"/>
      <w:marTop w:val="0"/>
      <w:marBottom w:val="0"/>
      <w:divBdr>
        <w:top w:val="none" w:sz="0" w:space="0" w:color="auto"/>
        <w:left w:val="none" w:sz="0" w:space="0" w:color="auto"/>
        <w:bottom w:val="none" w:sz="0" w:space="0" w:color="auto"/>
        <w:right w:val="none" w:sz="0" w:space="0" w:color="auto"/>
      </w:divBdr>
      <w:divsChild>
        <w:div w:id="144972329">
          <w:marLeft w:val="0"/>
          <w:marRight w:val="0"/>
          <w:marTop w:val="0"/>
          <w:marBottom w:val="0"/>
          <w:divBdr>
            <w:top w:val="none" w:sz="0" w:space="0" w:color="auto"/>
            <w:left w:val="none" w:sz="0" w:space="0" w:color="auto"/>
            <w:bottom w:val="none" w:sz="0" w:space="0" w:color="auto"/>
            <w:right w:val="none" w:sz="0" w:space="0" w:color="auto"/>
          </w:divBdr>
        </w:div>
      </w:divsChild>
    </w:div>
    <w:div w:id="848521202">
      <w:bodyDiv w:val="1"/>
      <w:marLeft w:val="0"/>
      <w:marRight w:val="0"/>
      <w:marTop w:val="0"/>
      <w:marBottom w:val="0"/>
      <w:divBdr>
        <w:top w:val="none" w:sz="0" w:space="0" w:color="auto"/>
        <w:left w:val="none" w:sz="0" w:space="0" w:color="auto"/>
        <w:bottom w:val="none" w:sz="0" w:space="0" w:color="auto"/>
        <w:right w:val="none" w:sz="0" w:space="0" w:color="auto"/>
      </w:divBdr>
    </w:div>
    <w:div w:id="1027020943">
      <w:bodyDiv w:val="1"/>
      <w:marLeft w:val="0"/>
      <w:marRight w:val="0"/>
      <w:marTop w:val="0"/>
      <w:marBottom w:val="0"/>
      <w:divBdr>
        <w:top w:val="none" w:sz="0" w:space="0" w:color="auto"/>
        <w:left w:val="none" w:sz="0" w:space="0" w:color="auto"/>
        <w:bottom w:val="none" w:sz="0" w:space="0" w:color="auto"/>
        <w:right w:val="none" w:sz="0" w:space="0" w:color="auto"/>
      </w:divBdr>
    </w:div>
    <w:div w:id="1087574562">
      <w:bodyDiv w:val="1"/>
      <w:marLeft w:val="225"/>
      <w:marRight w:val="225"/>
      <w:marTop w:val="0"/>
      <w:marBottom w:val="0"/>
      <w:divBdr>
        <w:top w:val="none" w:sz="0" w:space="0" w:color="auto"/>
        <w:left w:val="none" w:sz="0" w:space="0" w:color="auto"/>
        <w:bottom w:val="none" w:sz="0" w:space="0" w:color="auto"/>
        <w:right w:val="none" w:sz="0" w:space="0" w:color="auto"/>
      </w:divBdr>
      <w:divsChild>
        <w:div w:id="274989418">
          <w:marLeft w:val="0"/>
          <w:marRight w:val="0"/>
          <w:marTop w:val="0"/>
          <w:marBottom w:val="0"/>
          <w:divBdr>
            <w:top w:val="none" w:sz="0" w:space="0" w:color="auto"/>
            <w:left w:val="none" w:sz="0" w:space="0" w:color="auto"/>
            <w:bottom w:val="none" w:sz="0" w:space="0" w:color="auto"/>
            <w:right w:val="none" w:sz="0" w:space="0" w:color="auto"/>
          </w:divBdr>
        </w:div>
      </w:divsChild>
    </w:div>
    <w:div w:id="1210415288">
      <w:bodyDiv w:val="1"/>
      <w:marLeft w:val="0"/>
      <w:marRight w:val="0"/>
      <w:marTop w:val="0"/>
      <w:marBottom w:val="0"/>
      <w:divBdr>
        <w:top w:val="none" w:sz="0" w:space="0" w:color="auto"/>
        <w:left w:val="none" w:sz="0" w:space="0" w:color="auto"/>
        <w:bottom w:val="none" w:sz="0" w:space="0" w:color="auto"/>
        <w:right w:val="none" w:sz="0" w:space="0" w:color="auto"/>
      </w:divBdr>
      <w:divsChild>
        <w:div w:id="901140424">
          <w:marLeft w:val="0"/>
          <w:marRight w:val="0"/>
          <w:marTop w:val="0"/>
          <w:marBottom w:val="0"/>
          <w:divBdr>
            <w:top w:val="none" w:sz="0" w:space="0" w:color="auto"/>
            <w:left w:val="none" w:sz="0" w:space="0" w:color="auto"/>
            <w:bottom w:val="none" w:sz="0" w:space="0" w:color="auto"/>
            <w:right w:val="none" w:sz="0" w:space="0" w:color="auto"/>
          </w:divBdr>
          <w:divsChild>
            <w:div w:id="49425369">
              <w:marLeft w:val="0"/>
              <w:marRight w:val="0"/>
              <w:marTop w:val="0"/>
              <w:marBottom w:val="0"/>
              <w:divBdr>
                <w:top w:val="none" w:sz="0" w:space="0" w:color="auto"/>
                <w:left w:val="none" w:sz="0" w:space="0" w:color="auto"/>
                <w:bottom w:val="none" w:sz="0" w:space="0" w:color="auto"/>
                <w:right w:val="none" w:sz="0" w:space="0" w:color="auto"/>
              </w:divBdr>
              <w:divsChild>
                <w:div w:id="210919140">
                  <w:marLeft w:val="0"/>
                  <w:marRight w:val="0"/>
                  <w:marTop w:val="0"/>
                  <w:marBottom w:val="0"/>
                  <w:divBdr>
                    <w:top w:val="none" w:sz="0" w:space="0" w:color="auto"/>
                    <w:left w:val="none" w:sz="0" w:space="0" w:color="auto"/>
                    <w:bottom w:val="none" w:sz="0" w:space="0" w:color="auto"/>
                    <w:right w:val="none" w:sz="0" w:space="0" w:color="auto"/>
                  </w:divBdr>
                  <w:divsChild>
                    <w:div w:id="527374585">
                      <w:marLeft w:val="-15"/>
                      <w:marRight w:val="0"/>
                      <w:marTop w:val="0"/>
                      <w:marBottom w:val="0"/>
                      <w:divBdr>
                        <w:top w:val="none" w:sz="0" w:space="0" w:color="auto"/>
                        <w:left w:val="none" w:sz="0" w:space="0" w:color="auto"/>
                        <w:bottom w:val="none" w:sz="0" w:space="0" w:color="auto"/>
                        <w:right w:val="none" w:sz="0" w:space="0" w:color="auto"/>
                      </w:divBdr>
                      <w:divsChild>
                        <w:div w:id="2022656419">
                          <w:marLeft w:val="0"/>
                          <w:marRight w:val="0"/>
                          <w:marTop w:val="0"/>
                          <w:marBottom w:val="0"/>
                          <w:divBdr>
                            <w:top w:val="none" w:sz="0" w:space="0" w:color="auto"/>
                            <w:left w:val="none" w:sz="0" w:space="0" w:color="auto"/>
                            <w:bottom w:val="none" w:sz="0" w:space="0" w:color="auto"/>
                            <w:right w:val="none" w:sz="0" w:space="0" w:color="auto"/>
                          </w:divBdr>
                          <w:divsChild>
                            <w:div w:id="354043578">
                              <w:marLeft w:val="180"/>
                              <w:marRight w:val="0"/>
                              <w:marTop w:val="0"/>
                              <w:marBottom w:val="0"/>
                              <w:divBdr>
                                <w:top w:val="none" w:sz="0" w:space="0" w:color="auto"/>
                                <w:left w:val="none" w:sz="0" w:space="0" w:color="auto"/>
                                <w:bottom w:val="none" w:sz="0" w:space="0" w:color="auto"/>
                                <w:right w:val="none" w:sz="0" w:space="0" w:color="auto"/>
                              </w:divBdr>
                              <w:divsChild>
                                <w:div w:id="218782150">
                                  <w:marLeft w:val="0"/>
                                  <w:marRight w:val="0"/>
                                  <w:marTop w:val="180"/>
                                  <w:marBottom w:val="0"/>
                                  <w:divBdr>
                                    <w:top w:val="none" w:sz="0" w:space="0" w:color="auto"/>
                                    <w:left w:val="none" w:sz="0" w:space="0" w:color="auto"/>
                                    <w:bottom w:val="none" w:sz="0" w:space="0" w:color="auto"/>
                                    <w:right w:val="none" w:sz="0" w:space="0" w:color="auto"/>
                                  </w:divBdr>
                                  <w:divsChild>
                                    <w:div w:id="1942570066">
                                      <w:marLeft w:val="0"/>
                                      <w:marRight w:val="0"/>
                                      <w:marTop w:val="0"/>
                                      <w:marBottom w:val="0"/>
                                      <w:divBdr>
                                        <w:top w:val="none" w:sz="0" w:space="0" w:color="auto"/>
                                        <w:left w:val="none" w:sz="0" w:space="0" w:color="auto"/>
                                        <w:bottom w:val="none" w:sz="0" w:space="0" w:color="auto"/>
                                        <w:right w:val="none" w:sz="0" w:space="0" w:color="auto"/>
                                      </w:divBdr>
                                      <w:divsChild>
                                        <w:div w:id="571936078">
                                          <w:marLeft w:val="180"/>
                                          <w:marRight w:val="0"/>
                                          <w:marTop w:val="0"/>
                                          <w:marBottom w:val="0"/>
                                          <w:divBdr>
                                            <w:top w:val="none" w:sz="0" w:space="0" w:color="auto"/>
                                            <w:left w:val="none" w:sz="0" w:space="0" w:color="auto"/>
                                            <w:bottom w:val="none" w:sz="0" w:space="0" w:color="auto"/>
                                            <w:right w:val="none" w:sz="0" w:space="0" w:color="auto"/>
                                          </w:divBdr>
                                          <w:divsChild>
                                            <w:div w:id="988705410">
                                              <w:marLeft w:val="0"/>
                                              <w:marRight w:val="0"/>
                                              <w:marTop w:val="0"/>
                                              <w:marBottom w:val="0"/>
                                              <w:divBdr>
                                                <w:top w:val="none" w:sz="0" w:space="0" w:color="auto"/>
                                                <w:left w:val="none" w:sz="0" w:space="0" w:color="auto"/>
                                                <w:bottom w:val="none" w:sz="0" w:space="0" w:color="auto"/>
                                                <w:right w:val="none" w:sz="0" w:space="0" w:color="auto"/>
                                              </w:divBdr>
                                              <w:divsChild>
                                                <w:div w:id="815954410">
                                                  <w:marLeft w:val="0"/>
                                                  <w:marRight w:val="0"/>
                                                  <w:marTop w:val="0"/>
                                                  <w:marBottom w:val="0"/>
                                                  <w:divBdr>
                                                    <w:top w:val="none" w:sz="0" w:space="0" w:color="auto"/>
                                                    <w:left w:val="none" w:sz="0" w:space="0" w:color="auto"/>
                                                    <w:bottom w:val="none" w:sz="0" w:space="0" w:color="auto"/>
                                                    <w:right w:val="none" w:sz="0" w:space="0" w:color="auto"/>
                                                  </w:divBdr>
                                                  <w:divsChild>
                                                    <w:div w:id="247470650">
                                                      <w:marLeft w:val="0"/>
                                                      <w:marRight w:val="0"/>
                                                      <w:marTop w:val="0"/>
                                                      <w:marBottom w:val="0"/>
                                                      <w:divBdr>
                                                        <w:top w:val="none" w:sz="0" w:space="0" w:color="auto"/>
                                                        <w:left w:val="none" w:sz="0" w:space="0" w:color="auto"/>
                                                        <w:bottom w:val="none" w:sz="0" w:space="0" w:color="auto"/>
                                                        <w:right w:val="none" w:sz="0" w:space="0" w:color="auto"/>
                                                      </w:divBdr>
                                                      <w:divsChild>
                                                        <w:div w:id="2136413069">
                                                          <w:marLeft w:val="0"/>
                                                          <w:marRight w:val="0"/>
                                                          <w:marTop w:val="0"/>
                                                          <w:marBottom w:val="0"/>
                                                          <w:divBdr>
                                                            <w:top w:val="none" w:sz="0" w:space="0" w:color="auto"/>
                                                            <w:left w:val="none" w:sz="0" w:space="0" w:color="auto"/>
                                                            <w:bottom w:val="none" w:sz="0" w:space="0" w:color="auto"/>
                                                            <w:right w:val="none" w:sz="0" w:space="0" w:color="auto"/>
                                                          </w:divBdr>
                                                          <w:divsChild>
                                                            <w:div w:id="777287611">
                                                              <w:marLeft w:val="0"/>
                                                              <w:marRight w:val="0"/>
                                                              <w:marTop w:val="0"/>
                                                              <w:marBottom w:val="0"/>
                                                              <w:divBdr>
                                                                <w:top w:val="single" w:sz="6" w:space="0" w:color="E5E6E9"/>
                                                                <w:left w:val="single" w:sz="6" w:space="0" w:color="DFE0E4"/>
                                                                <w:bottom w:val="single" w:sz="6" w:space="0" w:color="D0D1D5"/>
                                                                <w:right w:val="single" w:sz="6" w:space="0" w:color="DFE0E4"/>
                                                              </w:divBdr>
                                                              <w:divsChild>
                                                                <w:div w:id="1340082444">
                                                                  <w:marLeft w:val="180"/>
                                                                  <w:marRight w:val="180"/>
                                                                  <w:marTop w:val="180"/>
                                                                  <w:marBottom w:val="180"/>
                                                                  <w:divBdr>
                                                                    <w:top w:val="single" w:sz="6" w:space="0" w:color="E5E5E5"/>
                                                                    <w:left w:val="single" w:sz="6" w:space="0" w:color="E5E5E5"/>
                                                                    <w:bottom w:val="single" w:sz="6" w:space="0" w:color="E5E5E5"/>
                                                                    <w:right w:val="single" w:sz="6" w:space="0" w:color="E5E5E5"/>
                                                                  </w:divBdr>
                                                                  <w:divsChild>
                                                                    <w:div w:id="879364165">
                                                                      <w:marLeft w:val="0"/>
                                                                      <w:marRight w:val="0"/>
                                                                      <w:marTop w:val="0"/>
                                                                      <w:marBottom w:val="0"/>
                                                                      <w:divBdr>
                                                                        <w:top w:val="single" w:sz="6" w:space="0" w:color="E5E6E9"/>
                                                                        <w:left w:val="single" w:sz="6" w:space="0" w:color="DFE0E4"/>
                                                                        <w:bottom w:val="single" w:sz="6" w:space="0" w:color="D0D1D5"/>
                                                                        <w:right w:val="single" w:sz="6" w:space="0" w:color="DFE0E4"/>
                                                                      </w:divBdr>
                                                                      <w:divsChild>
                                                                        <w:div w:id="1844004046">
                                                                          <w:marLeft w:val="0"/>
                                                                          <w:marRight w:val="0"/>
                                                                          <w:marTop w:val="0"/>
                                                                          <w:marBottom w:val="0"/>
                                                                          <w:divBdr>
                                                                            <w:top w:val="none" w:sz="0" w:space="0" w:color="auto"/>
                                                                            <w:left w:val="none" w:sz="0" w:space="0" w:color="auto"/>
                                                                            <w:bottom w:val="none" w:sz="0" w:space="0" w:color="auto"/>
                                                                            <w:right w:val="none" w:sz="0" w:space="0" w:color="auto"/>
                                                                          </w:divBdr>
                                                                          <w:divsChild>
                                                                            <w:div w:id="747922545">
                                                                              <w:marLeft w:val="0"/>
                                                                              <w:marRight w:val="0"/>
                                                                              <w:marTop w:val="0"/>
                                                                              <w:marBottom w:val="0"/>
                                                                              <w:divBdr>
                                                                                <w:top w:val="none" w:sz="0" w:space="0" w:color="auto"/>
                                                                                <w:left w:val="none" w:sz="0" w:space="0" w:color="auto"/>
                                                                                <w:bottom w:val="none" w:sz="0" w:space="0" w:color="auto"/>
                                                                                <w:right w:val="none" w:sz="0" w:space="0" w:color="auto"/>
                                                                              </w:divBdr>
                                                                              <w:divsChild>
                                                                                <w:div w:id="1565410467">
                                                                                  <w:marLeft w:val="0"/>
                                                                                  <w:marRight w:val="0"/>
                                                                                  <w:marTop w:val="0"/>
                                                                                  <w:marBottom w:val="0"/>
                                                                                  <w:divBdr>
                                                                                    <w:top w:val="none" w:sz="0" w:space="0" w:color="auto"/>
                                                                                    <w:left w:val="none" w:sz="0" w:space="0" w:color="auto"/>
                                                                                    <w:bottom w:val="none" w:sz="0" w:space="0" w:color="auto"/>
                                                                                    <w:right w:val="none" w:sz="0" w:space="0" w:color="auto"/>
                                                                                  </w:divBdr>
                                                                                  <w:divsChild>
                                                                                    <w:div w:id="1189173590">
                                                                                      <w:marLeft w:val="0"/>
                                                                                      <w:marRight w:val="0"/>
                                                                                      <w:marTop w:val="0"/>
                                                                                      <w:marBottom w:val="0"/>
                                                                                      <w:divBdr>
                                                                                        <w:top w:val="none" w:sz="0" w:space="0" w:color="auto"/>
                                                                                        <w:left w:val="none" w:sz="0" w:space="0" w:color="auto"/>
                                                                                        <w:bottom w:val="none" w:sz="0" w:space="0" w:color="auto"/>
                                                                                        <w:right w:val="none" w:sz="0" w:space="0" w:color="auto"/>
                                                                                      </w:divBdr>
                                                                                      <w:divsChild>
                                                                                        <w:div w:id="1517038797">
                                                                                          <w:marLeft w:val="0"/>
                                                                                          <w:marRight w:val="0"/>
                                                                                          <w:marTop w:val="0"/>
                                                                                          <w:marBottom w:val="0"/>
                                                                                          <w:divBdr>
                                                                                            <w:top w:val="none" w:sz="0" w:space="0" w:color="auto"/>
                                                                                            <w:left w:val="none" w:sz="0" w:space="0" w:color="auto"/>
                                                                                            <w:bottom w:val="none" w:sz="0" w:space="0" w:color="auto"/>
                                                                                            <w:right w:val="none" w:sz="0" w:space="0" w:color="auto"/>
                                                                                          </w:divBdr>
                                                                                          <w:divsChild>
                                                                                            <w:div w:id="29117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 w:id="19899402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oter1.xml"
                 Type="http://schemas.openxmlformats.org/officeDocument/2006/relationships/footer"/>
   <Relationship Id="rId12" Target="fontTable.xml"
                 Type="http://schemas.openxmlformats.org/officeDocument/2006/relationships/fontTable"/>
   <Relationship Id="rId13" Target="glossary/document.xml"
                 Type="http://schemas.openxmlformats.org/officeDocument/2006/relationships/glossaryDocument"/>
   <Relationship Id="rId14"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charts/chart1.xml"
                 Type="http://schemas.openxmlformats.org/officeDocument/2006/relationships/chart"/>
   <Relationship Id="rId9" Target="charts/chart2.xml"
                 Type="http://schemas.openxmlformats.org/officeDocument/2006/relationships/chart"/>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charts/_rels/chart1.xml.rels><?xml version="1.0" encoding="UTF-8" standalone="yes"?>
<Relationships xmlns="http://schemas.openxmlformats.org/package/2006/relationships">
   <Relationship Id="rId1" Target="../embeddings/oleObject1.bin"
                 Type="http://schemas.openxmlformats.org/officeDocument/2006/relationships/oleObject"/>
   <Relationship Id="rId2" Target="../drawings/drawing1.xml"
                 Type="http://schemas.openxmlformats.org/officeDocument/2006/relationships/chartUserShapes"/>
</Relationships>
</file>

<file path=word/charts/_rels/chart2.xml.rels><?xml version="1.0" encoding="UTF-8" standalone="yes"?>
<Relationships xmlns="http://schemas.openxmlformats.org/package/2006/relationships">
   <Relationship Id="rId1" Target="../embeddings/oleObject2.bin"
                 Type="http://schemas.openxmlformats.org/officeDocument/2006/relationships/oleObject"/>
</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454985126859141"/>
          <c:y val="5.0013754320066162E-2"/>
          <c:w val="0.77470348206474193"/>
          <c:h val="0.82227835458308585"/>
        </c:manualLayout>
      </c:layout>
      <c:barChart>
        <c:barDir val="bar"/>
        <c:grouping val="stacked"/>
        <c:varyColors val="0"/>
        <c:ser>
          <c:idx val="0"/>
          <c:order val="0"/>
          <c:tx>
            <c:strRef>
              <c:f>'Bendr grafik'!$B$1</c:f>
              <c:strCache>
                <c:ptCount val="1"/>
                <c:pt idx="0">
                  <c:v>Iki 2019-03-31</c:v>
                </c:pt>
              </c:strCache>
            </c:strRef>
          </c:tx>
          <c:invertIfNegative val="0"/>
          <c:dPt>
            <c:idx val="3"/>
            <c:invertIfNegative val="0"/>
            <c:bubble3D val="0"/>
            <c:spPr>
              <a:pattFill prst="pct75">
                <a:fgClr>
                  <a:schemeClr val="accent1"/>
                </a:fgClr>
                <a:bgClr>
                  <a:schemeClr val="bg1"/>
                </a:bgClr>
              </a:pattFill>
            </c:spPr>
            <c:extLst>
              <c:ext xmlns:c16="http://schemas.microsoft.com/office/drawing/2014/chart" uri="{C3380CC4-5D6E-409C-BE32-E72D297353CC}">
                <c16:uniqueId val="{00000001-4969-4DB6-82CB-DE3DC1142A2E}"/>
              </c:ext>
            </c:extLst>
          </c:dPt>
          <c:dPt>
            <c:idx val="4"/>
            <c:invertIfNegative val="0"/>
            <c:bubble3D val="0"/>
            <c:spPr>
              <a:pattFill prst="pct50">
                <a:fgClr>
                  <a:srgbClr val="0070C0"/>
                </a:fgClr>
                <a:bgClr>
                  <a:schemeClr val="bg1"/>
                </a:bgClr>
              </a:pattFill>
            </c:spPr>
            <c:extLst>
              <c:ext xmlns:c16="http://schemas.microsoft.com/office/drawing/2014/chart" uri="{C3380CC4-5D6E-409C-BE32-E72D297353CC}">
                <c16:uniqueId val="{00000003-4969-4DB6-82CB-DE3DC1142A2E}"/>
              </c:ext>
            </c:extLst>
          </c:dPt>
          <c:dLbls>
            <c:dLbl>
              <c:idx val="4"/>
              <c:layout>
                <c:manualLayout>
                  <c:x val="0.21423247094113235"/>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969-4DB6-82CB-DE3DC1142A2E}"/>
                </c:ext>
              </c:extLst>
            </c:dLbl>
            <c:spPr>
              <a:noFill/>
              <a:ln>
                <a:noFill/>
              </a:ln>
              <a:effectLst/>
            </c:spPr>
            <c:txPr>
              <a:bodyPr/>
              <a:lstStyle/>
              <a:p>
                <a:pPr>
                  <a:defRPr baseline="0"/>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('Bendr grafik'!$A$2:$A$4;'Bendr grafik'!$A$6)</c:f>
              <c:strCache>
                <c:ptCount val="4"/>
                <c:pt idx="0">
                  <c:v>Deklaruota EK</c:v>
                </c:pt>
                <c:pt idx="1">
                  <c:v>Investuota projektuose</c:v>
                </c:pt>
                <c:pt idx="2">
                  <c:v>Sudaryta sutarčių</c:v>
                </c:pt>
                <c:pt idx="3">
                  <c:v>Numatyta investuoti ES fondų lėšų</c:v>
                </c:pt>
              </c:strCache>
            </c:strRef>
          </c:cat>
          <c:val>
            <c:numRef>
              <c:f>('Bendr grafik'!$B$2:$B$4;'Bendr grafik'!$B$6)</c:f>
              <c:numCache>
                <c:formatCode>_-* #,##0\ _L_t_-;\-* #,##0\ _L_t_-;_-* "-"??\ _L_t_-;_-@_-</c:formatCode>
                <c:ptCount val="4"/>
                <c:pt idx="0">
                  <c:v>1862</c:v>
                </c:pt>
                <c:pt idx="1">
                  <c:v>2178</c:v>
                </c:pt>
                <c:pt idx="2">
                  <c:v>4559</c:v>
                </c:pt>
                <c:pt idx="3" formatCode="#,##0">
                  <c:v>6709.3961300000001</c:v>
                </c:pt>
              </c:numCache>
            </c:numRef>
          </c:val>
          <c:extLst>
            <c:ext xmlns:c16="http://schemas.microsoft.com/office/drawing/2014/chart" uri="{C3380CC4-5D6E-409C-BE32-E72D297353CC}">
              <c16:uniqueId val="{00000004-4969-4DB6-82CB-DE3DC1142A2E}"/>
            </c:ext>
          </c:extLst>
        </c:ser>
        <c:ser>
          <c:idx val="1"/>
          <c:order val="1"/>
          <c:tx>
            <c:strRef>
              <c:f>'Bendr grafik'!$C$1</c:f>
              <c:strCache>
                <c:ptCount val="1"/>
                <c:pt idx="0">
                  <c:v>Per ataskaitinį laikotarpį (2019 m. II ketv.)</c:v>
                </c:pt>
              </c:strCache>
            </c:strRef>
          </c:tx>
          <c:spPr>
            <a:solidFill>
              <a:srgbClr val="92D050"/>
            </a:solidFill>
          </c:spPr>
          <c:invertIfNegative val="0"/>
          <c:dLbls>
            <c:dLbl>
              <c:idx val="0"/>
              <c:layout>
                <c:manualLayout>
                  <c:x val="4.8000000000000001E-2"/>
                  <c:y val="0"/>
                </c:manualLayout>
              </c:layout>
              <c:tx>
                <c:rich>
                  <a:bodyPr/>
                  <a:lstStyle/>
                  <a:p>
                    <a:pPr>
                      <a:defRPr b="1">
                        <a:solidFill>
                          <a:schemeClr val="accent3">
                            <a:lumMod val="50000"/>
                          </a:schemeClr>
                        </a:solidFill>
                      </a:defRPr>
                    </a:pPr>
                    <a:r>
                      <a:rPr lang="en-US" b="1">
                        <a:solidFill>
                          <a:schemeClr val="accent3">
                            <a:lumMod val="50000"/>
                          </a:schemeClr>
                        </a:solidFill>
                      </a:rPr>
                      <a:t> 160 (2,4%)    </a:t>
                    </a:r>
                  </a:p>
                </c:rich>
              </c:tx>
              <c:sp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969-4DB6-82CB-DE3DC1142A2E}"/>
                </c:ext>
              </c:extLst>
            </c:dLbl>
            <c:dLbl>
              <c:idx val="1"/>
              <c:layout>
                <c:manualLayout>
                  <c:x val="4.622222222222222E-2"/>
                  <c:y val="3.792667887082558E-3"/>
                </c:manualLayout>
              </c:layout>
              <c:tx>
                <c:rich>
                  <a:bodyPr/>
                  <a:lstStyle/>
                  <a:p>
                    <a:pPr>
                      <a:defRPr b="1">
                        <a:solidFill>
                          <a:schemeClr val="accent3">
                            <a:lumMod val="50000"/>
                          </a:schemeClr>
                        </a:solidFill>
                      </a:defRPr>
                    </a:pPr>
                    <a:r>
                      <a:rPr lang="en-US" b="1">
                        <a:solidFill>
                          <a:schemeClr val="accent3">
                            <a:lumMod val="50000"/>
                          </a:schemeClr>
                        </a:solidFill>
                      </a:rPr>
                      <a:t> 190 (3%)    </a:t>
                    </a:r>
                  </a:p>
                </c:rich>
              </c:tx>
              <c:sp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969-4DB6-82CB-DE3DC1142A2E}"/>
                </c:ext>
              </c:extLst>
            </c:dLbl>
            <c:dLbl>
              <c:idx val="2"/>
              <c:layout>
                <c:manualLayout>
                  <c:x val="5.5111111111111111E-2"/>
                  <c:y val="0"/>
                </c:manualLayout>
              </c:layout>
              <c:tx>
                <c:rich>
                  <a:bodyPr/>
                  <a:lstStyle/>
                  <a:p>
                    <a:pPr>
                      <a:defRPr b="1">
                        <a:solidFill>
                          <a:schemeClr val="accent3">
                            <a:lumMod val="50000"/>
                          </a:schemeClr>
                        </a:solidFill>
                      </a:defRPr>
                    </a:pPr>
                    <a:r>
                      <a:rPr lang="en-US" b="1">
                        <a:solidFill>
                          <a:schemeClr val="accent3">
                            <a:lumMod val="50000"/>
                          </a:schemeClr>
                        </a:solidFill>
                      </a:rPr>
                      <a:t> 227 (3,4%)    </a:t>
                    </a:r>
                  </a:p>
                </c:rich>
              </c:tx>
              <c:sp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969-4DB6-82CB-DE3DC1142A2E}"/>
                </c:ext>
              </c:extLst>
            </c:dLbl>
            <c:dLbl>
              <c:idx val="3"/>
              <c:delete val="1"/>
              <c:extLst>
                <c:ext xmlns:c15="http://schemas.microsoft.com/office/drawing/2012/chart" uri="{CE6537A1-D6FC-4f65-9D91-7224C49458BB}"/>
                <c:ext xmlns:c16="http://schemas.microsoft.com/office/drawing/2014/chart" uri="{C3380CC4-5D6E-409C-BE32-E72D297353CC}">
                  <c16:uniqueId val="{00000008-4969-4DB6-82CB-DE3DC1142A2E}"/>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('Bendr grafik'!$A$2:$A$4;'Bendr grafik'!$A$6)</c:f>
              <c:strCache>
                <c:ptCount val="4"/>
                <c:pt idx="0">
                  <c:v>Deklaruota EK</c:v>
                </c:pt>
                <c:pt idx="1">
                  <c:v>Investuota projektuose</c:v>
                </c:pt>
                <c:pt idx="2">
                  <c:v>Sudaryta sutarčių</c:v>
                </c:pt>
                <c:pt idx="3">
                  <c:v>Numatyta investuoti ES fondų lėšų</c:v>
                </c:pt>
              </c:strCache>
            </c:strRef>
          </c:cat>
          <c:val>
            <c:numRef>
              <c:f>('Bendr grafik'!$C$2:$C$4;'Bendr grafik'!$C$6)</c:f>
              <c:numCache>
                <c:formatCode>_-* #,##0\ _L_t_-;\-* #,##0\ _L_t_-;_-* "-"??\ _L_t_-;_-@_-</c:formatCode>
                <c:ptCount val="4"/>
                <c:pt idx="0">
                  <c:v>160</c:v>
                </c:pt>
                <c:pt idx="1">
                  <c:v>190</c:v>
                </c:pt>
                <c:pt idx="2">
                  <c:v>227</c:v>
                </c:pt>
                <c:pt idx="3">
                  <c:v>0</c:v>
                </c:pt>
              </c:numCache>
            </c:numRef>
          </c:val>
          <c:extLst>
            <c:ext xmlns:c16="http://schemas.microsoft.com/office/drawing/2014/chart" uri="{C3380CC4-5D6E-409C-BE32-E72D297353CC}">
              <c16:uniqueId val="{00000009-4969-4DB6-82CB-DE3DC1142A2E}"/>
            </c:ext>
          </c:extLst>
        </c:ser>
        <c:dLbls>
          <c:showLegendKey val="0"/>
          <c:showVal val="0"/>
          <c:showCatName val="0"/>
          <c:showSerName val="0"/>
          <c:showPercent val="0"/>
          <c:showBubbleSize val="0"/>
        </c:dLbls>
        <c:gapWidth val="150"/>
        <c:overlap val="100"/>
        <c:axId val="194674048"/>
        <c:axId val="194692224"/>
      </c:barChart>
      <c:catAx>
        <c:axId val="194674048"/>
        <c:scaling>
          <c:orientation val="minMax"/>
        </c:scaling>
        <c:delete val="0"/>
        <c:axPos val="l"/>
        <c:numFmt formatCode="General" sourceLinked="0"/>
        <c:majorTickMark val="out"/>
        <c:minorTickMark val="none"/>
        <c:tickLblPos val="nextTo"/>
        <c:txPr>
          <a:bodyPr anchor="t" anchorCtr="0"/>
          <a:lstStyle/>
          <a:p>
            <a:pPr>
              <a:defRPr sz="900" b="1"/>
            </a:pPr>
            <a:endParaRPr lang="lt-LT"/>
          </a:p>
        </c:txPr>
        <c:crossAx val="194692224"/>
        <c:crosses val="autoZero"/>
        <c:auto val="1"/>
        <c:lblAlgn val="ctr"/>
        <c:lblOffset val="100"/>
        <c:noMultiLvlLbl val="0"/>
      </c:catAx>
      <c:valAx>
        <c:axId val="194692224"/>
        <c:scaling>
          <c:orientation val="minMax"/>
        </c:scaling>
        <c:delete val="0"/>
        <c:axPos val="b"/>
        <c:majorGridlines>
          <c:spPr>
            <a:ln>
              <a:noFill/>
            </a:ln>
          </c:spPr>
        </c:majorGridlines>
        <c:numFmt formatCode="_-* #,##0\ _L_t_-;\-* #,##0\ _L_t_-;_-* &quot;-&quot;??\ _L_t_-;_-@_-" sourceLinked="1"/>
        <c:majorTickMark val="out"/>
        <c:minorTickMark val="none"/>
        <c:tickLblPos val="nextTo"/>
        <c:spPr>
          <a:ln>
            <a:noFill/>
          </a:ln>
        </c:spPr>
        <c:txPr>
          <a:bodyPr/>
          <a:lstStyle/>
          <a:p>
            <a:pPr>
              <a:defRPr>
                <a:solidFill>
                  <a:schemeClr val="bg1"/>
                </a:solidFill>
              </a:defRPr>
            </a:pPr>
            <a:endParaRPr lang="lt-LT"/>
          </a:p>
        </c:txPr>
        <c:crossAx val="194674048"/>
        <c:crosses val="autoZero"/>
        <c:crossBetween val="between"/>
      </c:valAx>
    </c:plotArea>
    <c:legend>
      <c:legendPos val="b"/>
      <c:layout>
        <c:manualLayout>
          <c:xMode val="edge"/>
          <c:yMode val="edge"/>
          <c:x val="7.0541356911391656E-2"/>
          <c:y val="0.87901036995088766"/>
          <c:w val="0.82206781960264808"/>
          <c:h val="8.7843958806931466E-2"/>
        </c:manualLayout>
      </c:layout>
      <c:overlay val="0"/>
      <c:txPr>
        <a:bodyPr/>
        <a:lstStyle/>
        <a:p>
          <a:pPr>
            <a:defRPr sz="1000" b="1"/>
          </a:pPr>
          <a:endParaRPr lang="lt-LT"/>
        </a:p>
      </c:txPr>
    </c:legend>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'Pagal minist '!$C$16</c:f>
              <c:strCache>
                <c:ptCount val="1"/>
                <c:pt idx="0">
                  <c:v>Nepaskirstyta projektams</c:v>
                </c:pt>
              </c:strCache>
            </c:strRef>
          </c:tx>
          <c:spPr>
            <a:solidFill>
              <a:schemeClr val="bg1">
                <a:lumMod val="75000"/>
              </a:schemeClr>
            </a:solidFill>
            <a:ln w="63500">
              <a:noFill/>
            </a:ln>
          </c:spPr>
          <c:invertIfNegative val="0"/>
          <c:dLbls>
            <c:dLbl>
              <c:idx val="0"/>
              <c:tx>
                <c:rich>
                  <a:bodyPr/>
                  <a:lstStyle/>
                  <a:p>
                    <a:r>
                      <a:rPr lang="en-US"/>
                      <a:t>29%</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DF8-4721-8424-F69E2103F9D7}"/>
                </c:ext>
              </c:extLst>
            </c:dLbl>
            <c:dLbl>
              <c:idx val="1"/>
              <c:tx>
                <c:rich>
                  <a:bodyPr/>
                  <a:lstStyle/>
                  <a:p>
                    <a:r>
                      <a:rPr lang="en-US"/>
                      <a:t>23%</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DF8-4721-8424-F69E2103F9D7}"/>
                </c:ext>
              </c:extLst>
            </c:dLbl>
            <c:dLbl>
              <c:idx val="2"/>
              <c:tx>
                <c:rich>
                  <a:bodyPr/>
                  <a:lstStyle/>
                  <a:p>
                    <a:r>
                      <a:rPr lang="en-US"/>
                      <a:t>30%</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DF8-4721-8424-F69E2103F9D7}"/>
                </c:ext>
              </c:extLst>
            </c:dLbl>
            <c:dLbl>
              <c:idx val="3"/>
              <c:tx>
                <c:rich>
                  <a:bodyPr/>
                  <a:lstStyle/>
                  <a:p>
                    <a:r>
                      <a:rPr lang="en-US"/>
                      <a:t>31%</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DF8-4721-8424-F69E2103F9D7}"/>
                </c:ext>
              </c:extLst>
            </c:dLbl>
            <c:dLbl>
              <c:idx val="4"/>
              <c:tx>
                <c:rich>
                  <a:bodyPr/>
                  <a:lstStyle/>
                  <a:p>
                    <a:r>
                      <a:rPr lang="en-US"/>
                      <a:t>27%</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DF8-4721-8424-F69E2103F9D7}"/>
                </c:ext>
              </c:extLst>
            </c:dLbl>
            <c:dLbl>
              <c:idx val="5"/>
              <c:tx>
                <c:rich>
                  <a:bodyPr/>
                  <a:lstStyle/>
                  <a:p>
                    <a:r>
                      <a:rPr lang="en-US"/>
                      <a:t>26%</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DF8-4721-8424-F69E2103F9D7}"/>
                </c:ext>
              </c:extLst>
            </c:dLbl>
            <c:dLbl>
              <c:idx val="6"/>
              <c:tx>
                <c:rich>
                  <a:bodyPr/>
                  <a:lstStyle/>
                  <a:p>
                    <a:r>
                      <a:rPr lang="en-US"/>
                      <a:t>42%</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DF8-4721-8424-F69E2103F9D7}"/>
                </c:ext>
              </c:extLst>
            </c:dLbl>
            <c:dLbl>
              <c:idx val="7"/>
              <c:tx>
                <c:rich>
                  <a:bodyPr/>
                  <a:lstStyle/>
                  <a:p>
                    <a:r>
                      <a:rPr lang="en-US"/>
                      <a:t>16%</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DF8-4721-8424-F69E2103F9D7}"/>
                </c:ext>
              </c:extLst>
            </c:dLbl>
            <c:dLbl>
              <c:idx val="8"/>
              <c:tx>
                <c:rich>
                  <a:bodyPr/>
                  <a:lstStyle/>
                  <a:p>
                    <a:r>
                      <a:rPr lang="en-US"/>
                      <a:t>41%</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DF8-4721-8424-F69E2103F9D7}"/>
                </c:ext>
              </c:extLst>
            </c:dLbl>
            <c:dLbl>
              <c:idx val="9"/>
              <c:tx>
                <c:rich>
                  <a:bodyPr/>
                  <a:lstStyle/>
                  <a:p>
                    <a:r>
                      <a:rPr lang="en-US"/>
                      <a:t>19%</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DF8-4721-8424-F69E2103F9D7}"/>
                </c:ext>
              </c:extLst>
            </c:dLbl>
            <c:spPr>
              <a:noFill/>
              <a:ln>
                <a:noFill/>
              </a:ln>
              <a:effectLst/>
            </c:spPr>
            <c:txPr>
              <a:bodyPr/>
              <a:lstStyle/>
              <a:p>
                <a:pPr>
                  <a:defRPr>
                    <a:solidFill>
                      <a:schemeClr val="tx1">
                        <a:lumMod val="75000"/>
                        <a:lumOff val="25000"/>
                      </a:schemeClr>
                    </a:solidFill>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'Pagal minist '!$B$17:$B$26</c:f>
              <c:strCache>
                <c:ptCount val="10"/>
                <c:pt idx="0">
                  <c:v>EM</c:v>
                </c:pt>
                <c:pt idx="1">
                  <c:v>KM</c:v>
                </c:pt>
                <c:pt idx="2">
                  <c:v>VRM</c:v>
                </c:pt>
                <c:pt idx="3">
                  <c:v>EIM</c:v>
                </c:pt>
                <c:pt idx="4">
                  <c:v>ŠMSM</c:v>
                </c:pt>
                <c:pt idx="5">
                  <c:v>SAM</c:v>
                </c:pt>
                <c:pt idx="6">
                  <c:v>SM</c:v>
                </c:pt>
                <c:pt idx="7">
                  <c:v>AM</c:v>
                </c:pt>
                <c:pt idx="8">
                  <c:v>FM</c:v>
                </c:pt>
                <c:pt idx="9">
                  <c:v>SADM</c:v>
                </c:pt>
              </c:strCache>
            </c:strRef>
          </c:cat>
          <c:val>
            <c:numRef>
              <c:f>'Pagal minist '!$C$17:$C$26</c:f>
              <c:numCache>
                <c:formatCode>0%</c:formatCode>
                <c:ptCount val="10"/>
                <c:pt idx="0">
                  <c:v>1</c:v>
                </c:pt>
                <c:pt idx="1">
                  <c:v>1</c:v>
                </c:pt>
                <c:pt idx="2">
                  <c:v>1</c:v>
                </c:pt>
                <c:pt idx="3">
                  <c:v>1</c:v>
                </c:pt>
                <c:pt idx="4">
                  <c:v>1</c:v>
                </c:pt>
                <c:pt idx="5">
                  <c:v>1</c:v>
                </c:pt>
                <c:pt idx="6">
                  <c:v>1</c:v>
                </c:pt>
                <c:pt idx="7">
                  <c:v>1</c:v>
                </c:pt>
                <c:pt idx="8">
                  <c:v>1</c:v>
                </c:pt>
                <c:pt idx="9">
                  <c:v>1</c:v>
                </c:pt>
              </c:numCache>
            </c:numRef>
          </c:val>
          <c:extLst>
            <c:ext xmlns:c16="http://schemas.microsoft.com/office/drawing/2014/chart" uri="{C3380CC4-5D6E-409C-BE32-E72D297353CC}">
              <c16:uniqueId val="{0000000A-EDF8-4721-8424-F69E2103F9D7}"/>
            </c:ext>
          </c:extLst>
        </c:ser>
        <c:ser>
          <c:idx val="1"/>
          <c:order val="1"/>
          <c:tx>
            <c:strRef>
              <c:f>'Pagal minist '!$E$16</c:f>
              <c:strCache>
                <c:ptCount val="1"/>
                <c:pt idx="0">
                  <c:v>Sudaryta projektų sutarčių</c:v>
                </c:pt>
              </c:strCache>
            </c:strRef>
          </c:tx>
          <c:spPr>
            <a:solidFill>
              <a:schemeClr val="accent1"/>
            </a:solidFill>
            <a:ln w="63500">
              <a:solidFill>
                <a:schemeClr val="accent1"/>
              </a:solidFill>
            </a:ln>
          </c:spPr>
          <c:invertIfNegative val="0"/>
          <c:dLbls>
            <c:spPr>
              <a:noFill/>
              <a:ln>
                <a:noFill/>
              </a:ln>
              <a:effectLst/>
            </c:spPr>
            <c:txPr>
              <a:bodyPr/>
              <a:lstStyle/>
              <a:p>
                <a:pPr>
                  <a:defRPr b="1">
                    <a:solidFill>
                      <a:schemeClr val="bg1"/>
                    </a:solidFill>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'Pagal minist '!$B$17:$B$26</c:f>
              <c:strCache>
                <c:ptCount val="10"/>
                <c:pt idx="0">
                  <c:v>EM</c:v>
                </c:pt>
                <c:pt idx="1">
                  <c:v>KM</c:v>
                </c:pt>
                <c:pt idx="2">
                  <c:v>VRM</c:v>
                </c:pt>
                <c:pt idx="3">
                  <c:v>EIM</c:v>
                </c:pt>
                <c:pt idx="4">
                  <c:v>ŠMSM</c:v>
                </c:pt>
                <c:pt idx="5">
                  <c:v>SAM</c:v>
                </c:pt>
                <c:pt idx="6">
                  <c:v>SM</c:v>
                </c:pt>
                <c:pt idx="7">
                  <c:v>AM</c:v>
                </c:pt>
                <c:pt idx="8">
                  <c:v>FM</c:v>
                </c:pt>
                <c:pt idx="9">
                  <c:v>SADM</c:v>
                </c:pt>
              </c:strCache>
            </c:strRef>
          </c:cat>
          <c:val>
            <c:numRef>
              <c:f>'Pagal minist '!$E$17:$E$26</c:f>
              <c:numCache>
                <c:formatCode>0%</c:formatCode>
                <c:ptCount val="10"/>
                <c:pt idx="0">
                  <c:v>0.70710034795794063</c:v>
                </c:pt>
                <c:pt idx="1">
                  <c:v>0.7683543660303972</c:v>
                </c:pt>
                <c:pt idx="2">
                  <c:v>0.70369037138850132</c:v>
                </c:pt>
                <c:pt idx="3">
                  <c:v>0.68669014611842993</c:v>
                </c:pt>
                <c:pt idx="4">
                  <c:v>0.7315284235078845</c:v>
                </c:pt>
                <c:pt idx="5">
                  <c:v>0.73856170670204779</c:v>
                </c:pt>
                <c:pt idx="6">
                  <c:v>0.58113647386068013</c:v>
                </c:pt>
                <c:pt idx="7">
                  <c:v>0.83942270352703763</c:v>
                </c:pt>
                <c:pt idx="8">
                  <c:v>0.58587695053259525</c:v>
                </c:pt>
                <c:pt idx="9">
                  <c:v>0.81402153386339871</c:v>
                </c:pt>
              </c:numCache>
            </c:numRef>
          </c:val>
          <c:extLst>
            <c:ext xmlns:c16="http://schemas.microsoft.com/office/drawing/2014/chart" uri="{C3380CC4-5D6E-409C-BE32-E72D297353CC}">
              <c16:uniqueId val="{0000000B-EDF8-4721-8424-F69E2103F9D7}"/>
            </c:ext>
          </c:extLst>
        </c:ser>
        <c:ser>
          <c:idx val="2"/>
          <c:order val="2"/>
          <c:tx>
            <c:strRef>
              <c:f>'Pagal minist '!$F$16</c:f>
              <c:strCache>
                <c:ptCount val="1"/>
                <c:pt idx="0">
                  <c:v>Investuota projektuose</c:v>
                </c:pt>
              </c:strCache>
            </c:strRef>
          </c:tx>
          <c:invertIfNegative val="0"/>
          <c:dLbls>
            <c:spPr>
              <a:noFill/>
              <a:ln>
                <a:noFill/>
              </a:ln>
              <a:effectLst/>
            </c:spPr>
            <c:txPr>
              <a:bodyPr/>
              <a:lstStyle/>
              <a:p>
                <a:pPr>
                  <a:defRPr b="1">
                    <a:solidFill>
                      <a:schemeClr val="bg1"/>
                    </a:solidFill>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'Pagal minist '!$B$17:$B$26</c:f>
              <c:strCache>
                <c:ptCount val="10"/>
                <c:pt idx="0">
                  <c:v>EM</c:v>
                </c:pt>
                <c:pt idx="1">
                  <c:v>KM</c:v>
                </c:pt>
                <c:pt idx="2">
                  <c:v>VRM</c:v>
                </c:pt>
                <c:pt idx="3">
                  <c:v>EIM</c:v>
                </c:pt>
                <c:pt idx="4">
                  <c:v>ŠMSM</c:v>
                </c:pt>
                <c:pt idx="5">
                  <c:v>SAM</c:v>
                </c:pt>
                <c:pt idx="6">
                  <c:v>SM</c:v>
                </c:pt>
                <c:pt idx="7">
                  <c:v>AM</c:v>
                </c:pt>
                <c:pt idx="8">
                  <c:v>FM</c:v>
                </c:pt>
                <c:pt idx="9">
                  <c:v>SADM</c:v>
                </c:pt>
              </c:strCache>
            </c:strRef>
          </c:cat>
          <c:val>
            <c:numRef>
              <c:f>'Pagal minist '!$F$17:$F$26</c:f>
              <c:numCache>
                <c:formatCode>0%</c:formatCode>
                <c:ptCount val="10"/>
                <c:pt idx="0">
                  <c:v>0.2158516851661082</c:v>
                </c:pt>
                <c:pt idx="1">
                  <c:v>0.24400442705019371</c:v>
                </c:pt>
                <c:pt idx="2">
                  <c:v>0.2412083142719792</c:v>
                </c:pt>
                <c:pt idx="3">
                  <c:v>0.27931585673195591</c:v>
                </c:pt>
                <c:pt idx="4">
                  <c:v>0.28214471077753556</c:v>
                </c:pt>
                <c:pt idx="5">
                  <c:v>0.30851311798946301</c:v>
                </c:pt>
                <c:pt idx="6">
                  <c:v>0.38616970348514101</c:v>
                </c:pt>
                <c:pt idx="7">
                  <c:v>0.4591786477331925</c:v>
                </c:pt>
                <c:pt idx="8">
                  <c:v>0.48744962284311921</c:v>
                </c:pt>
                <c:pt idx="9">
                  <c:v>0.53132786310749036</c:v>
                </c:pt>
              </c:numCache>
            </c:numRef>
          </c:val>
          <c:extLst>
            <c:ext xmlns:c16="http://schemas.microsoft.com/office/drawing/2014/chart" uri="{C3380CC4-5D6E-409C-BE32-E72D297353CC}">
              <c16:uniqueId val="{0000000C-EDF8-4721-8424-F69E2103F9D7}"/>
            </c:ext>
          </c:extLst>
        </c:ser>
        <c:dLbls>
          <c:showLegendKey val="0"/>
          <c:showVal val="0"/>
          <c:showCatName val="0"/>
          <c:showSerName val="0"/>
          <c:showPercent val="0"/>
          <c:showBubbleSize val="0"/>
        </c:dLbls>
        <c:gapWidth val="88"/>
        <c:overlap val="100"/>
        <c:axId val="378201984"/>
        <c:axId val="378203520"/>
      </c:barChart>
      <c:catAx>
        <c:axId val="378201984"/>
        <c:scaling>
          <c:orientation val="minMax"/>
        </c:scaling>
        <c:delete val="0"/>
        <c:axPos val="l"/>
        <c:numFmt formatCode="General" sourceLinked="0"/>
        <c:majorTickMark val="out"/>
        <c:minorTickMark val="none"/>
        <c:tickLblPos val="nextTo"/>
        <c:txPr>
          <a:bodyPr/>
          <a:lstStyle/>
          <a:p>
            <a:pPr>
              <a:defRPr b="0">
                <a:latin typeface="Arial" panose="020B0604020202020204" pitchFamily="34" charset="0"/>
                <a:cs typeface="Arial" panose="020B0604020202020204" pitchFamily="34" charset="0"/>
              </a:defRPr>
            </a:pPr>
            <a:endParaRPr lang="lt-LT"/>
          </a:p>
        </c:txPr>
        <c:crossAx val="378203520"/>
        <c:crosses val="autoZero"/>
        <c:auto val="1"/>
        <c:lblAlgn val="ctr"/>
        <c:lblOffset val="100"/>
        <c:noMultiLvlLbl val="0"/>
      </c:catAx>
      <c:valAx>
        <c:axId val="378203520"/>
        <c:scaling>
          <c:orientation val="minMax"/>
          <c:max val="1"/>
        </c:scaling>
        <c:delete val="0"/>
        <c:axPos val="b"/>
        <c:majorGridlines/>
        <c:numFmt formatCode="0%" sourceLinked="1"/>
        <c:majorTickMark val="none"/>
        <c:minorTickMark val="none"/>
        <c:tickLblPos val="none"/>
        <c:crossAx val="378201984"/>
        <c:crosses val="autoZero"/>
        <c:crossBetween val="between"/>
        <c:majorUnit val="0.2"/>
      </c:valAx>
    </c:plotArea>
    <c:legend>
      <c:legendPos val="b"/>
      <c:layout>
        <c:manualLayout>
          <c:xMode val="edge"/>
          <c:yMode val="edge"/>
          <c:x val="0.15092275647298026"/>
          <c:y val="0.93121369584685798"/>
          <c:w val="0.67811905842071796"/>
          <c:h val="5.2088185736159087E-2"/>
        </c:manualLayout>
      </c:layout>
      <c:overlay val="0"/>
      <c:txPr>
        <a:bodyPr/>
        <a:lstStyle/>
        <a:p>
          <a:pPr>
            <a:defRPr>
              <a:latin typeface="Arial" panose="020B0604020202020204" pitchFamily="34" charset="0"/>
              <a:cs typeface="Arial" panose="020B0604020202020204" pitchFamily="34" charset="0"/>
            </a:defRPr>
          </a:pPr>
          <a:endParaRPr lang="lt-LT"/>
        </a:p>
      </c:txPr>
    </c:legend>
    <c:plotVisOnly val="1"/>
    <c:dispBlanksAs val="gap"/>
    <c:showDLblsOverMax val="0"/>
  </c:chart>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0.83458</cdr:x>
      <cdr:y>0.06338</cdr:y>
    </cdr:from>
    <cdr:to>
      <cdr:x>0.91573</cdr:x>
      <cdr:y>0.15845</cdr:y>
    </cdr:to>
    <cdr:sp macro="" textlink="">
      <cdr:nvSpPr>
        <cdr:cNvPr id="2" name="TextBox 1"/>
        <cdr:cNvSpPr txBox="1"/>
      </cdr:nvSpPr>
      <cdr:spPr>
        <a:xfrm xmlns:a="http://schemas.openxmlformats.org/drawingml/2006/main">
          <a:off x="6367462" y="214313"/>
          <a:ext cx="619125" cy="32146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lt-LT" sz="1100"/>
        </a:p>
      </cdr:txBody>
    </cdr:sp>
  </cdr:relSizeAnchor>
  <cdr:relSizeAnchor xmlns:cdr="http://schemas.openxmlformats.org/drawingml/2006/chartDrawing">
    <cdr:from>
      <cdr:x>0.83054</cdr:x>
      <cdr:y>0.10705</cdr:y>
    </cdr:from>
    <cdr:to>
      <cdr:x>0.94758</cdr:x>
      <cdr:y>0.17747</cdr:y>
    </cdr:to>
    <cdr:sp macro="" textlink="">
      <cdr:nvSpPr>
        <cdr:cNvPr id="3" name="TextBox 2"/>
        <cdr:cNvSpPr txBox="1"/>
      </cdr:nvSpPr>
      <cdr:spPr>
        <a:xfrm xmlns:a="http://schemas.openxmlformats.org/drawingml/2006/main">
          <a:off x="7064435" y="361960"/>
          <a:ext cx="995521" cy="23811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lt-LT" sz="1100"/>
        </a:p>
      </cdr:txBody>
    </cdr:sp>
  </cdr:relSizeAnchor>
  <cdr:relSizeAnchor xmlns:cdr="http://schemas.openxmlformats.org/drawingml/2006/chartDrawing">
    <cdr:from>
      <cdr:x>0.85476</cdr:x>
      <cdr:y>0.11464</cdr:y>
    </cdr:from>
    <cdr:to>
      <cdr:x>0.98243</cdr:x>
      <cdr:y>0.19914</cdr:y>
    </cdr:to>
    <cdr:sp macro="" textlink="">
      <cdr:nvSpPr>
        <cdr:cNvPr id="6" name="TextBox 1"/>
        <cdr:cNvSpPr txBox="1"/>
      </cdr:nvSpPr>
      <cdr:spPr>
        <a:xfrm xmlns:a="http://schemas.openxmlformats.org/drawingml/2006/main">
          <a:off x="5231241" y="328749"/>
          <a:ext cx="781369" cy="24231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lt-LT" sz="1050" b="1" baseline="0">
              <a:solidFill>
                <a:srgbClr val="0070C0"/>
              </a:solidFill>
            </a:rPr>
            <a:t>(</a:t>
          </a:r>
          <a:r>
            <a:rPr lang="en-US" sz="1050" b="1" baseline="0">
              <a:solidFill>
                <a:srgbClr val="0070C0"/>
              </a:solidFill>
            </a:rPr>
            <a:t>100%)</a:t>
          </a:r>
          <a:endParaRPr lang="lt-LT" sz="1050" b="1">
            <a:solidFill>
              <a:srgbClr val="0070C0"/>
            </a:solidFill>
          </a:endParaRPr>
        </a:p>
      </cdr:txBody>
    </cdr:sp>
  </cdr:relSizeAnchor>
  <cdr:relSizeAnchor xmlns:cdr="http://schemas.openxmlformats.org/drawingml/2006/chartDrawing">
    <cdr:from>
      <cdr:x>0.77668</cdr:x>
      <cdr:y>0.31767</cdr:y>
    </cdr:from>
    <cdr:to>
      <cdr:x>0.99935</cdr:x>
      <cdr:y>0.39544</cdr:y>
    </cdr:to>
    <cdr:sp macro="" textlink="">
      <cdr:nvSpPr>
        <cdr:cNvPr id="7" name="TextBox 1"/>
        <cdr:cNvSpPr txBox="1"/>
      </cdr:nvSpPr>
      <cdr:spPr>
        <a:xfrm xmlns:a="http://schemas.openxmlformats.org/drawingml/2006/main">
          <a:off x="4753382" y="910970"/>
          <a:ext cx="1362745" cy="22301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r"/>
          <a:r>
            <a:rPr lang="lt-LT" sz="1100" b="1">
              <a:solidFill>
                <a:srgbClr val="0070C0"/>
              </a:solidFill>
              <a:effectLst/>
              <a:latin typeface="+mn-lt"/>
              <a:ea typeface="+mn-ea"/>
              <a:cs typeface="+mn-cs"/>
            </a:rPr>
            <a:t>Iš viso:</a:t>
          </a:r>
          <a:r>
            <a:rPr lang="lt-LT" sz="1100" b="1" baseline="0">
              <a:solidFill>
                <a:srgbClr val="0070C0"/>
              </a:solidFill>
              <a:effectLst/>
              <a:latin typeface="+mn-lt"/>
              <a:ea typeface="+mn-ea"/>
              <a:cs typeface="+mn-cs"/>
            </a:rPr>
            <a:t> </a:t>
          </a:r>
          <a:r>
            <a:rPr lang="lt-LT" sz="1050" b="1" baseline="0">
              <a:solidFill>
                <a:srgbClr val="0070C0"/>
              </a:solidFill>
              <a:effectLst/>
              <a:latin typeface="+mn-lt"/>
              <a:ea typeface="+mn-ea"/>
              <a:cs typeface="+mn-cs"/>
            </a:rPr>
            <a:t>4 </a:t>
          </a:r>
          <a:r>
            <a:rPr lang="en-US" sz="1050" b="1" baseline="0">
              <a:solidFill>
                <a:srgbClr val="0070C0"/>
              </a:solidFill>
              <a:effectLst/>
              <a:latin typeface="+mn-lt"/>
              <a:ea typeface="+mn-ea"/>
              <a:cs typeface="+mn-cs"/>
            </a:rPr>
            <a:t>786</a:t>
          </a:r>
          <a:r>
            <a:rPr lang="en-US" sz="1050" b="1">
              <a:solidFill>
                <a:srgbClr val="0070C0"/>
              </a:solidFill>
            </a:rPr>
            <a:t> </a:t>
          </a:r>
          <a:r>
            <a:rPr lang="lt-LT" sz="1050" b="1" baseline="0">
              <a:solidFill>
                <a:srgbClr val="0070C0"/>
              </a:solidFill>
            </a:rPr>
            <a:t>(</a:t>
          </a:r>
          <a:r>
            <a:rPr lang="en-US" sz="1050" b="1" baseline="0">
              <a:solidFill>
                <a:srgbClr val="0070C0"/>
              </a:solidFill>
            </a:rPr>
            <a:t>71%)</a:t>
          </a:r>
          <a:endParaRPr lang="lt-LT" sz="1050" b="1">
            <a:solidFill>
              <a:srgbClr val="0070C0"/>
            </a:solidFill>
          </a:endParaRPr>
        </a:p>
      </cdr:txBody>
    </cdr:sp>
  </cdr:relSizeAnchor>
  <cdr:relSizeAnchor xmlns:cdr="http://schemas.openxmlformats.org/drawingml/2006/chartDrawing">
    <cdr:from>
      <cdr:x>0.78705</cdr:x>
      <cdr:y>0.53295</cdr:y>
    </cdr:from>
    <cdr:to>
      <cdr:x>0.99935</cdr:x>
      <cdr:y>0.61668</cdr:y>
    </cdr:to>
    <cdr:sp macro="" textlink="">
      <cdr:nvSpPr>
        <cdr:cNvPr id="8" name="TextBox 1"/>
        <cdr:cNvSpPr txBox="1"/>
      </cdr:nvSpPr>
      <cdr:spPr>
        <a:xfrm xmlns:a="http://schemas.openxmlformats.org/drawingml/2006/main">
          <a:off x="4816848" y="1528319"/>
          <a:ext cx="1299280" cy="24009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r"/>
          <a:r>
            <a:rPr lang="lt-LT" sz="1100" b="1">
              <a:solidFill>
                <a:srgbClr val="0070C0"/>
              </a:solidFill>
              <a:effectLst/>
              <a:latin typeface="+mn-lt"/>
              <a:ea typeface="+mn-ea"/>
              <a:cs typeface="+mn-cs"/>
            </a:rPr>
            <a:t>Iš viso:</a:t>
          </a:r>
          <a:r>
            <a:rPr lang="lt-LT" sz="1100" b="1" baseline="0">
              <a:solidFill>
                <a:srgbClr val="0070C0"/>
              </a:solidFill>
              <a:effectLst/>
              <a:latin typeface="+mn-lt"/>
              <a:ea typeface="+mn-ea"/>
              <a:cs typeface="+mn-cs"/>
            </a:rPr>
            <a:t> </a:t>
          </a:r>
          <a:r>
            <a:rPr lang="lt-LT" sz="1050" b="1" baseline="0">
              <a:solidFill>
                <a:srgbClr val="0070C0"/>
              </a:solidFill>
              <a:effectLst/>
              <a:latin typeface="+mn-lt"/>
              <a:ea typeface="+mn-ea"/>
              <a:cs typeface="+mn-cs"/>
            </a:rPr>
            <a:t>2</a:t>
          </a:r>
          <a:r>
            <a:rPr lang="en-US" sz="1050" b="1" baseline="0">
              <a:solidFill>
                <a:srgbClr val="0070C0"/>
              </a:solidFill>
              <a:effectLst/>
              <a:latin typeface="+mn-lt"/>
              <a:ea typeface="+mn-ea"/>
              <a:cs typeface="+mn-cs"/>
            </a:rPr>
            <a:t> 36</a:t>
          </a:r>
          <a:r>
            <a:rPr lang="lt-LT" sz="1050" b="1" baseline="0">
              <a:solidFill>
                <a:srgbClr val="0070C0"/>
              </a:solidFill>
              <a:effectLst/>
              <a:latin typeface="+mn-lt"/>
              <a:ea typeface="+mn-ea"/>
              <a:cs typeface="+mn-cs"/>
            </a:rPr>
            <a:t>8</a:t>
          </a:r>
          <a:r>
            <a:rPr lang="en-US" sz="1050" b="1">
              <a:solidFill>
                <a:srgbClr val="0070C0"/>
              </a:solidFill>
            </a:rPr>
            <a:t> </a:t>
          </a:r>
          <a:r>
            <a:rPr lang="lt-LT" sz="1050" b="1" baseline="0">
              <a:solidFill>
                <a:srgbClr val="0070C0"/>
              </a:solidFill>
            </a:rPr>
            <a:t>(3</a:t>
          </a:r>
          <a:r>
            <a:rPr lang="en-US" sz="1050" b="1" baseline="0">
              <a:solidFill>
                <a:srgbClr val="0070C0"/>
              </a:solidFill>
            </a:rPr>
            <a:t>5%)</a:t>
          </a:r>
          <a:endParaRPr lang="lt-LT" sz="1050" b="1">
            <a:solidFill>
              <a:srgbClr val="0070C0"/>
            </a:solidFill>
          </a:endParaRPr>
        </a:p>
      </cdr:txBody>
    </cdr:sp>
  </cdr:relSizeAnchor>
  <cdr:relSizeAnchor xmlns:cdr="http://schemas.openxmlformats.org/drawingml/2006/chartDrawing">
    <cdr:from>
      <cdr:x>0.78933</cdr:x>
      <cdr:y>0.74232</cdr:y>
    </cdr:from>
    <cdr:to>
      <cdr:x>0.99935</cdr:x>
      <cdr:y>0.82117</cdr:y>
    </cdr:to>
    <cdr:sp macro="" textlink="">
      <cdr:nvSpPr>
        <cdr:cNvPr id="9" name="TextBox 1"/>
        <cdr:cNvSpPr txBox="1"/>
      </cdr:nvSpPr>
      <cdr:spPr>
        <a:xfrm xmlns:a="http://schemas.openxmlformats.org/drawingml/2006/main">
          <a:off x="4830793" y="2128721"/>
          <a:ext cx="1285335" cy="22611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r"/>
          <a:r>
            <a:rPr lang="lt-LT" sz="1100" b="1">
              <a:solidFill>
                <a:srgbClr val="0070C0"/>
              </a:solidFill>
              <a:effectLst/>
              <a:latin typeface="+mn-lt"/>
              <a:ea typeface="+mn-ea"/>
              <a:cs typeface="+mn-cs"/>
            </a:rPr>
            <a:t>Iš viso:</a:t>
          </a:r>
          <a:r>
            <a:rPr lang="lt-LT" sz="1100" b="1" baseline="0">
              <a:solidFill>
                <a:srgbClr val="0070C0"/>
              </a:solidFill>
              <a:effectLst/>
              <a:latin typeface="+mn-lt"/>
              <a:ea typeface="+mn-ea"/>
              <a:cs typeface="+mn-cs"/>
            </a:rPr>
            <a:t> </a:t>
          </a:r>
          <a:r>
            <a:rPr lang="en-US" sz="1050" b="1" baseline="0">
              <a:solidFill>
                <a:srgbClr val="0070C0"/>
              </a:solidFill>
              <a:effectLst/>
              <a:latin typeface="+mn-lt"/>
              <a:ea typeface="+mn-ea"/>
              <a:cs typeface="+mn-cs"/>
            </a:rPr>
            <a:t>2 022</a:t>
          </a:r>
          <a:r>
            <a:rPr lang="lt-LT" sz="1050" b="1" baseline="0">
              <a:solidFill>
                <a:srgbClr val="0070C0"/>
              </a:solidFill>
            </a:rPr>
            <a:t> (</a:t>
          </a:r>
          <a:r>
            <a:rPr lang="en-US" sz="1050" b="1" baseline="0">
              <a:solidFill>
                <a:srgbClr val="0070C0"/>
              </a:solidFill>
            </a:rPr>
            <a:t>30%)</a:t>
          </a:r>
          <a:endParaRPr lang="lt-LT" sz="1050" b="1">
            <a:solidFill>
              <a:srgbClr val="0070C0"/>
            </a:solidFill>
          </a:endParaRPr>
        </a:p>
      </cdr:txBody>
    </cdr:sp>
  </cdr:relSizeAnchor>
</c:userShape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27F9497BEB4502967040EA23B522FC"/>
        <w:category>
          <w:name w:val="General"/>
          <w:gallery w:val="placeholder"/>
        </w:category>
        <w:types>
          <w:type w:val="bbPlcHdr"/>
        </w:types>
        <w:behaviors>
          <w:behavior w:val="content"/>
        </w:behaviors>
        <w:guid w:val="{E6724158-EE47-4669-936D-92D76499E93E}"/>
      </w:docPartPr>
      <w:docPartBody>
        <w:p w:rsidR="00CF1C8C" w:rsidRDefault="00335FBF" w:rsidP="00335FBF">
          <w:pPr>
            <w:pStyle w:val="5227F9497BEB4502967040EA23B522FC"/>
          </w:pPr>
          <w:r w:rsidRPr="00833863">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E78"/>
    <w:rsid w:val="000042D0"/>
    <w:rsid w:val="00014A3A"/>
    <w:rsid w:val="000279C1"/>
    <w:rsid w:val="00033E94"/>
    <w:rsid w:val="0004518E"/>
    <w:rsid w:val="0004669A"/>
    <w:rsid w:val="00090348"/>
    <w:rsid w:val="000A6D8F"/>
    <w:rsid w:val="000D3C6F"/>
    <w:rsid w:val="000E1449"/>
    <w:rsid w:val="000E7C92"/>
    <w:rsid w:val="00111ABF"/>
    <w:rsid w:val="00153DF6"/>
    <w:rsid w:val="001613B7"/>
    <w:rsid w:val="001A0A9F"/>
    <w:rsid w:val="001C6D44"/>
    <w:rsid w:val="001E0BF7"/>
    <w:rsid w:val="001F4829"/>
    <w:rsid w:val="001F7310"/>
    <w:rsid w:val="00243381"/>
    <w:rsid w:val="00251070"/>
    <w:rsid w:val="00265455"/>
    <w:rsid w:val="00283E48"/>
    <w:rsid w:val="00294044"/>
    <w:rsid w:val="002B0E91"/>
    <w:rsid w:val="002D2B10"/>
    <w:rsid w:val="00332B83"/>
    <w:rsid w:val="00335FBF"/>
    <w:rsid w:val="0034619F"/>
    <w:rsid w:val="003816BF"/>
    <w:rsid w:val="00383A07"/>
    <w:rsid w:val="00393187"/>
    <w:rsid w:val="003A033E"/>
    <w:rsid w:val="003B5A75"/>
    <w:rsid w:val="003E362D"/>
    <w:rsid w:val="003F2205"/>
    <w:rsid w:val="003F42DE"/>
    <w:rsid w:val="00405175"/>
    <w:rsid w:val="00420D08"/>
    <w:rsid w:val="004457B0"/>
    <w:rsid w:val="00466683"/>
    <w:rsid w:val="004800B2"/>
    <w:rsid w:val="00494A26"/>
    <w:rsid w:val="004D78D8"/>
    <w:rsid w:val="00537F2D"/>
    <w:rsid w:val="0054013E"/>
    <w:rsid w:val="0055408C"/>
    <w:rsid w:val="00563210"/>
    <w:rsid w:val="00566C89"/>
    <w:rsid w:val="0059430B"/>
    <w:rsid w:val="005A4A87"/>
    <w:rsid w:val="005B21CD"/>
    <w:rsid w:val="005B3156"/>
    <w:rsid w:val="005C5E0E"/>
    <w:rsid w:val="005D1504"/>
    <w:rsid w:val="005D52D0"/>
    <w:rsid w:val="005E2AAD"/>
    <w:rsid w:val="00602830"/>
    <w:rsid w:val="00604123"/>
    <w:rsid w:val="00655818"/>
    <w:rsid w:val="00665243"/>
    <w:rsid w:val="00684342"/>
    <w:rsid w:val="006A2945"/>
    <w:rsid w:val="00700A26"/>
    <w:rsid w:val="007078E6"/>
    <w:rsid w:val="007302D4"/>
    <w:rsid w:val="00733CF2"/>
    <w:rsid w:val="007638B6"/>
    <w:rsid w:val="00791FD6"/>
    <w:rsid w:val="007A330E"/>
    <w:rsid w:val="007A7502"/>
    <w:rsid w:val="007C3EF1"/>
    <w:rsid w:val="007D2E1C"/>
    <w:rsid w:val="007D4183"/>
    <w:rsid w:val="007D573A"/>
    <w:rsid w:val="007F1EF1"/>
    <w:rsid w:val="00802E58"/>
    <w:rsid w:val="0084402A"/>
    <w:rsid w:val="00852553"/>
    <w:rsid w:val="008910C4"/>
    <w:rsid w:val="008954F0"/>
    <w:rsid w:val="008A53A2"/>
    <w:rsid w:val="008F2108"/>
    <w:rsid w:val="008F3E12"/>
    <w:rsid w:val="00930CDC"/>
    <w:rsid w:val="00943297"/>
    <w:rsid w:val="009506D3"/>
    <w:rsid w:val="00983F66"/>
    <w:rsid w:val="00987ABD"/>
    <w:rsid w:val="009A00EB"/>
    <w:rsid w:val="009A5234"/>
    <w:rsid w:val="009A5ABA"/>
    <w:rsid w:val="009A7625"/>
    <w:rsid w:val="009D2DF2"/>
    <w:rsid w:val="00A10056"/>
    <w:rsid w:val="00A1138D"/>
    <w:rsid w:val="00A17A58"/>
    <w:rsid w:val="00A261D4"/>
    <w:rsid w:val="00A64AF3"/>
    <w:rsid w:val="00AB7434"/>
    <w:rsid w:val="00AC69B5"/>
    <w:rsid w:val="00AE4027"/>
    <w:rsid w:val="00B30BCF"/>
    <w:rsid w:val="00B34709"/>
    <w:rsid w:val="00B65C6B"/>
    <w:rsid w:val="00B774FD"/>
    <w:rsid w:val="00B80969"/>
    <w:rsid w:val="00B85986"/>
    <w:rsid w:val="00B905C7"/>
    <w:rsid w:val="00BB01F1"/>
    <w:rsid w:val="00BC2B1A"/>
    <w:rsid w:val="00BC6886"/>
    <w:rsid w:val="00BE1E18"/>
    <w:rsid w:val="00C35324"/>
    <w:rsid w:val="00C35A5C"/>
    <w:rsid w:val="00C50612"/>
    <w:rsid w:val="00C64F30"/>
    <w:rsid w:val="00C7327A"/>
    <w:rsid w:val="00C767E5"/>
    <w:rsid w:val="00C84BBA"/>
    <w:rsid w:val="00C85FDE"/>
    <w:rsid w:val="00C95D0D"/>
    <w:rsid w:val="00CB1DB4"/>
    <w:rsid w:val="00CD174D"/>
    <w:rsid w:val="00CF132B"/>
    <w:rsid w:val="00CF1C8C"/>
    <w:rsid w:val="00CF71B3"/>
    <w:rsid w:val="00D63F32"/>
    <w:rsid w:val="00D85B3A"/>
    <w:rsid w:val="00D963D7"/>
    <w:rsid w:val="00DC0E28"/>
    <w:rsid w:val="00DD0C32"/>
    <w:rsid w:val="00DD195E"/>
    <w:rsid w:val="00DE1B9E"/>
    <w:rsid w:val="00E215D5"/>
    <w:rsid w:val="00E31BAE"/>
    <w:rsid w:val="00E5420C"/>
    <w:rsid w:val="00E91C3F"/>
    <w:rsid w:val="00EA0356"/>
    <w:rsid w:val="00EA7F3D"/>
    <w:rsid w:val="00EB484F"/>
    <w:rsid w:val="00EC0BD7"/>
    <w:rsid w:val="00EC2C77"/>
    <w:rsid w:val="00ED56BF"/>
    <w:rsid w:val="00EE3AB5"/>
    <w:rsid w:val="00F05F77"/>
    <w:rsid w:val="00F30D38"/>
    <w:rsid w:val="00F31533"/>
    <w:rsid w:val="00F6217A"/>
    <w:rsid w:val="00F6243F"/>
    <w:rsid w:val="00F64368"/>
    <w:rsid w:val="00F715E3"/>
    <w:rsid w:val="00F9131E"/>
    <w:rsid w:val="00FB0522"/>
    <w:rsid w:val="00FB2E78"/>
    <w:rsid w:val="00FB521E"/>
    <w:rsid w:val="00FC1741"/>
    <w:rsid w:val="00FC1A78"/>
    <w:rsid w:val="00FF043F"/>
    <w:rsid w:val="00FF0B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4402A"/>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 w:type="paragraph" w:customStyle="1" w:styleId="6FC8AC0295654582883CADF2C89EB9CC">
    <w:name w:val="6FC8AC0295654582883CADF2C89EB9CC"/>
    <w:rsid w:val="0084402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6DEEA-2CEB-4454-B00D-74E6DCA68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2014</TotalTime>
  <Pages>3</Pages>
  <Words>6898</Words>
  <Characters>3932</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Policijos departamentas prie VRM</Company>
  <LinksUpToDate>false</LinksUpToDate>
  <CharactersWithSpaces>10809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2017-02-14T11:30:00Z</dcterms:created>
  <dc:creator>Evelina Grincevičiūtė</dc:creator>
  <cp:lastModifiedBy>Šarūnė Navickaitė</cp:lastModifiedBy>
  <cp:lastPrinted>2016-12-27T09:41:00Z</cp:lastPrinted>
  <dcterms:modified xsi:type="dcterms:W3CDTF">2019-09-17T13:12:00Z</dcterms:modified>
  <cp:revision>159</cp:revision>
</cp:coreProperties>
</file>