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F8E91" w14:textId="1516E93C" w:rsidR="001024C7" w:rsidRPr="003C182D" w:rsidRDefault="001024C7" w:rsidP="00A35940">
      <w:pPr>
        <w:pStyle w:val="Standard"/>
        <w:jc w:val="center"/>
        <w:rPr>
          <w:b/>
          <w:szCs w:val="24"/>
          <w:lang w:val="lt-LT"/>
        </w:rPr>
      </w:pPr>
      <w:r w:rsidRPr="003C182D">
        <w:rPr>
          <w:b/>
          <w:szCs w:val="24"/>
          <w:lang w:val="lt-LT"/>
        </w:rPr>
        <w:t xml:space="preserve">DERINIMO PAŽYMA DĖL </w:t>
      </w:r>
      <w:r w:rsidR="003C182D" w:rsidRPr="003C182D">
        <w:rPr>
          <w:b/>
          <w:bCs/>
          <w:caps/>
          <w:szCs w:val="24"/>
        </w:rPr>
        <w:t xml:space="preserve">Lietuvos Respublikos Vyriausybės ir Vietnamo Socialistinės Respublikos Vyriausybės susitarimo dėl piliečių readmisijos </w:t>
      </w:r>
      <w:r w:rsidR="00A35940" w:rsidRPr="003C182D">
        <w:rPr>
          <w:b/>
          <w:caps/>
          <w:szCs w:val="24"/>
          <w:lang w:val="lt-LT"/>
        </w:rPr>
        <w:t>PROJEKTO</w:t>
      </w:r>
    </w:p>
    <w:p w14:paraId="0CEA750E" w14:textId="77777777" w:rsidR="00A35940" w:rsidRPr="003C182D" w:rsidRDefault="00A35940" w:rsidP="00A35940">
      <w:pPr>
        <w:pStyle w:val="Standard"/>
        <w:jc w:val="center"/>
        <w:rPr>
          <w:lang w:val="lt-LT"/>
        </w:rPr>
      </w:pPr>
    </w:p>
    <w:tbl>
      <w:tblPr>
        <w:tblStyle w:val="Lentelstinklelis"/>
        <w:tblW w:w="15168" w:type="dxa"/>
        <w:tblInd w:w="-147" w:type="dxa"/>
        <w:tblLayout w:type="fixed"/>
        <w:tblLook w:val="04A0" w:firstRow="1" w:lastRow="0" w:firstColumn="1" w:lastColumn="0" w:noHBand="0" w:noVBand="1"/>
      </w:tblPr>
      <w:tblGrid>
        <w:gridCol w:w="1702"/>
        <w:gridCol w:w="6804"/>
        <w:gridCol w:w="6662"/>
      </w:tblGrid>
      <w:tr w:rsidR="00D32280" w:rsidRPr="003C182D" w14:paraId="230102DE" w14:textId="77777777" w:rsidTr="00507093">
        <w:trPr>
          <w:trHeight w:val="1015"/>
        </w:trPr>
        <w:tc>
          <w:tcPr>
            <w:tcW w:w="1702" w:type="dxa"/>
            <w:vAlign w:val="center"/>
          </w:tcPr>
          <w:p w14:paraId="69510E11" w14:textId="465CD443" w:rsidR="002E2DE6" w:rsidRPr="003C182D" w:rsidRDefault="002E2DE6" w:rsidP="0067247D">
            <w:pPr>
              <w:rPr>
                <w:b/>
                <w:sz w:val="23"/>
                <w:szCs w:val="23"/>
              </w:rPr>
            </w:pPr>
            <w:r w:rsidRPr="003C182D">
              <w:rPr>
                <w:b/>
                <w:sz w:val="23"/>
                <w:szCs w:val="23"/>
              </w:rPr>
              <w:t>Institucijos pavadinimas (rašto data ir Nr.)</w:t>
            </w:r>
          </w:p>
        </w:tc>
        <w:tc>
          <w:tcPr>
            <w:tcW w:w="6804" w:type="dxa"/>
            <w:vAlign w:val="center"/>
          </w:tcPr>
          <w:p w14:paraId="65958D3F" w14:textId="77777777" w:rsidR="002E2DE6" w:rsidRPr="003C182D" w:rsidRDefault="002E2DE6" w:rsidP="0067247D">
            <w:pPr>
              <w:jc w:val="center"/>
              <w:rPr>
                <w:b/>
                <w:sz w:val="23"/>
                <w:szCs w:val="23"/>
              </w:rPr>
            </w:pPr>
            <w:r w:rsidRPr="003C182D">
              <w:rPr>
                <w:b/>
                <w:sz w:val="23"/>
                <w:szCs w:val="23"/>
              </w:rPr>
              <w:t>Pastabos ir pasiūlymai</w:t>
            </w:r>
          </w:p>
        </w:tc>
        <w:tc>
          <w:tcPr>
            <w:tcW w:w="6662" w:type="dxa"/>
            <w:vAlign w:val="center"/>
          </w:tcPr>
          <w:p w14:paraId="35589962" w14:textId="77777777" w:rsidR="002E2DE6" w:rsidRPr="003C182D" w:rsidRDefault="002E2DE6" w:rsidP="0067247D">
            <w:pPr>
              <w:jc w:val="center"/>
              <w:rPr>
                <w:b/>
                <w:sz w:val="23"/>
                <w:szCs w:val="23"/>
              </w:rPr>
            </w:pPr>
            <w:r w:rsidRPr="003C182D">
              <w:rPr>
                <w:b/>
                <w:sz w:val="23"/>
                <w:szCs w:val="23"/>
              </w:rPr>
              <w:t>Paaiškinimai dėl pastabų</w:t>
            </w:r>
          </w:p>
        </w:tc>
      </w:tr>
      <w:tr w:rsidR="00507093" w:rsidRPr="003C182D" w14:paraId="49B81763" w14:textId="77777777" w:rsidTr="00507093">
        <w:tc>
          <w:tcPr>
            <w:tcW w:w="1702" w:type="dxa"/>
          </w:tcPr>
          <w:p w14:paraId="610610CC" w14:textId="1C766982" w:rsidR="00A35940" w:rsidRPr="003C182D" w:rsidRDefault="00E0197F" w:rsidP="00A35940">
            <w:pPr>
              <w:pStyle w:val="Bodytext20"/>
              <w:shd w:val="clear" w:color="auto" w:fill="auto"/>
              <w:tabs>
                <w:tab w:val="left" w:pos="740"/>
              </w:tabs>
              <w:spacing w:before="0" w:after="0" w:line="240" w:lineRule="auto"/>
              <w:jc w:val="left"/>
              <w:rPr>
                <w:rStyle w:val="Teletype"/>
                <w:rFonts w:ascii="Times New Roman" w:hAnsi="Times New Roman" w:cs="Times New Roman"/>
                <w:color w:val="000000"/>
              </w:rPr>
            </w:pPr>
            <w:r w:rsidRPr="003C182D">
              <w:rPr>
                <w:rStyle w:val="Teletype"/>
                <w:rFonts w:ascii="Times New Roman" w:hAnsi="Times New Roman" w:cs="Times New Roman"/>
                <w:color w:val="000000"/>
              </w:rPr>
              <w:t>Teisingumo</w:t>
            </w:r>
            <w:r w:rsidR="00A35940" w:rsidRPr="003C182D">
              <w:rPr>
                <w:rStyle w:val="Teletype"/>
                <w:rFonts w:ascii="Times New Roman" w:hAnsi="Times New Roman" w:cs="Times New Roman"/>
                <w:color w:val="000000"/>
              </w:rPr>
              <w:t xml:space="preserve"> ministerija</w:t>
            </w:r>
            <w:r w:rsidR="008C787D">
              <w:rPr>
                <w:rStyle w:val="Teletype"/>
                <w:rFonts w:ascii="Times New Roman" w:hAnsi="Times New Roman" w:cs="Times New Roman"/>
                <w:color w:val="000000"/>
              </w:rPr>
              <w:t xml:space="preserve"> (2018-11-30 TAIS Nr. </w:t>
            </w:r>
            <w:r w:rsidR="008C787D" w:rsidRPr="008C787D">
              <w:rPr>
                <w:rFonts w:eastAsia="NSimSun"/>
                <w:color w:val="000000"/>
              </w:rPr>
              <w:t>18-13511</w:t>
            </w:r>
            <w:r w:rsidR="008C787D">
              <w:rPr>
                <w:rStyle w:val="Teletype"/>
                <w:rFonts w:ascii="Times New Roman" w:hAnsi="Times New Roman" w:cs="Times New Roman"/>
                <w:color w:val="000000"/>
              </w:rPr>
              <w:t>)</w:t>
            </w:r>
          </w:p>
          <w:p w14:paraId="4174D139" w14:textId="313055A5" w:rsidR="00507093" w:rsidRPr="003C182D" w:rsidRDefault="00507093" w:rsidP="006461A3">
            <w:pPr>
              <w:pStyle w:val="Bodytext20"/>
              <w:shd w:val="clear" w:color="auto" w:fill="auto"/>
              <w:tabs>
                <w:tab w:val="left" w:pos="740"/>
              </w:tabs>
              <w:spacing w:before="0" w:after="0" w:line="240" w:lineRule="auto"/>
              <w:jc w:val="left"/>
            </w:pPr>
          </w:p>
        </w:tc>
        <w:tc>
          <w:tcPr>
            <w:tcW w:w="6804" w:type="dxa"/>
          </w:tcPr>
          <w:p w14:paraId="29BCD5D2" w14:textId="77777777" w:rsidR="00B72EE4" w:rsidRPr="003C182D" w:rsidRDefault="00B72EE4" w:rsidP="00B72EE4">
            <w:pPr>
              <w:pStyle w:val="Betarp"/>
              <w:rPr>
                <w:rFonts w:eastAsia="NSimSun"/>
                <w:bCs/>
                <w:color w:val="000000"/>
                <w:lang w:val="lt-LT"/>
              </w:rPr>
            </w:pPr>
            <w:r w:rsidRPr="003C182D">
              <w:rPr>
                <w:rFonts w:eastAsia="NSimSun"/>
                <w:bCs/>
                <w:color w:val="000000"/>
                <w:lang w:val="lt-LT"/>
              </w:rPr>
              <w:t>Pažymėtina, jog Susitarimo projekto 2 straipsnio 2 dalies nuostatoje įtvirtintas prašančiosios Šalies įsipareigojimas atsižvelgti į asmenų norą būti grąžintiems ne į prašomąją Šalį, bet į valstybę, kurioje jie nuolat gyveno prieš atvykdami į prašančiąją Šalį ir į kurią jie nori būti grąžinti, galimai gali kelti sunkumų dėl jo įvykdomumo, kadangi šio įsipareigojimo vykdymas priklauso nuo trečiosios šalies, kuri nėra Susitarimo Šalis, valios.</w:t>
            </w:r>
          </w:p>
          <w:p w14:paraId="398B499B" w14:textId="102AE8AC" w:rsidR="00A35940" w:rsidRPr="003C182D" w:rsidRDefault="00A35940" w:rsidP="00E0197F">
            <w:pPr>
              <w:pStyle w:val="Betarp"/>
              <w:jc w:val="both"/>
              <w:rPr>
                <w:rStyle w:val="Teletype"/>
                <w:rFonts w:ascii="Times New Roman" w:hAnsi="Times New Roman" w:cs="Times New Roman"/>
                <w:bCs/>
                <w:color w:val="000000"/>
                <w:lang w:val="lt-LT"/>
              </w:rPr>
            </w:pPr>
          </w:p>
        </w:tc>
        <w:tc>
          <w:tcPr>
            <w:tcW w:w="6662" w:type="dxa"/>
          </w:tcPr>
          <w:p w14:paraId="7926E189" w14:textId="63A73888" w:rsidR="00694B3E" w:rsidRPr="003C182D" w:rsidRDefault="00507093" w:rsidP="00507093">
            <w:pPr>
              <w:pStyle w:val="Standard"/>
              <w:snapToGrid w:val="0"/>
              <w:jc w:val="both"/>
              <w:rPr>
                <w:bCs/>
                <w:lang w:val="lt-LT"/>
              </w:rPr>
            </w:pPr>
            <w:r w:rsidRPr="003C182D">
              <w:rPr>
                <w:b/>
                <w:bCs/>
                <w:lang w:val="lt-LT"/>
              </w:rPr>
              <w:t xml:space="preserve">Neatsižvelgta. </w:t>
            </w:r>
          </w:p>
          <w:p w14:paraId="1C737E63" w14:textId="3F5E6226" w:rsidR="00F77E7A" w:rsidRPr="003C182D" w:rsidRDefault="00F77E7A" w:rsidP="00F77E7A">
            <w:pPr>
              <w:jc w:val="both"/>
              <w:rPr>
                <w:rFonts w:eastAsia="NSimSun"/>
                <w:bCs/>
                <w:szCs w:val="24"/>
              </w:rPr>
            </w:pPr>
            <w:r w:rsidRPr="003C182D">
              <w:rPr>
                <w:rFonts w:eastAsia="NSimSun"/>
                <w:bCs/>
                <w:szCs w:val="24"/>
              </w:rPr>
              <w:t xml:space="preserve">Ši nuostata buvo įrašyta kategorišku Vietnamo institucijų reikalavimu. </w:t>
            </w:r>
            <w:r w:rsidR="003C182D" w:rsidRPr="003C182D">
              <w:rPr>
                <w:rFonts w:eastAsia="NSimSun"/>
                <w:bCs/>
                <w:szCs w:val="24"/>
              </w:rPr>
              <w:t xml:space="preserve">Vietnamo pusė netgi </w:t>
            </w:r>
            <w:r w:rsidRPr="003C182D">
              <w:rPr>
                <w:rFonts w:eastAsia="NSimSun"/>
                <w:bCs/>
                <w:szCs w:val="24"/>
              </w:rPr>
              <w:t>siūl</w:t>
            </w:r>
            <w:r w:rsidR="003C182D" w:rsidRPr="003C182D">
              <w:rPr>
                <w:rFonts w:eastAsia="NSimSun"/>
                <w:bCs/>
                <w:szCs w:val="24"/>
              </w:rPr>
              <w:t>ė</w:t>
            </w:r>
            <w:r w:rsidRPr="003C182D">
              <w:rPr>
                <w:rFonts w:eastAsia="NSimSun"/>
                <w:bCs/>
                <w:szCs w:val="24"/>
              </w:rPr>
              <w:t xml:space="preserve">, kad tokie </w:t>
            </w:r>
            <w:r w:rsidR="003C182D" w:rsidRPr="003C182D">
              <w:rPr>
                <w:rFonts w:eastAsia="NSimSun"/>
                <w:bCs/>
                <w:szCs w:val="24"/>
              </w:rPr>
              <w:t>Vietnamo piliečiai, kurie prieš atvykdami į Lietuvos Respubliką gyveno trečiojoje šalyje,</w:t>
            </w:r>
            <w:r w:rsidRPr="003C182D">
              <w:rPr>
                <w:rFonts w:eastAsia="NSimSun"/>
                <w:bCs/>
                <w:szCs w:val="24"/>
              </w:rPr>
              <w:t xml:space="preserve"> </w:t>
            </w:r>
            <w:r w:rsidR="003C182D" w:rsidRPr="003C182D">
              <w:rPr>
                <w:rFonts w:eastAsia="NSimSun"/>
                <w:bCs/>
                <w:szCs w:val="24"/>
              </w:rPr>
              <w:t xml:space="preserve">būtų </w:t>
            </w:r>
            <w:r w:rsidRPr="003C182D">
              <w:rPr>
                <w:rFonts w:eastAsia="NSimSun"/>
                <w:bCs/>
                <w:szCs w:val="24"/>
              </w:rPr>
              <w:t>grąžinami tik į trečiąją šalį. Konsultacijų metu buvo pasiektas kompromisas, kad pačių gražinamų piliečių noru jie gali būti grąžinami į trečiąją valstybę</w:t>
            </w:r>
            <w:r w:rsidR="003C182D" w:rsidRPr="003C182D">
              <w:rPr>
                <w:rFonts w:eastAsia="NSimSun"/>
                <w:bCs/>
                <w:szCs w:val="24"/>
              </w:rPr>
              <w:t xml:space="preserve"> arba į Vietnamą</w:t>
            </w:r>
            <w:r w:rsidRPr="003C182D">
              <w:rPr>
                <w:rFonts w:eastAsia="NSimSun"/>
                <w:bCs/>
                <w:szCs w:val="24"/>
              </w:rPr>
              <w:t xml:space="preserve">. Praktikoje, jeigu užsienietis turi galiojantį kelionės dokumentą ir turi kitos šalies išduotą leidimą gyventi, jis gali būti grąžintas į tą valstybę. </w:t>
            </w:r>
          </w:p>
          <w:p w14:paraId="2F93873E" w14:textId="6F00DA32" w:rsidR="00507093" w:rsidRPr="003C182D" w:rsidRDefault="00507093" w:rsidP="00A24F0D">
            <w:pPr>
              <w:jc w:val="both"/>
              <w:rPr>
                <w:rStyle w:val="Teletype"/>
                <w:rFonts w:ascii="Times New Roman" w:hAnsi="Times New Roman" w:cs="Times New Roman"/>
                <w:b/>
                <w:bCs/>
                <w:szCs w:val="24"/>
              </w:rPr>
            </w:pPr>
          </w:p>
        </w:tc>
        <w:bookmarkStart w:id="0" w:name="_GoBack"/>
        <w:bookmarkEnd w:id="0"/>
      </w:tr>
      <w:tr w:rsidR="00E0197F" w:rsidRPr="003C182D" w14:paraId="034442A3" w14:textId="77777777" w:rsidTr="00507093">
        <w:tc>
          <w:tcPr>
            <w:tcW w:w="1702" w:type="dxa"/>
          </w:tcPr>
          <w:p w14:paraId="7615B129" w14:textId="62C5655A" w:rsidR="00E0197F" w:rsidRPr="003C182D" w:rsidRDefault="00E0197F" w:rsidP="00E0197F">
            <w:pPr>
              <w:pStyle w:val="Bodytext20"/>
              <w:rPr>
                <w:rStyle w:val="Teletype"/>
                <w:rFonts w:ascii="Times New Roman" w:hAnsi="Times New Roman" w:cs="Times New Roman"/>
                <w:color w:val="000000"/>
              </w:rPr>
            </w:pPr>
            <w:r w:rsidRPr="003C182D">
              <w:rPr>
                <w:rStyle w:val="Teletype"/>
                <w:rFonts w:ascii="Times New Roman" w:hAnsi="Times New Roman" w:cs="Times New Roman"/>
                <w:color w:val="000000"/>
              </w:rPr>
              <w:t>Teisingumo ministerija</w:t>
            </w:r>
          </w:p>
        </w:tc>
        <w:tc>
          <w:tcPr>
            <w:tcW w:w="6804" w:type="dxa"/>
          </w:tcPr>
          <w:p w14:paraId="288B353B" w14:textId="77777777" w:rsidR="00B72EE4" w:rsidRPr="003C182D" w:rsidRDefault="00B72EE4" w:rsidP="00B72EE4">
            <w:pPr>
              <w:pStyle w:val="Betarp"/>
              <w:rPr>
                <w:rFonts w:eastAsia="NSimSun"/>
                <w:bCs/>
                <w:color w:val="000000"/>
                <w:lang w:val="lt-LT"/>
              </w:rPr>
            </w:pPr>
            <w:r w:rsidRPr="003C182D">
              <w:rPr>
                <w:rFonts w:eastAsia="NSimSun"/>
                <w:bCs/>
                <w:color w:val="000000"/>
                <w:lang w:val="lt-LT"/>
              </w:rPr>
              <w:t>Siekiant sklandaus Susitarimo taikymo, siūlytina Susitarimo projekto 3 straipsnio 2 dalyje apibrėžti laikotarpį, kuris būtų suteikiamas grąžinamiems asmenims susitvarkyti savo asmeninius reikalus.</w:t>
            </w:r>
          </w:p>
          <w:p w14:paraId="393A5B65" w14:textId="77777777" w:rsidR="00E0197F" w:rsidRPr="003C182D" w:rsidRDefault="00E0197F" w:rsidP="00E0197F">
            <w:pPr>
              <w:pStyle w:val="Betarp"/>
              <w:jc w:val="both"/>
              <w:rPr>
                <w:rStyle w:val="Teletype"/>
                <w:rFonts w:ascii="Times New Roman" w:hAnsi="Times New Roman" w:cs="Times New Roman"/>
                <w:bCs/>
                <w:color w:val="000000"/>
                <w:lang w:val="lt-LT"/>
              </w:rPr>
            </w:pPr>
          </w:p>
        </w:tc>
        <w:tc>
          <w:tcPr>
            <w:tcW w:w="6662" w:type="dxa"/>
          </w:tcPr>
          <w:p w14:paraId="1BB128CA" w14:textId="77777777" w:rsidR="00B72EE4" w:rsidRPr="003C182D" w:rsidRDefault="00B72EE4" w:rsidP="00B72EE4">
            <w:pPr>
              <w:pStyle w:val="Standard"/>
              <w:rPr>
                <w:b/>
                <w:bCs/>
                <w:lang w:val="lt-LT"/>
              </w:rPr>
            </w:pPr>
            <w:r w:rsidRPr="003C182D">
              <w:rPr>
                <w:b/>
                <w:bCs/>
                <w:lang w:val="lt-LT"/>
              </w:rPr>
              <w:t xml:space="preserve">Neatsižvelgta. </w:t>
            </w:r>
          </w:p>
          <w:p w14:paraId="40DEC6C2" w14:textId="44DD524E" w:rsidR="003C182D" w:rsidRPr="003C182D" w:rsidRDefault="003C182D" w:rsidP="003C182D">
            <w:pPr>
              <w:pStyle w:val="Standard"/>
              <w:snapToGrid w:val="0"/>
              <w:jc w:val="both"/>
              <w:rPr>
                <w:bCs/>
                <w:lang w:val="lt-LT"/>
              </w:rPr>
            </w:pPr>
            <w:r w:rsidRPr="003C182D">
              <w:rPr>
                <w:bCs/>
                <w:lang w:val="lt-LT"/>
              </w:rPr>
              <w:t xml:space="preserve">Ši nuostata pakoreguota Vietnamo reikalavimu, ji yra įrašyta ir į analogiškas Vietnamo sutartis su Lenkija ir Čekija. Konsultacijų metu dėl to buvo diskutuota, Vietnamo pusės motyvacija - neaišku, kiek </w:t>
            </w:r>
            <w:r>
              <w:rPr>
                <w:bCs/>
                <w:lang w:val="lt-LT"/>
              </w:rPr>
              <w:t xml:space="preserve">asmeniui </w:t>
            </w:r>
            <w:r w:rsidRPr="003C182D">
              <w:rPr>
                <w:bCs/>
                <w:lang w:val="lt-LT"/>
              </w:rPr>
              <w:t>gali užtrukti su</w:t>
            </w:r>
            <w:r>
              <w:rPr>
                <w:bCs/>
                <w:lang w:val="lt-LT"/>
              </w:rPr>
              <w:t>si</w:t>
            </w:r>
            <w:r w:rsidRPr="003C182D">
              <w:rPr>
                <w:bCs/>
                <w:lang w:val="lt-LT"/>
              </w:rPr>
              <w:t>tvarkyti</w:t>
            </w:r>
            <w:r>
              <w:rPr>
                <w:bCs/>
                <w:lang w:val="lt-LT"/>
              </w:rPr>
              <w:t xml:space="preserve"> įvairius</w:t>
            </w:r>
            <w:r w:rsidRPr="003C182D">
              <w:rPr>
                <w:bCs/>
                <w:lang w:val="lt-LT"/>
              </w:rPr>
              <w:t xml:space="preserve"> reikalus (mokslas, verslas, nekilnojamas turtas).</w:t>
            </w:r>
          </w:p>
          <w:p w14:paraId="0ED101F1" w14:textId="77777777" w:rsidR="00E0197F" w:rsidRPr="003C182D" w:rsidRDefault="00E0197F" w:rsidP="00507093">
            <w:pPr>
              <w:pStyle w:val="Standard"/>
              <w:snapToGrid w:val="0"/>
              <w:jc w:val="both"/>
              <w:rPr>
                <w:b/>
                <w:bCs/>
                <w:lang w:val="lt-LT"/>
              </w:rPr>
            </w:pPr>
          </w:p>
        </w:tc>
      </w:tr>
      <w:tr w:rsidR="00E0197F" w:rsidRPr="003C182D" w14:paraId="4322D06A" w14:textId="77777777" w:rsidTr="00507093">
        <w:tc>
          <w:tcPr>
            <w:tcW w:w="1702" w:type="dxa"/>
          </w:tcPr>
          <w:p w14:paraId="481F660E" w14:textId="2FE73E11" w:rsidR="00E0197F" w:rsidRPr="003C182D" w:rsidRDefault="00E0197F" w:rsidP="00A35940">
            <w:pPr>
              <w:pStyle w:val="Bodytext20"/>
              <w:shd w:val="clear" w:color="auto" w:fill="auto"/>
              <w:tabs>
                <w:tab w:val="left" w:pos="740"/>
              </w:tabs>
              <w:spacing w:before="0" w:after="0" w:line="240" w:lineRule="auto"/>
              <w:jc w:val="left"/>
              <w:rPr>
                <w:rStyle w:val="Teletype"/>
                <w:rFonts w:ascii="Times New Roman" w:hAnsi="Times New Roman" w:cs="Times New Roman"/>
                <w:color w:val="000000"/>
              </w:rPr>
            </w:pPr>
            <w:r w:rsidRPr="003C182D">
              <w:rPr>
                <w:rStyle w:val="Teletype"/>
                <w:rFonts w:ascii="Times New Roman" w:hAnsi="Times New Roman" w:cs="Times New Roman"/>
                <w:color w:val="000000"/>
              </w:rPr>
              <w:t>Teisingumo ministerija</w:t>
            </w:r>
          </w:p>
        </w:tc>
        <w:tc>
          <w:tcPr>
            <w:tcW w:w="6804" w:type="dxa"/>
          </w:tcPr>
          <w:p w14:paraId="0BF0270E" w14:textId="77777777" w:rsidR="00B72EE4" w:rsidRPr="003C182D" w:rsidRDefault="00B72EE4" w:rsidP="00B72EE4">
            <w:pPr>
              <w:pStyle w:val="Betarp"/>
              <w:rPr>
                <w:rFonts w:eastAsia="NSimSun"/>
                <w:bCs/>
                <w:color w:val="000000"/>
                <w:lang w:val="lt-LT"/>
              </w:rPr>
            </w:pPr>
            <w:r w:rsidRPr="003C182D">
              <w:rPr>
                <w:rFonts w:eastAsia="NSimSun"/>
                <w:bCs/>
                <w:color w:val="000000"/>
                <w:lang w:val="lt-LT"/>
              </w:rPr>
              <w:t xml:space="preserve">Sąvokų „prašančioji Šalis“ bei „prašomoji Šalis“ apibrėžtyje vietoj žodžio „Šalis“, įrašytini žodžiai „Šalies valstybė“. Pagal patikslintas šių dviejų sąvokų apibrėžtis Susitarimo projekto tekste užtikrintinas vieningas jų vartojimas, pvz., Susitarimo projekto 2 straipsnio 1 dalies nuostatoje. Pažymėtina, jog visose Lietuvos Respublikos sutartyse dėl readmisijos ar ketinamų sudaryti susitarimų projektuose vartojama sąvoka „Prašomoji valstybė“, „Prašančioji valstybė“, todėl manytina, kad Susitarimo projekte bent jau sąvokų „prašančioji Šalis“ bei „prašomoji Šalis“ apibrėžtyje turėtų būti įrašytas žodis „valstybė“ . </w:t>
            </w:r>
          </w:p>
          <w:p w14:paraId="779AFB3A" w14:textId="77777777" w:rsidR="00E0197F" w:rsidRPr="003C182D" w:rsidRDefault="00E0197F" w:rsidP="00E0197F">
            <w:pPr>
              <w:pStyle w:val="Betarp"/>
              <w:jc w:val="both"/>
              <w:rPr>
                <w:rStyle w:val="Teletype"/>
                <w:rFonts w:ascii="Times New Roman" w:hAnsi="Times New Roman" w:cs="Times New Roman"/>
                <w:bCs/>
                <w:color w:val="000000"/>
                <w:lang w:val="lt-LT"/>
              </w:rPr>
            </w:pPr>
          </w:p>
        </w:tc>
        <w:tc>
          <w:tcPr>
            <w:tcW w:w="6662" w:type="dxa"/>
          </w:tcPr>
          <w:p w14:paraId="3D599127" w14:textId="77777777" w:rsidR="00B72EE4" w:rsidRPr="003C182D" w:rsidRDefault="00B72EE4" w:rsidP="00B72EE4">
            <w:pPr>
              <w:pStyle w:val="Standard"/>
              <w:rPr>
                <w:b/>
                <w:bCs/>
                <w:lang w:val="lt-LT"/>
              </w:rPr>
            </w:pPr>
            <w:r w:rsidRPr="003C182D">
              <w:rPr>
                <w:b/>
                <w:bCs/>
                <w:lang w:val="lt-LT"/>
              </w:rPr>
              <w:t xml:space="preserve">Neatsižvelgta. </w:t>
            </w:r>
          </w:p>
          <w:p w14:paraId="0CAE60F2" w14:textId="77777777" w:rsidR="00B72EE4" w:rsidRPr="003C182D" w:rsidRDefault="00B72EE4" w:rsidP="00B72EE4">
            <w:pPr>
              <w:pStyle w:val="Standard"/>
              <w:snapToGrid w:val="0"/>
              <w:jc w:val="both"/>
              <w:rPr>
                <w:bCs/>
                <w:lang w:val="lt-LT"/>
              </w:rPr>
            </w:pPr>
            <w:r w:rsidRPr="003C182D">
              <w:rPr>
                <w:bCs/>
                <w:lang w:val="lt-LT"/>
              </w:rPr>
              <w:t xml:space="preserve">Susitarime apibrėžta, kad sąvoka „Šalis“ reiškia vienos iš susitarimo šalių Vyriausybę, taip pat šiuo atveju „Šalis“ vartotina ir Vyriausybės įgaliotai institucijai, todėl Susitarime turima omenyje, kad „Prašančioji Šalis“- tai šalies, kuri kreipiasi dėl readmisijos, Vyriausybės įgaliota institucija. Jeigu Susitarime turima omenyje valstybė, įterpiamas žodis „valstybės“. </w:t>
            </w:r>
          </w:p>
          <w:p w14:paraId="4B2111B3" w14:textId="77777777" w:rsidR="00F77E7A" w:rsidRPr="003C182D" w:rsidRDefault="00B72EE4" w:rsidP="00F77E7A">
            <w:pPr>
              <w:pStyle w:val="Standard"/>
              <w:snapToGrid w:val="0"/>
              <w:jc w:val="both"/>
              <w:rPr>
                <w:bCs/>
                <w:lang w:val="lt-LT"/>
              </w:rPr>
            </w:pPr>
            <w:r w:rsidRPr="003C182D">
              <w:rPr>
                <w:bCs/>
                <w:lang w:val="lt-LT"/>
              </w:rPr>
              <w:t>Pavyzdžiui Susitarimo 2 str. 1 d. kalbant apie valstybės teritoriją vartojama sąvoka „</w:t>
            </w:r>
            <w:r w:rsidR="00F77E7A" w:rsidRPr="003C182D">
              <w:rPr>
                <w:bCs/>
                <w:lang w:val="lt-LT"/>
              </w:rPr>
              <w:t xml:space="preserve">kurios nors </w:t>
            </w:r>
            <w:r w:rsidRPr="003C182D">
              <w:rPr>
                <w:bCs/>
                <w:lang w:val="lt-LT"/>
              </w:rPr>
              <w:t>Šalies valstybės teritorija“</w:t>
            </w:r>
            <w:r w:rsidR="00F77E7A" w:rsidRPr="003C182D">
              <w:rPr>
                <w:bCs/>
                <w:lang w:val="lt-LT"/>
              </w:rPr>
              <w:t>, o kalbant apie instituciją, vartojama sąvoka „prašančioji Šalis“.</w:t>
            </w:r>
            <w:r w:rsidRPr="003C182D">
              <w:rPr>
                <w:bCs/>
                <w:lang w:val="lt-LT"/>
              </w:rPr>
              <w:t xml:space="preserve"> </w:t>
            </w:r>
          </w:p>
          <w:p w14:paraId="736BF6C1" w14:textId="77777777" w:rsidR="00F77E7A" w:rsidRPr="003C182D" w:rsidRDefault="00F77E7A" w:rsidP="00F77E7A">
            <w:pPr>
              <w:pStyle w:val="Standard"/>
              <w:snapToGrid w:val="0"/>
              <w:jc w:val="both"/>
              <w:rPr>
                <w:bCs/>
                <w:lang w:val="lt-LT"/>
              </w:rPr>
            </w:pPr>
          </w:p>
          <w:p w14:paraId="27B24D5E" w14:textId="446D2C67" w:rsidR="00B72EE4" w:rsidRPr="003C182D" w:rsidRDefault="00F77E7A" w:rsidP="00F77E7A">
            <w:pPr>
              <w:pStyle w:val="Standard"/>
              <w:snapToGrid w:val="0"/>
              <w:jc w:val="both"/>
              <w:rPr>
                <w:bCs/>
                <w:lang w:val="lt-LT"/>
              </w:rPr>
            </w:pPr>
            <w:r w:rsidRPr="003C182D">
              <w:rPr>
                <w:bCs/>
                <w:lang w:val="lt-LT"/>
              </w:rPr>
              <w:lastRenderedPageBreak/>
              <w:t xml:space="preserve">Toks sąvokų apibrėžimo būdas taip pat yra vartojamas daugelyje Lietuvos Respublikos pasirašytų tarptautinių sutarčių, be to, jis buvo pasirinktas pasiūlius Vietnamo pusei, todėl neturime galimybės per naują </w:t>
            </w:r>
            <w:r w:rsidR="003C182D">
              <w:rPr>
                <w:bCs/>
                <w:lang w:val="lt-LT"/>
              </w:rPr>
              <w:t>suderinti šio pasiūlymo</w:t>
            </w:r>
            <w:r w:rsidRPr="003C182D">
              <w:rPr>
                <w:bCs/>
                <w:lang w:val="lt-LT"/>
              </w:rPr>
              <w:t xml:space="preserve">. </w:t>
            </w:r>
            <w:r w:rsidR="00B72EE4" w:rsidRPr="003C182D">
              <w:rPr>
                <w:bCs/>
                <w:lang w:val="lt-LT"/>
              </w:rPr>
              <w:t xml:space="preserve"> </w:t>
            </w:r>
          </w:p>
          <w:p w14:paraId="0FA4DF9A" w14:textId="67F11B54" w:rsidR="00F77E7A" w:rsidRPr="003C182D" w:rsidRDefault="00F77E7A" w:rsidP="00F77E7A">
            <w:pPr>
              <w:pStyle w:val="Standard"/>
              <w:snapToGrid w:val="0"/>
              <w:jc w:val="both"/>
              <w:rPr>
                <w:bCs/>
                <w:lang w:val="lt-LT"/>
              </w:rPr>
            </w:pPr>
          </w:p>
        </w:tc>
      </w:tr>
      <w:tr w:rsidR="00E0197F" w:rsidRPr="003C182D" w14:paraId="42194B7C" w14:textId="77777777" w:rsidTr="00507093">
        <w:tc>
          <w:tcPr>
            <w:tcW w:w="1702" w:type="dxa"/>
          </w:tcPr>
          <w:p w14:paraId="31C6FB77" w14:textId="455C828F" w:rsidR="00E0197F" w:rsidRPr="003C182D" w:rsidRDefault="006461A3" w:rsidP="00A35940">
            <w:pPr>
              <w:pStyle w:val="Bodytext20"/>
              <w:shd w:val="clear" w:color="auto" w:fill="auto"/>
              <w:tabs>
                <w:tab w:val="left" w:pos="740"/>
              </w:tabs>
              <w:spacing w:before="0" w:after="0" w:line="240" w:lineRule="auto"/>
              <w:jc w:val="left"/>
              <w:rPr>
                <w:rStyle w:val="Teletype"/>
                <w:rFonts w:ascii="Times New Roman" w:hAnsi="Times New Roman" w:cs="Times New Roman"/>
                <w:color w:val="000000"/>
              </w:rPr>
            </w:pPr>
            <w:r w:rsidRPr="003C182D">
              <w:rPr>
                <w:rStyle w:val="Teletype"/>
                <w:rFonts w:ascii="Times New Roman" w:hAnsi="Times New Roman" w:cs="Times New Roman"/>
                <w:color w:val="000000"/>
              </w:rPr>
              <w:lastRenderedPageBreak/>
              <w:t xml:space="preserve">Užsienio reikalų </w:t>
            </w:r>
            <w:r w:rsidR="00E0197F" w:rsidRPr="003C182D">
              <w:rPr>
                <w:rStyle w:val="Teletype"/>
                <w:rFonts w:ascii="Times New Roman" w:hAnsi="Times New Roman" w:cs="Times New Roman"/>
                <w:color w:val="000000"/>
              </w:rPr>
              <w:t>ministerija</w:t>
            </w:r>
            <w:r w:rsidRPr="003C182D">
              <w:rPr>
                <w:rStyle w:val="Teletype"/>
                <w:rFonts w:ascii="Times New Roman" w:hAnsi="Times New Roman" w:cs="Times New Roman"/>
                <w:color w:val="000000"/>
              </w:rPr>
              <w:t xml:space="preserve"> </w:t>
            </w:r>
            <w:r w:rsidRPr="003C182D">
              <w:rPr>
                <w:rFonts w:eastAsia="NSimSun"/>
                <w:color w:val="000000"/>
              </w:rPr>
              <w:t>(2018-12-07 raštas Nr. (22.21)3-5346)</w:t>
            </w:r>
          </w:p>
        </w:tc>
        <w:tc>
          <w:tcPr>
            <w:tcW w:w="6804" w:type="dxa"/>
          </w:tcPr>
          <w:p w14:paraId="39A9D168" w14:textId="162F0499" w:rsidR="00E0197F" w:rsidRPr="003C182D" w:rsidRDefault="006461A3" w:rsidP="006461A3">
            <w:pPr>
              <w:pStyle w:val="Betarp"/>
              <w:rPr>
                <w:rStyle w:val="Teletype"/>
                <w:rFonts w:ascii="Times New Roman" w:hAnsi="Times New Roman" w:cs="Times New Roman"/>
                <w:bCs/>
                <w:color w:val="000000"/>
                <w:lang w:val="lt-LT"/>
              </w:rPr>
            </w:pPr>
            <w:r w:rsidRPr="003C182D">
              <w:rPr>
                <w:rFonts w:eastAsia="NSimSun"/>
                <w:bCs/>
                <w:color w:val="000000"/>
                <w:lang w:val="lt-LT"/>
              </w:rPr>
              <w:t>Tikslintina Susitarimo projekto lietuvių kalba 1 straipsnio 1 dalis ir žodis „pastarosios“ keistinas žodžiu „pirmosios“.</w:t>
            </w:r>
          </w:p>
        </w:tc>
        <w:tc>
          <w:tcPr>
            <w:tcW w:w="6662" w:type="dxa"/>
          </w:tcPr>
          <w:p w14:paraId="42D36011" w14:textId="04E94B8A" w:rsidR="00E0197F" w:rsidRPr="003C182D" w:rsidRDefault="006461A3" w:rsidP="00507093">
            <w:pPr>
              <w:pStyle w:val="Standard"/>
              <w:snapToGrid w:val="0"/>
              <w:jc w:val="both"/>
              <w:rPr>
                <w:b/>
                <w:bCs/>
                <w:lang w:val="lt-LT"/>
              </w:rPr>
            </w:pPr>
            <w:r w:rsidRPr="003C182D">
              <w:rPr>
                <w:b/>
                <w:bCs/>
                <w:lang w:val="lt-LT"/>
              </w:rPr>
              <w:t>Atsižvelgta.</w:t>
            </w:r>
          </w:p>
        </w:tc>
      </w:tr>
      <w:tr w:rsidR="00E0197F" w:rsidRPr="003C182D" w14:paraId="074B1A9E" w14:textId="77777777" w:rsidTr="00507093">
        <w:tc>
          <w:tcPr>
            <w:tcW w:w="1702" w:type="dxa"/>
          </w:tcPr>
          <w:p w14:paraId="2E8E3DC6" w14:textId="33D330B9" w:rsidR="00E0197F" w:rsidRPr="003C182D" w:rsidRDefault="006461A3" w:rsidP="00A35940">
            <w:pPr>
              <w:pStyle w:val="Bodytext20"/>
              <w:shd w:val="clear" w:color="auto" w:fill="auto"/>
              <w:tabs>
                <w:tab w:val="left" w:pos="740"/>
              </w:tabs>
              <w:spacing w:before="0" w:after="0" w:line="240" w:lineRule="auto"/>
              <w:jc w:val="left"/>
              <w:rPr>
                <w:rStyle w:val="Teletype"/>
                <w:rFonts w:ascii="Times New Roman" w:hAnsi="Times New Roman" w:cs="Times New Roman"/>
                <w:color w:val="000000"/>
              </w:rPr>
            </w:pPr>
            <w:r w:rsidRPr="003C182D">
              <w:rPr>
                <w:rStyle w:val="Teletype"/>
                <w:rFonts w:ascii="Times New Roman" w:hAnsi="Times New Roman" w:cs="Times New Roman"/>
                <w:color w:val="000000"/>
              </w:rPr>
              <w:t>Užsienio reikalų</w:t>
            </w:r>
            <w:r w:rsidR="00E0197F" w:rsidRPr="003C182D">
              <w:rPr>
                <w:rStyle w:val="Teletype"/>
                <w:rFonts w:ascii="Times New Roman" w:hAnsi="Times New Roman" w:cs="Times New Roman"/>
                <w:color w:val="000000"/>
              </w:rPr>
              <w:t xml:space="preserve"> ministerija</w:t>
            </w:r>
          </w:p>
        </w:tc>
        <w:tc>
          <w:tcPr>
            <w:tcW w:w="6804" w:type="dxa"/>
          </w:tcPr>
          <w:p w14:paraId="21E4B178" w14:textId="24D0295E" w:rsidR="00E0197F" w:rsidRPr="003C182D" w:rsidRDefault="006461A3" w:rsidP="00E0197F">
            <w:pPr>
              <w:pStyle w:val="Betarp"/>
              <w:jc w:val="both"/>
              <w:rPr>
                <w:rStyle w:val="Teletype"/>
                <w:rFonts w:ascii="Times New Roman" w:hAnsi="Times New Roman" w:cs="Times New Roman"/>
                <w:bCs/>
                <w:color w:val="000000"/>
                <w:lang w:val="lt-LT"/>
              </w:rPr>
            </w:pPr>
            <w:r w:rsidRPr="003C182D">
              <w:rPr>
                <w:rStyle w:val="Teletype"/>
                <w:rFonts w:ascii="Times New Roman" w:hAnsi="Times New Roman" w:cs="Times New Roman"/>
                <w:bCs/>
                <w:color w:val="000000"/>
                <w:lang w:val="lt-LT"/>
              </w:rPr>
              <w:t>Atkreiptinas dėmesys, kad skiriasi Susitarimo projekto lietuvių ir anglų kalbomis 6 straipsnio 1 dalies tekstas (formuluotės „ne dokumentų originalais“ ir „</w:t>
            </w:r>
            <w:proofErr w:type="spellStart"/>
            <w:r w:rsidRPr="003C182D">
              <w:rPr>
                <w:rStyle w:val="Teletype"/>
                <w:rFonts w:ascii="Times New Roman" w:hAnsi="Times New Roman" w:cs="Times New Roman"/>
                <w:bCs/>
                <w:color w:val="000000"/>
                <w:lang w:val="lt-LT"/>
              </w:rPr>
              <w:t>non-authentic</w:t>
            </w:r>
            <w:proofErr w:type="spellEnd"/>
            <w:r w:rsidRPr="003C182D">
              <w:rPr>
                <w:rStyle w:val="Teletype"/>
                <w:rFonts w:ascii="Times New Roman" w:hAnsi="Times New Roman" w:cs="Times New Roman"/>
                <w:bCs/>
                <w:color w:val="000000"/>
                <w:lang w:val="lt-LT"/>
              </w:rPr>
              <w:t xml:space="preserve"> </w:t>
            </w:r>
            <w:proofErr w:type="spellStart"/>
            <w:r w:rsidRPr="003C182D">
              <w:rPr>
                <w:rStyle w:val="Teletype"/>
                <w:rFonts w:ascii="Times New Roman" w:hAnsi="Times New Roman" w:cs="Times New Roman"/>
                <w:bCs/>
                <w:color w:val="000000"/>
                <w:lang w:val="lt-LT"/>
              </w:rPr>
              <w:t>documents</w:t>
            </w:r>
            <w:proofErr w:type="spellEnd"/>
            <w:r w:rsidRPr="003C182D">
              <w:rPr>
                <w:rStyle w:val="Teletype"/>
                <w:rFonts w:ascii="Times New Roman" w:hAnsi="Times New Roman" w:cs="Times New Roman"/>
                <w:bCs/>
                <w:color w:val="000000"/>
                <w:lang w:val="lt-LT"/>
              </w:rPr>
              <w:t>“).</w:t>
            </w:r>
          </w:p>
        </w:tc>
        <w:tc>
          <w:tcPr>
            <w:tcW w:w="6662" w:type="dxa"/>
          </w:tcPr>
          <w:p w14:paraId="5D790895" w14:textId="39E01AE5" w:rsidR="00E0197F" w:rsidRPr="003C182D" w:rsidRDefault="006461A3" w:rsidP="006461A3">
            <w:pPr>
              <w:pStyle w:val="Standard"/>
              <w:snapToGrid w:val="0"/>
              <w:jc w:val="both"/>
              <w:rPr>
                <w:b/>
                <w:bCs/>
                <w:lang w:val="lt-LT"/>
              </w:rPr>
            </w:pPr>
            <w:r w:rsidRPr="003C182D">
              <w:rPr>
                <w:b/>
                <w:bCs/>
                <w:lang w:val="lt-LT"/>
              </w:rPr>
              <w:t xml:space="preserve">Atsižvelgta </w:t>
            </w:r>
            <w:r w:rsidRPr="003C182D">
              <w:rPr>
                <w:bCs/>
                <w:lang w:val="lt-LT"/>
              </w:rPr>
              <w:t>(patikslintas vertimas į lietuvių kalbą).</w:t>
            </w:r>
          </w:p>
        </w:tc>
      </w:tr>
      <w:tr w:rsidR="00E0197F" w:rsidRPr="003C182D" w14:paraId="21461554" w14:textId="77777777" w:rsidTr="00507093">
        <w:tc>
          <w:tcPr>
            <w:tcW w:w="1702" w:type="dxa"/>
          </w:tcPr>
          <w:p w14:paraId="6836C257" w14:textId="4800FCFA" w:rsidR="00E0197F" w:rsidRPr="003C182D" w:rsidRDefault="006461A3" w:rsidP="00A35940">
            <w:pPr>
              <w:pStyle w:val="Bodytext20"/>
              <w:shd w:val="clear" w:color="auto" w:fill="auto"/>
              <w:tabs>
                <w:tab w:val="left" w:pos="740"/>
              </w:tabs>
              <w:spacing w:before="0" w:after="0" w:line="240" w:lineRule="auto"/>
              <w:jc w:val="left"/>
              <w:rPr>
                <w:rStyle w:val="Teletype"/>
                <w:rFonts w:ascii="Times New Roman" w:hAnsi="Times New Roman" w:cs="Times New Roman"/>
                <w:color w:val="000000"/>
              </w:rPr>
            </w:pPr>
            <w:r w:rsidRPr="003C182D">
              <w:rPr>
                <w:rStyle w:val="Teletype"/>
                <w:rFonts w:ascii="Times New Roman" w:hAnsi="Times New Roman" w:cs="Times New Roman"/>
                <w:color w:val="000000"/>
              </w:rPr>
              <w:t xml:space="preserve">Užsienio reikalų ministerija </w:t>
            </w:r>
          </w:p>
        </w:tc>
        <w:tc>
          <w:tcPr>
            <w:tcW w:w="6804" w:type="dxa"/>
          </w:tcPr>
          <w:p w14:paraId="17CA6DEE" w14:textId="60CFAF12" w:rsidR="00E0197F" w:rsidRPr="003C182D" w:rsidRDefault="006461A3" w:rsidP="00E0197F">
            <w:pPr>
              <w:pStyle w:val="Betarp"/>
              <w:jc w:val="both"/>
              <w:rPr>
                <w:rStyle w:val="Teletype"/>
                <w:rFonts w:ascii="Times New Roman" w:hAnsi="Times New Roman" w:cs="Times New Roman"/>
                <w:bCs/>
                <w:color w:val="000000"/>
                <w:lang w:val="lt-LT"/>
              </w:rPr>
            </w:pPr>
            <w:r w:rsidRPr="003C182D">
              <w:rPr>
                <w:rStyle w:val="Teletype"/>
                <w:rFonts w:ascii="Times New Roman" w:hAnsi="Times New Roman" w:cs="Times New Roman"/>
                <w:bCs/>
                <w:color w:val="000000"/>
                <w:lang w:val="lt-LT"/>
              </w:rPr>
              <w:t>Susitarimo projekto lietuvių ir anglų kalbomis 7 straipsnio 2 dalyje tikslintina nuoroda į Susitarimo 14 straipsnį.</w:t>
            </w:r>
          </w:p>
        </w:tc>
        <w:tc>
          <w:tcPr>
            <w:tcW w:w="6662" w:type="dxa"/>
          </w:tcPr>
          <w:p w14:paraId="4BE813A2" w14:textId="1FD28F57" w:rsidR="00E0197F" w:rsidRPr="003C182D" w:rsidRDefault="006461A3" w:rsidP="006461A3">
            <w:pPr>
              <w:pStyle w:val="Standard"/>
              <w:snapToGrid w:val="0"/>
              <w:jc w:val="both"/>
              <w:rPr>
                <w:b/>
                <w:bCs/>
                <w:lang w:val="lt-LT"/>
              </w:rPr>
            </w:pPr>
            <w:r w:rsidRPr="003C182D">
              <w:rPr>
                <w:b/>
                <w:bCs/>
                <w:lang w:val="lt-LT"/>
              </w:rPr>
              <w:t xml:space="preserve">Atsižvelgta </w:t>
            </w:r>
            <w:r w:rsidRPr="003C182D">
              <w:rPr>
                <w:bCs/>
                <w:lang w:val="lt-LT"/>
              </w:rPr>
              <w:t>(patikslinta tekstuose lietuvių ir anglų kalbomis).</w:t>
            </w:r>
          </w:p>
        </w:tc>
      </w:tr>
      <w:tr w:rsidR="00E0197F" w:rsidRPr="003C182D" w14:paraId="3FB35DEE" w14:textId="77777777" w:rsidTr="00507093">
        <w:tc>
          <w:tcPr>
            <w:tcW w:w="1702" w:type="dxa"/>
          </w:tcPr>
          <w:p w14:paraId="1491EA5D" w14:textId="68F5DF81" w:rsidR="00E0197F" w:rsidRPr="003C182D" w:rsidRDefault="006461A3" w:rsidP="00A35940">
            <w:pPr>
              <w:pStyle w:val="Bodytext20"/>
              <w:shd w:val="clear" w:color="auto" w:fill="auto"/>
              <w:tabs>
                <w:tab w:val="left" w:pos="740"/>
              </w:tabs>
              <w:spacing w:before="0" w:after="0" w:line="240" w:lineRule="auto"/>
              <w:jc w:val="left"/>
              <w:rPr>
                <w:rStyle w:val="Teletype"/>
                <w:rFonts w:ascii="Times New Roman" w:hAnsi="Times New Roman" w:cs="Times New Roman"/>
                <w:color w:val="000000"/>
              </w:rPr>
            </w:pPr>
            <w:r w:rsidRPr="003C182D">
              <w:rPr>
                <w:rStyle w:val="Teletype"/>
                <w:rFonts w:ascii="Times New Roman" w:hAnsi="Times New Roman" w:cs="Times New Roman"/>
                <w:color w:val="000000"/>
              </w:rPr>
              <w:t>Užsienio reikalų ministerija</w:t>
            </w:r>
          </w:p>
        </w:tc>
        <w:tc>
          <w:tcPr>
            <w:tcW w:w="6804" w:type="dxa"/>
          </w:tcPr>
          <w:p w14:paraId="3CD8A0D7" w14:textId="1A7C4106" w:rsidR="00E0197F" w:rsidRPr="003C182D" w:rsidRDefault="006461A3" w:rsidP="00E0197F">
            <w:pPr>
              <w:pStyle w:val="Betarp"/>
              <w:jc w:val="both"/>
              <w:rPr>
                <w:rStyle w:val="Teletype"/>
                <w:rFonts w:ascii="Times New Roman" w:hAnsi="Times New Roman" w:cs="Times New Roman"/>
                <w:bCs/>
                <w:color w:val="000000"/>
                <w:lang w:val="lt-LT"/>
              </w:rPr>
            </w:pPr>
            <w:r w:rsidRPr="003C182D">
              <w:rPr>
                <w:rStyle w:val="Teletype"/>
                <w:rFonts w:ascii="Times New Roman" w:hAnsi="Times New Roman" w:cs="Times New Roman"/>
                <w:bCs/>
                <w:color w:val="000000"/>
                <w:lang w:val="lt-LT"/>
              </w:rPr>
              <w:t>Susitarimo projekto anglų kalba 12 straipsnio 1 dalies 2 punkte prieš žodžius „</w:t>
            </w:r>
            <w:proofErr w:type="spellStart"/>
            <w:r w:rsidRPr="003C182D">
              <w:rPr>
                <w:rStyle w:val="Teletype"/>
                <w:rFonts w:ascii="Times New Roman" w:hAnsi="Times New Roman" w:cs="Times New Roman"/>
                <w:bCs/>
                <w:color w:val="000000"/>
                <w:lang w:val="lt-LT"/>
              </w:rPr>
              <w:t>the</w:t>
            </w:r>
            <w:proofErr w:type="spellEnd"/>
            <w:r w:rsidRPr="003C182D">
              <w:rPr>
                <w:rStyle w:val="Teletype"/>
                <w:rFonts w:ascii="Times New Roman" w:hAnsi="Times New Roman" w:cs="Times New Roman"/>
                <w:bCs/>
                <w:color w:val="000000"/>
                <w:lang w:val="lt-LT"/>
              </w:rPr>
              <w:t xml:space="preserve"> Parties“ įterptinas žodis „of“.</w:t>
            </w:r>
          </w:p>
        </w:tc>
        <w:tc>
          <w:tcPr>
            <w:tcW w:w="6662" w:type="dxa"/>
          </w:tcPr>
          <w:p w14:paraId="5D9F34A4" w14:textId="6BD1AD02" w:rsidR="00E0197F" w:rsidRPr="003C182D" w:rsidRDefault="006461A3" w:rsidP="00507093">
            <w:pPr>
              <w:pStyle w:val="Standard"/>
              <w:snapToGrid w:val="0"/>
              <w:jc w:val="both"/>
              <w:rPr>
                <w:b/>
                <w:bCs/>
                <w:lang w:val="lt-LT"/>
              </w:rPr>
            </w:pPr>
            <w:r w:rsidRPr="003C182D">
              <w:rPr>
                <w:b/>
                <w:bCs/>
                <w:lang w:val="lt-LT"/>
              </w:rPr>
              <w:t>Atsižvelgta.</w:t>
            </w:r>
          </w:p>
        </w:tc>
      </w:tr>
      <w:tr w:rsidR="00E0197F" w:rsidRPr="003C182D" w14:paraId="663714AA" w14:textId="77777777" w:rsidTr="00507093">
        <w:tc>
          <w:tcPr>
            <w:tcW w:w="1702" w:type="dxa"/>
          </w:tcPr>
          <w:p w14:paraId="054852AF" w14:textId="3B8C4C27" w:rsidR="00E0197F" w:rsidRPr="003C182D" w:rsidRDefault="006461A3" w:rsidP="00A35940">
            <w:pPr>
              <w:pStyle w:val="Bodytext20"/>
              <w:shd w:val="clear" w:color="auto" w:fill="auto"/>
              <w:tabs>
                <w:tab w:val="left" w:pos="740"/>
              </w:tabs>
              <w:spacing w:before="0" w:after="0" w:line="240" w:lineRule="auto"/>
              <w:jc w:val="left"/>
              <w:rPr>
                <w:rStyle w:val="Teletype"/>
                <w:rFonts w:ascii="Times New Roman" w:hAnsi="Times New Roman" w:cs="Times New Roman"/>
                <w:color w:val="000000"/>
              </w:rPr>
            </w:pPr>
            <w:r w:rsidRPr="003C182D">
              <w:rPr>
                <w:rStyle w:val="Teletype"/>
                <w:rFonts w:ascii="Times New Roman" w:hAnsi="Times New Roman" w:cs="Times New Roman"/>
                <w:color w:val="000000"/>
              </w:rPr>
              <w:t>Užsienio reikalų ministerija</w:t>
            </w:r>
          </w:p>
        </w:tc>
        <w:tc>
          <w:tcPr>
            <w:tcW w:w="6804" w:type="dxa"/>
          </w:tcPr>
          <w:p w14:paraId="4298A584" w14:textId="2BD743D8" w:rsidR="00E0197F" w:rsidRPr="003C182D" w:rsidRDefault="006461A3" w:rsidP="00E0197F">
            <w:pPr>
              <w:pStyle w:val="Betarp"/>
              <w:jc w:val="both"/>
              <w:rPr>
                <w:rStyle w:val="Teletype"/>
                <w:rFonts w:ascii="Times New Roman" w:hAnsi="Times New Roman" w:cs="Times New Roman"/>
                <w:bCs/>
                <w:color w:val="000000"/>
                <w:lang w:val="lt-LT"/>
              </w:rPr>
            </w:pPr>
            <w:r w:rsidRPr="003C182D">
              <w:rPr>
                <w:rStyle w:val="Teletype"/>
                <w:rFonts w:ascii="Times New Roman" w:hAnsi="Times New Roman" w:cs="Times New Roman"/>
                <w:bCs/>
                <w:color w:val="000000"/>
                <w:lang w:val="lt-LT"/>
              </w:rPr>
              <w:t>Susitarimo projekto anglų kalba 18 straipsnio 4 dalyje žodis „</w:t>
            </w:r>
            <w:proofErr w:type="spellStart"/>
            <w:r w:rsidRPr="003C182D">
              <w:rPr>
                <w:rStyle w:val="Teletype"/>
                <w:rFonts w:ascii="Times New Roman" w:hAnsi="Times New Roman" w:cs="Times New Roman"/>
                <w:bCs/>
                <w:color w:val="000000"/>
                <w:lang w:val="lt-LT"/>
              </w:rPr>
              <w:t>validity</w:t>
            </w:r>
            <w:proofErr w:type="spellEnd"/>
            <w:r w:rsidRPr="003C182D">
              <w:rPr>
                <w:rStyle w:val="Teletype"/>
                <w:rFonts w:ascii="Times New Roman" w:hAnsi="Times New Roman" w:cs="Times New Roman"/>
                <w:bCs/>
                <w:color w:val="000000"/>
                <w:lang w:val="lt-LT"/>
              </w:rPr>
              <w:t>“ keistinas žodžiu „</w:t>
            </w:r>
            <w:proofErr w:type="spellStart"/>
            <w:r w:rsidRPr="003C182D">
              <w:rPr>
                <w:rStyle w:val="Teletype"/>
                <w:rFonts w:ascii="Times New Roman" w:hAnsi="Times New Roman" w:cs="Times New Roman"/>
                <w:bCs/>
                <w:color w:val="000000"/>
                <w:lang w:val="lt-LT"/>
              </w:rPr>
              <w:t>operation</w:t>
            </w:r>
            <w:proofErr w:type="spellEnd"/>
            <w:r w:rsidRPr="003C182D">
              <w:rPr>
                <w:rStyle w:val="Teletype"/>
                <w:rFonts w:ascii="Times New Roman" w:hAnsi="Times New Roman" w:cs="Times New Roman"/>
                <w:bCs/>
                <w:color w:val="000000"/>
                <w:lang w:val="lt-LT"/>
              </w:rPr>
              <w:t>“, kadangi tokia sąvoka („</w:t>
            </w:r>
            <w:proofErr w:type="spellStart"/>
            <w:r w:rsidRPr="003C182D">
              <w:rPr>
                <w:rStyle w:val="Teletype"/>
                <w:rFonts w:ascii="Times New Roman" w:hAnsi="Times New Roman" w:cs="Times New Roman"/>
                <w:bCs/>
                <w:color w:val="000000"/>
                <w:lang w:val="lt-LT"/>
              </w:rPr>
              <w:t>suspension</w:t>
            </w:r>
            <w:proofErr w:type="spellEnd"/>
            <w:r w:rsidRPr="003C182D">
              <w:rPr>
                <w:rStyle w:val="Teletype"/>
                <w:rFonts w:ascii="Times New Roman" w:hAnsi="Times New Roman" w:cs="Times New Roman"/>
                <w:bCs/>
                <w:color w:val="000000"/>
                <w:lang w:val="lt-LT"/>
              </w:rPr>
              <w:t xml:space="preserve"> of </w:t>
            </w:r>
            <w:proofErr w:type="spellStart"/>
            <w:r w:rsidRPr="003C182D">
              <w:rPr>
                <w:rStyle w:val="Teletype"/>
                <w:rFonts w:ascii="Times New Roman" w:hAnsi="Times New Roman" w:cs="Times New Roman"/>
                <w:bCs/>
                <w:color w:val="000000"/>
                <w:lang w:val="lt-LT"/>
              </w:rPr>
              <w:t>the</w:t>
            </w:r>
            <w:proofErr w:type="spellEnd"/>
            <w:r w:rsidRPr="003C182D">
              <w:rPr>
                <w:rStyle w:val="Teletype"/>
                <w:rFonts w:ascii="Times New Roman" w:hAnsi="Times New Roman" w:cs="Times New Roman"/>
                <w:bCs/>
                <w:color w:val="000000"/>
                <w:lang w:val="lt-LT"/>
              </w:rPr>
              <w:t xml:space="preserve"> </w:t>
            </w:r>
            <w:proofErr w:type="spellStart"/>
            <w:r w:rsidRPr="003C182D">
              <w:rPr>
                <w:rStyle w:val="Teletype"/>
                <w:rFonts w:ascii="Times New Roman" w:hAnsi="Times New Roman" w:cs="Times New Roman"/>
                <w:bCs/>
                <w:color w:val="000000"/>
                <w:lang w:val="lt-LT"/>
              </w:rPr>
              <w:t>operation</w:t>
            </w:r>
            <w:proofErr w:type="spellEnd"/>
            <w:r w:rsidRPr="003C182D">
              <w:rPr>
                <w:rStyle w:val="Teletype"/>
                <w:rFonts w:ascii="Times New Roman" w:hAnsi="Times New Roman" w:cs="Times New Roman"/>
                <w:bCs/>
                <w:color w:val="000000"/>
                <w:lang w:val="lt-LT"/>
              </w:rPr>
              <w:t xml:space="preserve"> of a </w:t>
            </w:r>
            <w:proofErr w:type="spellStart"/>
            <w:r w:rsidRPr="003C182D">
              <w:rPr>
                <w:rStyle w:val="Teletype"/>
                <w:rFonts w:ascii="Times New Roman" w:hAnsi="Times New Roman" w:cs="Times New Roman"/>
                <w:bCs/>
                <w:color w:val="000000"/>
                <w:lang w:val="lt-LT"/>
              </w:rPr>
              <w:t>treaty</w:t>
            </w:r>
            <w:proofErr w:type="spellEnd"/>
            <w:r w:rsidRPr="003C182D">
              <w:rPr>
                <w:rStyle w:val="Teletype"/>
                <w:rFonts w:ascii="Times New Roman" w:hAnsi="Times New Roman" w:cs="Times New Roman"/>
                <w:bCs/>
                <w:color w:val="000000"/>
                <w:lang w:val="lt-LT"/>
              </w:rPr>
              <w:t>“) yra vartojama 1969 m. Vienos konvencijoje dėl tarptautinių sutarčių teisės.</w:t>
            </w:r>
          </w:p>
        </w:tc>
        <w:tc>
          <w:tcPr>
            <w:tcW w:w="6662" w:type="dxa"/>
          </w:tcPr>
          <w:p w14:paraId="75129DA7" w14:textId="35909087" w:rsidR="00E0197F" w:rsidRPr="003C182D" w:rsidRDefault="006461A3" w:rsidP="006461A3">
            <w:pPr>
              <w:pStyle w:val="Standard"/>
              <w:snapToGrid w:val="0"/>
              <w:jc w:val="both"/>
              <w:rPr>
                <w:b/>
                <w:bCs/>
                <w:lang w:val="lt-LT"/>
              </w:rPr>
            </w:pPr>
            <w:r w:rsidRPr="003C182D">
              <w:rPr>
                <w:b/>
                <w:bCs/>
                <w:lang w:val="lt-LT"/>
              </w:rPr>
              <w:t xml:space="preserve">Neatsižvelgta. </w:t>
            </w:r>
            <w:r w:rsidRPr="003C182D">
              <w:rPr>
                <w:bCs/>
                <w:lang w:val="lt-LT"/>
              </w:rPr>
              <w:t>Anglų kalbos žodžiai „</w:t>
            </w:r>
            <w:proofErr w:type="spellStart"/>
            <w:r w:rsidRPr="003C182D">
              <w:rPr>
                <w:bCs/>
                <w:lang w:val="lt-LT"/>
              </w:rPr>
              <w:t>validity</w:t>
            </w:r>
            <w:proofErr w:type="spellEnd"/>
            <w:r w:rsidRPr="003C182D">
              <w:rPr>
                <w:bCs/>
                <w:lang w:val="lt-LT"/>
              </w:rPr>
              <w:t>“ ir „</w:t>
            </w:r>
            <w:proofErr w:type="spellStart"/>
            <w:r w:rsidRPr="003C182D">
              <w:rPr>
                <w:bCs/>
                <w:lang w:val="lt-LT"/>
              </w:rPr>
              <w:t>oparation</w:t>
            </w:r>
            <w:proofErr w:type="spellEnd"/>
            <w:r w:rsidRPr="003C182D">
              <w:rPr>
                <w:bCs/>
                <w:lang w:val="lt-LT"/>
              </w:rPr>
              <w:t>“ yra sinonimai, reiškiantys „galiojimas“, todėl šio žodžio patikslinimas nuostatos turinio nekeičia.</w:t>
            </w:r>
            <w:r w:rsidRPr="003C182D">
              <w:rPr>
                <w:b/>
                <w:bCs/>
                <w:lang w:val="lt-LT"/>
              </w:rPr>
              <w:t xml:space="preserve"> </w:t>
            </w:r>
          </w:p>
        </w:tc>
      </w:tr>
      <w:tr w:rsidR="00E0197F" w:rsidRPr="003C182D" w14:paraId="5E4B4370" w14:textId="77777777" w:rsidTr="00507093">
        <w:tc>
          <w:tcPr>
            <w:tcW w:w="1702" w:type="dxa"/>
          </w:tcPr>
          <w:p w14:paraId="398D2494" w14:textId="10524A6A" w:rsidR="00E0197F" w:rsidRPr="003C182D" w:rsidRDefault="006461A3" w:rsidP="00A35940">
            <w:pPr>
              <w:pStyle w:val="Bodytext20"/>
              <w:shd w:val="clear" w:color="auto" w:fill="auto"/>
              <w:tabs>
                <w:tab w:val="left" w:pos="740"/>
              </w:tabs>
              <w:spacing w:before="0" w:after="0" w:line="240" w:lineRule="auto"/>
              <w:jc w:val="left"/>
              <w:rPr>
                <w:rStyle w:val="Teletype"/>
                <w:rFonts w:ascii="Times New Roman" w:hAnsi="Times New Roman" w:cs="Times New Roman"/>
                <w:color w:val="000000"/>
              </w:rPr>
            </w:pPr>
            <w:r w:rsidRPr="003C182D">
              <w:rPr>
                <w:rStyle w:val="Teletype"/>
                <w:rFonts w:ascii="Times New Roman" w:hAnsi="Times New Roman" w:cs="Times New Roman"/>
                <w:color w:val="000000"/>
              </w:rPr>
              <w:t>Užsienio reikalų ministerija</w:t>
            </w:r>
          </w:p>
        </w:tc>
        <w:tc>
          <w:tcPr>
            <w:tcW w:w="6804" w:type="dxa"/>
          </w:tcPr>
          <w:p w14:paraId="76C112D6" w14:textId="7C5285F0" w:rsidR="00E0197F" w:rsidRPr="003C182D" w:rsidRDefault="006461A3" w:rsidP="00E0197F">
            <w:pPr>
              <w:pStyle w:val="Betarp"/>
              <w:jc w:val="both"/>
              <w:rPr>
                <w:rStyle w:val="Teletype"/>
                <w:rFonts w:ascii="Times New Roman" w:hAnsi="Times New Roman" w:cs="Times New Roman"/>
                <w:bCs/>
                <w:color w:val="000000"/>
                <w:lang w:val="lt-LT"/>
              </w:rPr>
            </w:pPr>
            <w:r w:rsidRPr="003C182D">
              <w:rPr>
                <w:rStyle w:val="Teletype"/>
                <w:rFonts w:ascii="Times New Roman" w:hAnsi="Times New Roman" w:cs="Times New Roman"/>
                <w:bCs/>
                <w:color w:val="000000"/>
                <w:lang w:val="lt-LT"/>
              </w:rPr>
              <w:t>Susitarimo projekto anglų kalba baigiamosiose nuostatose formuotę „</w:t>
            </w:r>
            <w:proofErr w:type="spellStart"/>
            <w:r w:rsidRPr="003C182D">
              <w:rPr>
                <w:rStyle w:val="Teletype"/>
                <w:rFonts w:ascii="Times New Roman" w:hAnsi="Times New Roman" w:cs="Times New Roman"/>
                <w:bCs/>
                <w:color w:val="000000"/>
                <w:lang w:val="lt-LT"/>
              </w:rPr>
              <w:t>original</w:t>
            </w:r>
            <w:proofErr w:type="spellEnd"/>
            <w:r w:rsidRPr="003C182D">
              <w:rPr>
                <w:rStyle w:val="Teletype"/>
                <w:rFonts w:ascii="Times New Roman" w:hAnsi="Times New Roman" w:cs="Times New Roman"/>
                <w:bCs/>
                <w:color w:val="000000"/>
                <w:lang w:val="lt-LT"/>
              </w:rPr>
              <w:t xml:space="preserve"> </w:t>
            </w:r>
            <w:proofErr w:type="spellStart"/>
            <w:r w:rsidRPr="003C182D">
              <w:rPr>
                <w:rStyle w:val="Teletype"/>
                <w:rFonts w:ascii="Times New Roman" w:hAnsi="Times New Roman" w:cs="Times New Roman"/>
                <w:bCs/>
                <w:color w:val="000000"/>
                <w:lang w:val="lt-LT"/>
              </w:rPr>
              <w:t>copies</w:t>
            </w:r>
            <w:proofErr w:type="spellEnd"/>
            <w:r w:rsidRPr="003C182D">
              <w:rPr>
                <w:rStyle w:val="Teletype"/>
                <w:rFonts w:ascii="Times New Roman" w:hAnsi="Times New Roman" w:cs="Times New Roman"/>
                <w:bCs/>
                <w:color w:val="000000"/>
                <w:lang w:val="lt-LT"/>
              </w:rPr>
              <w:t>“ siūlytina keisti žodžiu „</w:t>
            </w:r>
            <w:proofErr w:type="spellStart"/>
            <w:r w:rsidRPr="003C182D">
              <w:rPr>
                <w:rStyle w:val="Teletype"/>
                <w:rFonts w:ascii="Times New Roman" w:hAnsi="Times New Roman" w:cs="Times New Roman"/>
                <w:bCs/>
                <w:color w:val="000000"/>
                <w:lang w:val="lt-LT"/>
              </w:rPr>
              <w:t>originals</w:t>
            </w:r>
            <w:proofErr w:type="spellEnd"/>
            <w:r w:rsidRPr="003C182D">
              <w:rPr>
                <w:rStyle w:val="Teletype"/>
                <w:rFonts w:ascii="Times New Roman" w:hAnsi="Times New Roman" w:cs="Times New Roman"/>
                <w:bCs/>
                <w:color w:val="000000"/>
                <w:lang w:val="lt-LT"/>
              </w:rPr>
              <w:t>“.</w:t>
            </w:r>
          </w:p>
        </w:tc>
        <w:tc>
          <w:tcPr>
            <w:tcW w:w="6662" w:type="dxa"/>
          </w:tcPr>
          <w:p w14:paraId="67FC8A1C" w14:textId="65E70C9A" w:rsidR="00E0197F" w:rsidRPr="003C182D" w:rsidRDefault="006461A3" w:rsidP="00507093">
            <w:pPr>
              <w:pStyle w:val="Standard"/>
              <w:snapToGrid w:val="0"/>
              <w:jc w:val="both"/>
              <w:rPr>
                <w:b/>
                <w:bCs/>
                <w:lang w:val="lt-LT"/>
              </w:rPr>
            </w:pPr>
            <w:r w:rsidRPr="003C182D">
              <w:rPr>
                <w:b/>
                <w:bCs/>
                <w:lang w:val="lt-LT"/>
              </w:rPr>
              <w:t>Atsižvelgta.</w:t>
            </w:r>
          </w:p>
        </w:tc>
      </w:tr>
    </w:tbl>
    <w:p w14:paraId="6696F0F6" w14:textId="6F0A8DDC" w:rsidR="00E05A7B" w:rsidRPr="003C182D" w:rsidRDefault="00E05A7B" w:rsidP="00966562">
      <w:pPr>
        <w:jc w:val="center"/>
        <w:rPr>
          <w:sz w:val="22"/>
          <w:szCs w:val="22"/>
        </w:rPr>
      </w:pPr>
    </w:p>
    <w:p w14:paraId="38BA0244" w14:textId="5ABF1135" w:rsidR="002E2DE6" w:rsidRPr="003C182D" w:rsidRDefault="00966562" w:rsidP="00966562">
      <w:pPr>
        <w:jc w:val="center"/>
        <w:rPr>
          <w:sz w:val="22"/>
          <w:szCs w:val="22"/>
        </w:rPr>
      </w:pPr>
      <w:r w:rsidRPr="003C182D">
        <w:rPr>
          <w:sz w:val="22"/>
          <w:szCs w:val="22"/>
        </w:rPr>
        <w:t>___________________________________________________</w:t>
      </w:r>
    </w:p>
    <w:sectPr w:rsidR="002E2DE6" w:rsidRPr="003C182D" w:rsidSect="0067247D">
      <w:headerReference w:type="default" r:id="rId8"/>
      <w:pgSz w:w="16838" w:h="11906" w:orient="landscape" w:code="9"/>
      <w:pgMar w:top="153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3EB96" w14:textId="77777777" w:rsidR="00CF4C47" w:rsidRDefault="00CF4C47" w:rsidP="00FE70B6">
      <w:r>
        <w:separator/>
      </w:r>
    </w:p>
  </w:endnote>
  <w:endnote w:type="continuationSeparator" w:id="0">
    <w:p w14:paraId="061ACA60" w14:textId="77777777" w:rsidR="00CF4C47" w:rsidRDefault="00CF4C47" w:rsidP="00FE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Mono">
    <w:altName w:val="Courier New"/>
    <w:charset w:val="BA"/>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60242" w14:textId="77777777" w:rsidR="00CF4C47" w:rsidRDefault="00CF4C47" w:rsidP="00FE70B6">
      <w:r>
        <w:separator/>
      </w:r>
    </w:p>
  </w:footnote>
  <w:footnote w:type="continuationSeparator" w:id="0">
    <w:p w14:paraId="44CA3B40" w14:textId="77777777" w:rsidR="00CF4C47" w:rsidRDefault="00CF4C47" w:rsidP="00FE7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7153240"/>
      <w:docPartObj>
        <w:docPartGallery w:val="Page Numbers (Top of Page)"/>
        <w:docPartUnique/>
      </w:docPartObj>
    </w:sdtPr>
    <w:sdtEndPr/>
    <w:sdtContent>
      <w:p w14:paraId="77E40596" w14:textId="7CE06865" w:rsidR="00FE70B6" w:rsidRDefault="00FE70B6">
        <w:pPr>
          <w:pStyle w:val="Antrats"/>
          <w:jc w:val="center"/>
        </w:pPr>
        <w:r>
          <w:fldChar w:fldCharType="begin"/>
        </w:r>
        <w:r>
          <w:instrText>PAGE   \* MERGEFORMAT</w:instrText>
        </w:r>
        <w:r>
          <w:fldChar w:fldCharType="separate"/>
        </w:r>
        <w:r w:rsidR="008C787D">
          <w:rPr>
            <w:noProof/>
          </w:rPr>
          <w:t>2</w:t>
        </w:r>
        <w:r>
          <w:fldChar w:fldCharType="end"/>
        </w:r>
      </w:p>
    </w:sdtContent>
  </w:sdt>
  <w:p w14:paraId="01B74BB3" w14:textId="77777777" w:rsidR="00FE70B6" w:rsidRDefault="00FE70B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A7FD9"/>
    <w:multiLevelType w:val="hybridMultilevel"/>
    <w:tmpl w:val="4C48E898"/>
    <w:lvl w:ilvl="0" w:tplc="953A76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E5A0740"/>
    <w:multiLevelType w:val="hybridMultilevel"/>
    <w:tmpl w:val="194601E0"/>
    <w:lvl w:ilvl="0" w:tplc="62F23D54">
      <w:start w:val="1"/>
      <w:numFmt w:val="decimal"/>
      <w:lvlText w:val="%1."/>
      <w:lvlJc w:val="left"/>
      <w:pPr>
        <w:ind w:left="927"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23693528"/>
    <w:multiLevelType w:val="hybridMultilevel"/>
    <w:tmpl w:val="F960645C"/>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3" w15:restartNumberingAfterBreak="0">
    <w:nsid w:val="5728583F"/>
    <w:multiLevelType w:val="hybridMultilevel"/>
    <w:tmpl w:val="63728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7FC364A"/>
    <w:multiLevelType w:val="hybridMultilevel"/>
    <w:tmpl w:val="9C8E9CC6"/>
    <w:lvl w:ilvl="0" w:tplc="4A0065EC">
      <w:start w:val="1"/>
      <w:numFmt w:val="decimal"/>
      <w:lvlText w:val="%1."/>
      <w:lvlJc w:val="left"/>
      <w:pPr>
        <w:ind w:left="1211"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DE6"/>
    <w:rsid w:val="000158EB"/>
    <w:rsid w:val="00017A39"/>
    <w:rsid w:val="00021FDA"/>
    <w:rsid w:val="0003172A"/>
    <w:rsid w:val="00031832"/>
    <w:rsid w:val="00033AAB"/>
    <w:rsid w:val="00034495"/>
    <w:rsid w:val="00035D15"/>
    <w:rsid w:val="00052053"/>
    <w:rsid w:val="00052F4C"/>
    <w:rsid w:val="0006667F"/>
    <w:rsid w:val="000740A5"/>
    <w:rsid w:val="0008763B"/>
    <w:rsid w:val="00087EC2"/>
    <w:rsid w:val="000922F7"/>
    <w:rsid w:val="000A7244"/>
    <w:rsid w:val="000B2C0A"/>
    <w:rsid w:val="000C1799"/>
    <w:rsid w:val="000C65AD"/>
    <w:rsid w:val="000D4DE1"/>
    <w:rsid w:val="000D5FFD"/>
    <w:rsid w:val="000E1D5E"/>
    <w:rsid w:val="000F1597"/>
    <w:rsid w:val="0010105B"/>
    <w:rsid w:val="0010208E"/>
    <w:rsid w:val="001024C7"/>
    <w:rsid w:val="00121335"/>
    <w:rsid w:val="00143B1A"/>
    <w:rsid w:val="00145D75"/>
    <w:rsid w:val="00147F62"/>
    <w:rsid w:val="00160007"/>
    <w:rsid w:val="00186656"/>
    <w:rsid w:val="00191E9C"/>
    <w:rsid w:val="00193386"/>
    <w:rsid w:val="00197241"/>
    <w:rsid w:val="001C49D1"/>
    <w:rsid w:val="001E3345"/>
    <w:rsid w:val="001E6F66"/>
    <w:rsid w:val="001F2A70"/>
    <w:rsid w:val="001F376B"/>
    <w:rsid w:val="0020099D"/>
    <w:rsid w:val="002038FF"/>
    <w:rsid w:val="002118B7"/>
    <w:rsid w:val="002120DB"/>
    <w:rsid w:val="00230AD7"/>
    <w:rsid w:val="002338EC"/>
    <w:rsid w:val="002415A5"/>
    <w:rsid w:val="0024792D"/>
    <w:rsid w:val="00257AFB"/>
    <w:rsid w:val="00266F76"/>
    <w:rsid w:val="00282D7B"/>
    <w:rsid w:val="0028363C"/>
    <w:rsid w:val="002860A6"/>
    <w:rsid w:val="0029664B"/>
    <w:rsid w:val="002A6EBE"/>
    <w:rsid w:val="002A6F47"/>
    <w:rsid w:val="002B2F4F"/>
    <w:rsid w:val="002C0F27"/>
    <w:rsid w:val="002C228B"/>
    <w:rsid w:val="002D0D1A"/>
    <w:rsid w:val="002D19DC"/>
    <w:rsid w:val="002D1E71"/>
    <w:rsid w:val="002D4E7D"/>
    <w:rsid w:val="002E2DE6"/>
    <w:rsid w:val="002F5A91"/>
    <w:rsid w:val="00306040"/>
    <w:rsid w:val="00321321"/>
    <w:rsid w:val="00325C92"/>
    <w:rsid w:val="00331138"/>
    <w:rsid w:val="00333D8F"/>
    <w:rsid w:val="0034053E"/>
    <w:rsid w:val="00340AE4"/>
    <w:rsid w:val="00343E25"/>
    <w:rsid w:val="00351158"/>
    <w:rsid w:val="0035505E"/>
    <w:rsid w:val="0036021B"/>
    <w:rsid w:val="00362638"/>
    <w:rsid w:val="0036263A"/>
    <w:rsid w:val="0036380F"/>
    <w:rsid w:val="00365C03"/>
    <w:rsid w:val="003A60F9"/>
    <w:rsid w:val="003B3569"/>
    <w:rsid w:val="003B3D0C"/>
    <w:rsid w:val="003C182D"/>
    <w:rsid w:val="003C25E0"/>
    <w:rsid w:val="003D39D4"/>
    <w:rsid w:val="003E4B6D"/>
    <w:rsid w:val="003F02C4"/>
    <w:rsid w:val="00411E7F"/>
    <w:rsid w:val="00423C26"/>
    <w:rsid w:val="00426CB0"/>
    <w:rsid w:val="00482F26"/>
    <w:rsid w:val="004C1140"/>
    <w:rsid w:val="004C3722"/>
    <w:rsid w:val="004D1FC4"/>
    <w:rsid w:val="004D2DC7"/>
    <w:rsid w:val="004E2CCF"/>
    <w:rsid w:val="004E61DF"/>
    <w:rsid w:val="00502BB2"/>
    <w:rsid w:val="00507093"/>
    <w:rsid w:val="00514560"/>
    <w:rsid w:val="005216FD"/>
    <w:rsid w:val="00522C91"/>
    <w:rsid w:val="00524B41"/>
    <w:rsid w:val="00532A19"/>
    <w:rsid w:val="005364F5"/>
    <w:rsid w:val="005506D5"/>
    <w:rsid w:val="00553FE0"/>
    <w:rsid w:val="00554A81"/>
    <w:rsid w:val="00562241"/>
    <w:rsid w:val="00562C27"/>
    <w:rsid w:val="00571541"/>
    <w:rsid w:val="00571554"/>
    <w:rsid w:val="005758C9"/>
    <w:rsid w:val="0057778E"/>
    <w:rsid w:val="005812E3"/>
    <w:rsid w:val="005A1F2E"/>
    <w:rsid w:val="005A269E"/>
    <w:rsid w:val="005C0E8F"/>
    <w:rsid w:val="005C1562"/>
    <w:rsid w:val="005C1912"/>
    <w:rsid w:val="005C1D38"/>
    <w:rsid w:val="005C4994"/>
    <w:rsid w:val="005D544E"/>
    <w:rsid w:val="005D6E48"/>
    <w:rsid w:val="005E13B6"/>
    <w:rsid w:val="005E534E"/>
    <w:rsid w:val="005F66E7"/>
    <w:rsid w:val="006007BF"/>
    <w:rsid w:val="00605209"/>
    <w:rsid w:val="00617F02"/>
    <w:rsid w:val="00640894"/>
    <w:rsid w:val="00644243"/>
    <w:rsid w:val="006461A3"/>
    <w:rsid w:val="00646590"/>
    <w:rsid w:val="0066335E"/>
    <w:rsid w:val="00666132"/>
    <w:rsid w:val="00671562"/>
    <w:rsid w:val="0067247D"/>
    <w:rsid w:val="00682412"/>
    <w:rsid w:val="00682601"/>
    <w:rsid w:val="00687FA0"/>
    <w:rsid w:val="00691677"/>
    <w:rsid w:val="00694B3E"/>
    <w:rsid w:val="006A6009"/>
    <w:rsid w:val="006C1967"/>
    <w:rsid w:val="006D049F"/>
    <w:rsid w:val="006E184E"/>
    <w:rsid w:val="006E685E"/>
    <w:rsid w:val="006E6E43"/>
    <w:rsid w:val="006F266D"/>
    <w:rsid w:val="006F2FA8"/>
    <w:rsid w:val="00703BCB"/>
    <w:rsid w:val="00714655"/>
    <w:rsid w:val="007527A7"/>
    <w:rsid w:val="00761EFB"/>
    <w:rsid w:val="00772161"/>
    <w:rsid w:val="0079045E"/>
    <w:rsid w:val="0079188A"/>
    <w:rsid w:val="00795D26"/>
    <w:rsid w:val="007A794E"/>
    <w:rsid w:val="007B19EE"/>
    <w:rsid w:val="007B732E"/>
    <w:rsid w:val="007C1AA1"/>
    <w:rsid w:val="007C3EBC"/>
    <w:rsid w:val="007C469D"/>
    <w:rsid w:val="007D1DB4"/>
    <w:rsid w:val="007D5548"/>
    <w:rsid w:val="007E5851"/>
    <w:rsid w:val="007F195D"/>
    <w:rsid w:val="007F754E"/>
    <w:rsid w:val="00806A70"/>
    <w:rsid w:val="00822BB0"/>
    <w:rsid w:val="0083354C"/>
    <w:rsid w:val="00835F7E"/>
    <w:rsid w:val="008378CB"/>
    <w:rsid w:val="00852B7F"/>
    <w:rsid w:val="00861133"/>
    <w:rsid w:val="00867214"/>
    <w:rsid w:val="008679C3"/>
    <w:rsid w:val="0087516A"/>
    <w:rsid w:val="00875B1D"/>
    <w:rsid w:val="00876C1C"/>
    <w:rsid w:val="00880402"/>
    <w:rsid w:val="00881139"/>
    <w:rsid w:val="0089273D"/>
    <w:rsid w:val="008C717B"/>
    <w:rsid w:val="008C787D"/>
    <w:rsid w:val="008D17E3"/>
    <w:rsid w:val="008D29B2"/>
    <w:rsid w:val="008D3C2B"/>
    <w:rsid w:val="008E222A"/>
    <w:rsid w:val="008E304B"/>
    <w:rsid w:val="00902F50"/>
    <w:rsid w:val="009055D3"/>
    <w:rsid w:val="009074EB"/>
    <w:rsid w:val="00907D8E"/>
    <w:rsid w:val="009169A0"/>
    <w:rsid w:val="00943951"/>
    <w:rsid w:val="009455BF"/>
    <w:rsid w:val="00950C88"/>
    <w:rsid w:val="00953CB4"/>
    <w:rsid w:val="00956FF9"/>
    <w:rsid w:val="00966562"/>
    <w:rsid w:val="00974F95"/>
    <w:rsid w:val="009A3362"/>
    <w:rsid w:val="009B2B01"/>
    <w:rsid w:val="009B603C"/>
    <w:rsid w:val="009C0240"/>
    <w:rsid w:val="009C1C7F"/>
    <w:rsid w:val="009D0C72"/>
    <w:rsid w:val="009D1D1D"/>
    <w:rsid w:val="009E4EC6"/>
    <w:rsid w:val="009E4F17"/>
    <w:rsid w:val="00A11C57"/>
    <w:rsid w:val="00A13451"/>
    <w:rsid w:val="00A24F0D"/>
    <w:rsid w:val="00A3163A"/>
    <w:rsid w:val="00A33FF5"/>
    <w:rsid w:val="00A35940"/>
    <w:rsid w:val="00A35F44"/>
    <w:rsid w:val="00A3602E"/>
    <w:rsid w:val="00A41F3D"/>
    <w:rsid w:val="00A529CF"/>
    <w:rsid w:val="00A55C51"/>
    <w:rsid w:val="00A71180"/>
    <w:rsid w:val="00AA3A58"/>
    <w:rsid w:val="00AB0A58"/>
    <w:rsid w:val="00AC1C3C"/>
    <w:rsid w:val="00AC1DF0"/>
    <w:rsid w:val="00AC4FDA"/>
    <w:rsid w:val="00AD3532"/>
    <w:rsid w:val="00AF1B76"/>
    <w:rsid w:val="00AF2C46"/>
    <w:rsid w:val="00B03003"/>
    <w:rsid w:val="00B0750C"/>
    <w:rsid w:val="00B32C2D"/>
    <w:rsid w:val="00B45D84"/>
    <w:rsid w:val="00B6338F"/>
    <w:rsid w:val="00B7288F"/>
    <w:rsid w:val="00B72EE4"/>
    <w:rsid w:val="00B77805"/>
    <w:rsid w:val="00B77EA4"/>
    <w:rsid w:val="00B8252B"/>
    <w:rsid w:val="00B945E6"/>
    <w:rsid w:val="00BB7C1E"/>
    <w:rsid w:val="00BF4164"/>
    <w:rsid w:val="00BF55F1"/>
    <w:rsid w:val="00C01FC9"/>
    <w:rsid w:val="00C1082C"/>
    <w:rsid w:val="00C132A0"/>
    <w:rsid w:val="00C40898"/>
    <w:rsid w:val="00C56C26"/>
    <w:rsid w:val="00C6698B"/>
    <w:rsid w:val="00C70AC1"/>
    <w:rsid w:val="00CA27B1"/>
    <w:rsid w:val="00CA4D6B"/>
    <w:rsid w:val="00CB6ADB"/>
    <w:rsid w:val="00CC14E5"/>
    <w:rsid w:val="00CC7FB4"/>
    <w:rsid w:val="00CF06D3"/>
    <w:rsid w:val="00CF4C47"/>
    <w:rsid w:val="00D008E9"/>
    <w:rsid w:val="00D155B3"/>
    <w:rsid w:val="00D25724"/>
    <w:rsid w:val="00D311D2"/>
    <w:rsid w:val="00D32280"/>
    <w:rsid w:val="00D45342"/>
    <w:rsid w:val="00D46265"/>
    <w:rsid w:val="00D6067D"/>
    <w:rsid w:val="00D81B11"/>
    <w:rsid w:val="00D8346B"/>
    <w:rsid w:val="00D85F64"/>
    <w:rsid w:val="00D919B6"/>
    <w:rsid w:val="00D92DF1"/>
    <w:rsid w:val="00DA7951"/>
    <w:rsid w:val="00DB299E"/>
    <w:rsid w:val="00DC2C0E"/>
    <w:rsid w:val="00DD7071"/>
    <w:rsid w:val="00DE5C45"/>
    <w:rsid w:val="00DE7B75"/>
    <w:rsid w:val="00DF5BC6"/>
    <w:rsid w:val="00E0197F"/>
    <w:rsid w:val="00E055A9"/>
    <w:rsid w:val="00E05A7B"/>
    <w:rsid w:val="00E22D96"/>
    <w:rsid w:val="00E23D35"/>
    <w:rsid w:val="00E25F78"/>
    <w:rsid w:val="00E4319D"/>
    <w:rsid w:val="00E5678D"/>
    <w:rsid w:val="00E574E3"/>
    <w:rsid w:val="00E937DF"/>
    <w:rsid w:val="00EA06BD"/>
    <w:rsid w:val="00EB1B82"/>
    <w:rsid w:val="00EB35F1"/>
    <w:rsid w:val="00EC3FB7"/>
    <w:rsid w:val="00ED7825"/>
    <w:rsid w:val="00EE46B6"/>
    <w:rsid w:val="00EF11EA"/>
    <w:rsid w:val="00F153C3"/>
    <w:rsid w:val="00F21C9C"/>
    <w:rsid w:val="00F24CC9"/>
    <w:rsid w:val="00F40869"/>
    <w:rsid w:val="00F6098D"/>
    <w:rsid w:val="00F623F5"/>
    <w:rsid w:val="00F67E21"/>
    <w:rsid w:val="00F70186"/>
    <w:rsid w:val="00F73239"/>
    <w:rsid w:val="00F77E7A"/>
    <w:rsid w:val="00F935CE"/>
    <w:rsid w:val="00F94479"/>
    <w:rsid w:val="00FB1396"/>
    <w:rsid w:val="00FB7CA6"/>
    <w:rsid w:val="00FD3779"/>
    <w:rsid w:val="00FD5989"/>
    <w:rsid w:val="00FE48BB"/>
    <w:rsid w:val="00FE70B6"/>
    <w:rsid w:val="00FE7AFE"/>
    <w:rsid w:val="00FF53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97F03"/>
  <w15:docId w15:val="{9B3DE8B1-0B23-48B5-8456-66231FF2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2DE6"/>
    <w:rPr>
      <w:rFonts w:eastAsia="Times New Roman"/>
      <w:szCs w:val="20"/>
    </w:rPr>
  </w:style>
  <w:style w:type="paragraph" w:styleId="Antrat2">
    <w:name w:val="heading 2"/>
    <w:basedOn w:val="prastasis"/>
    <w:next w:val="prastasis"/>
    <w:link w:val="Antrat2Diagrama"/>
    <w:qFormat/>
    <w:rsid w:val="002E2DE6"/>
    <w:pPr>
      <w:keepNext/>
      <w:ind w:firstLine="720"/>
      <w:jc w:val="both"/>
      <w:outlineLvl w:val="1"/>
    </w:pPr>
    <w:rPr>
      <w:b/>
      <w:sz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2E2DE6"/>
    <w:rPr>
      <w:rFonts w:eastAsia="Times New Roman"/>
      <w:b/>
      <w:sz w:val="20"/>
      <w:szCs w:val="20"/>
    </w:rPr>
  </w:style>
  <w:style w:type="table" w:styleId="Lentelstinklelis">
    <w:name w:val="Table Grid"/>
    <w:basedOn w:val="prastojilentel"/>
    <w:uiPriority w:val="39"/>
    <w:rsid w:val="002E2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2E2DE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customStyle="1" w:styleId="Bodytext2">
    <w:name w:val="Body text (2)_"/>
    <w:basedOn w:val="Numatytasispastraiposriftas"/>
    <w:link w:val="Bodytext20"/>
    <w:rsid w:val="002E2DE6"/>
    <w:rPr>
      <w:rFonts w:eastAsia="Times New Roman"/>
      <w:shd w:val="clear" w:color="auto" w:fill="FFFFFF"/>
    </w:rPr>
  </w:style>
  <w:style w:type="paragraph" w:customStyle="1" w:styleId="Bodytext20">
    <w:name w:val="Body text (2)"/>
    <w:basedOn w:val="prastasis"/>
    <w:link w:val="Bodytext2"/>
    <w:rsid w:val="002E2DE6"/>
    <w:pPr>
      <w:widowControl w:val="0"/>
      <w:shd w:val="clear" w:color="auto" w:fill="FFFFFF"/>
      <w:spacing w:before="480" w:after="60" w:line="0" w:lineRule="atLeast"/>
      <w:jc w:val="both"/>
    </w:pPr>
    <w:rPr>
      <w:szCs w:val="24"/>
    </w:rPr>
  </w:style>
  <w:style w:type="paragraph" w:styleId="Debesliotekstas">
    <w:name w:val="Balloon Text"/>
    <w:basedOn w:val="prastasis"/>
    <w:link w:val="DebesliotekstasDiagrama"/>
    <w:uiPriority w:val="99"/>
    <w:semiHidden/>
    <w:unhideWhenUsed/>
    <w:rsid w:val="0088113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1139"/>
    <w:rPr>
      <w:rFonts w:ascii="Segoe UI" w:eastAsia="Times New Roman" w:hAnsi="Segoe UI" w:cs="Segoe UI"/>
      <w:sz w:val="18"/>
      <w:szCs w:val="18"/>
      <w:lang w:val="en-US"/>
    </w:rPr>
  </w:style>
  <w:style w:type="paragraph" w:styleId="Porat">
    <w:name w:val="footer"/>
    <w:basedOn w:val="prastasis"/>
    <w:link w:val="PoratDiagrama"/>
    <w:unhideWhenUsed/>
    <w:rsid w:val="007F754E"/>
    <w:pPr>
      <w:tabs>
        <w:tab w:val="center" w:pos="4680"/>
        <w:tab w:val="right" w:pos="9360"/>
      </w:tabs>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
    <w:uiPriority w:val="99"/>
    <w:rsid w:val="007F754E"/>
    <w:rPr>
      <w:rFonts w:asciiTheme="minorHAnsi" w:hAnsiTheme="minorHAnsi" w:cstheme="minorBidi"/>
      <w:sz w:val="22"/>
      <w:szCs w:val="22"/>
      <w:lang w:val="en-US"/>
    </w:rPr>
  </w:style>
  <w:style w:type="paragraph" w:styleId="Antrats">
    <w:name w:val="header"/>
    <w:basedOn w:val="prastasis"/>
    <w:link w:val="AntratsDiagrama"/>
    <w:uiPriority w:val="99"/>
    <w:unhideWhenUsed/>
    <w:rsid w:val="00FE70B6"/>
    <w:pPr>
      <w:tabs>
        <w:tab w:val="center" w:pos="4819"/>
        <w:tab w:val="right" w:pos="9638"/>
      </w:tabs>
    </w:pPr>
  </w:style>
  <w:style w:type="character" w:customStyle="1" w:styleId="AntratsDiagrama">
    <w:name w:val="Antraštės Diagrama"/>
    <w:basedOn w:val="Numatytasispastraiposriftas"/>
    <w:link w:val="Antrats"/>
    <w:uiPriority w:val="99"/>
    <w:rsid w:val="00FE70B6"/>
    <w:rPr>
      <w:rFonts w:eastAsia="Times New Roman"/>
      <w:szCs w:val="20"/>
      <w:lang w:val="en-US"/>
    </w:rPr>
  </w:style>
  <w:style w:type="character" w:styleId="Komentaronuoroda">
    <w:name w:val="annotation reference"/>
    <w:basedOn w:val="Numatytasispastraiposriftas"/>
    <w:uiPriority w:val="99"/>
    <w:semiHidden/>
    <w:unhideWhenUsed/>
    <w:rsid w:val="00703BCB"/>
    <w:rPr>
      <w:sz w:val="16"/>
      <w:szCs w:val="16"/>
    </w:rPr>
  </w:style>
  <w:style w:type="paragraph" w:styleId="Komentarotekstas">
    <w:name w:val="annotation text"/>
    <w:basedOn w:val="prastasis"/>
    <w:link w:val="KomentarotekstasDiagrama"/>
    <w:unhideWhenUsed/>
    <w:rsid w:val="00703BCB"/>
    <w:rPr>
      <w:sz w:val="20"/>
    </w:rPr>
  </w:style>
  <w:style w:type="character" w:customStyle="1" w:styleId="KomentarotekstasDiagrama">
    <w:name w:val="Komentaro tekstas Diagrama"/>
    <w:basedOn w:val="Numatytasispastraiposriftas"/>
    <w:link w:val="Komentarotekstas"/>
    <w:rsid w:val="00703BCB"/>
    <w:rPr>
      <w:rFonts w:eastAsia="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703BCB"/>
    <w:rPr>
      <w:b/>
      <w:bCs/>
    </w:rPr>
  </w:style>
  <w:style w:type="character" w:customStyle="1" w:styleId="KomentarotemaDiagrama">
    <w:name w:val="Komentaro tema Diagrama"/>
    <w:basedOn w:val="KomentarotekstasDiagrama"/>
    <w:link w:val="Komentarotema"/>
    <w:uiPriority w:val="99"/>
    <w:semiHidden/>
    <w:rsid w:val="00703BCB"/>
    <w:rPr>
      <w:rFonts w:eastAsia="Times New Roman"/>
      <w:b/>
      <w:bCs/>
      <w:sz w:val="20"/>
      <w:szCs w:val="20"/>
      <w:lang w:val="en-US"/>
    </w:rPr>
  </w:style>
  <w:style w:type="paragraph" w:customStyle="1" w:styleId="Adresas">
    <w:name w:val="Adresas"/>
    <w:basedOn w:val="prastasis"/>
    <w:qFormat/>
    <w:rsid w:val="00306040"/>
    <w:pPr>
      <w:suppressAutoHyphens/>
      <w:ind w:right="318"/>
    </w:pPr>
    <w:rPr>
      <w:szCs w:val="24"/>
      <w:lang w:eastAsia="ar-SA"/>
    </w:rPr>
  </w:style>
  <w:style w:type="paragraph" w:styleId="Sraopastraipa">
    <w:name w:val="List Paragraph"/>
    <w:basedOn w:val="prastasis"/>
    <w:uiPriority w:val="34"/>
    <w:qFormat/>
    <w:rsid w:val="00E23D35"/>
    <w:pPr>
      <w:suppressAutoHyphens/>
      <w:ind w:left="720"/>
      <w:contextualSpacing/>
    </w:pPr>
    <w:rPr>
      <w:szCs w:val="24"/>
      <w:lang w:eastAsia="ar-SA"/>
    </w:rPr>
  </w:style>
  <w:style w:type="character" w:customStyle="1" w:styleId="Bodytext2Italic">
    <w:name w:val="Body text (2) + Italic"/>
    <w:basedOn w:val="Numatytasispastraiposriftas"/>
    <w:rsid w:val="00E23D35"/>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paragraph" w:styleId="Betarp">
    <w:name w:val="No Spacing"/>
    <w:uiPriority w:val="1"/>
    <w:qFormat/>
    <w:rsid w:val="007C1AA1"/>
    <w:rPr>
      <w:rFonts w:eastAsia="Times New Roman"/>
      <w:szCs w:val="20"/>
      <w:lang w:val="en-US"/>
    </w:rPr>
  </w:style>
  <w:style w:type="paragraph" w:customStyle="1" w:styleId="Pastraipanenumeruota">
    <w:name w:val="Pastraipa (nenumeruota)"/>
    <w:basedOn w:val="prastasis"/>
    <w:uiPriority w:val="9"/>
    <w:qFormat/>
    <w:rsid w:val="001C49D1"/>
    <w:pPr>
      <w:ind w:firstLine="720"/>
      <w:jc w:val="both"/>
    </w:pPr>
    <w:rPr>
      <w:rFonts w:eastAsiaTheme="minorHAnsi" w:cstheme="minorBidi"/>
      <w:szCs w:val="24"/>
    </w:rPr>
  </w:style>
  <w:style w:type="paragraph" w:styleId="Pagrindinistekstas">
    <w:name w:val="Body Text"/>
    <w:basedOn w:val="prastasis"/>
    <w:link w:val="PagrindinistekstasDiagrama"/>
    <w:rsid w:val="007B19EE"/>
    <w:pPr>
      <w:ind w:firstLine="1247"/>
      <w:jc w:val="both"/>
    </w:pPr>
  </w:style>
  <w:style w:type="character" w:customStyle="1" w:styleId="PagrindinistekstasDiagrama">
    <w:name w:val="Pagrindinis tekstas Diagrama"/>
    <w:basedOn w:val="Numatytasispastraiposriftas"/>
    <w:link w:val="Pagrindinistekstas"/>
    <w:rsid w:val="007B19EE"/>
    <w:rPr>
      <w:rFonts w:eastAsia="Times New Roman"/>
      <w:szCs w:val="20"/>
    </w:rPr>
  </w:style>
  <w:style w:type="paragraph" w:customStyle="1" w:styleId="Standard">
    <w:name w:val="Standard"/>
    <w:rsid w:val="001024C7"/>
    <w:pPr>
      <w:suppressAutoHyphens/>
      <w:autoSpaceDN w:val="0"/>
      <w:textAlignment w:val="baseline"/>
    </w:pPr>
    <w:rPr>
      <w:rFonts w:eastAsia="Times New Roman"/>
      <w:kern w:val="3"/>
      <w:szCs w:val="20"/>
      <w:lang w:val="en-US" w:eastAsia="zh-CN"/>
    </w:rPr>
  </w:style>
  <w:style w:type="paragraph" w:customStyle="1" w:styleId="Textbody">
    <w:name w:val="Text body"/>
    <w:basedOn w:val="Standard"/>
    <w:rsid w:val="001024C7"/>
    <w:pPr>
      <w:jc w:val="both"/>
    </w:pPr>
    <w:rPr>
      <w:lang w:val="lt-LT"/>
    </w:rPr>
  </w:style>
  <w:style w:type="character" w:customStyle="1" w:styleId="Teletype">
    <w:name w:val="Teletype"/>
    <w:rsid w:val="001024C7"/>
    <w:rPr>
      <w:rFonts w:ascii="Liberation Mono" w:eastAsia="NSimSun" w:hAnsi="Liberation Mono" w:cs="Liberation Mono"/>
    </w:rPr>
  </w:style>
  <w:style w:type="paragraph" w:customStyle="1" w:styleId="Pagrindiniotekstotrauka21">
    <w:name w:val="Pagrindinio teksto įtrauka 21"/>
    <w:basedOn w:val="prastasis"/>
    <w:rsid w:val="00426CB0"/>
    <w:pPr>
      <w:tabs>
        <w:tab w:val="left" w:pos="0"/>
      </w:tabs>
      <w:suppressAutoHyphens/>
      <w:autoSpaceDN w:val="0"/>
      <w:ind w:firstLine="1134"/>
      <w:jc w:val="both"/>
      <w:textAlignment w:val="baseline"/>
    </w:pPr>
    <w:rPr>
      <w:rFonts w:ascii="Arial" w:eastAsia="Arial" w:hAnsi="Arial" w:cs="Arial"/>
      <w:color w:val="00000A"/>
      <w:kern w:val="3"/>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140201">
      <w:bodyDiv w:val="1"/>
      <w:marLeft w:val="0"/>
      <w:marRight w:val="0"/>
      <w:marTop w:val="0"/>
      <w:marBottom w:val="0"/>
      <w:divBdr>
        <w:top w:val="none" w:sz="0" w:space="0" w:color="auto"/>
        <w:left w:val="none" w:sz="0" w:space="0" w:color="auto"/>
        <w:bottom w:val="none" w:sz="0" w:space="0" w:color="auto"/>
        <w:right w:val="none" w:sz="0" w:space="0" w:color="auto"/>
      </w:divBdr>
      <w:divsChild>
        <w:div w:id="1820727241">
          <w:marLeft w:val="0"/>
          <w:marRight w:val="0"/>
          <w:marTop w:val="0"/>
          <w:marBottom w:val="0"/>
          <w:divBdr>
            <w:top w:val="none" w:sz="0" w:space="0" w:color="auto"/>
            <w:left w:val="none" w:sz="0" w:space="0" w:color="auto"/>
            <w:bottom w:val="none" w:sz="0" w:space="0" w:color="auto"/>
            <w:right w:val="none" w:sz="0" w:space="0" w:color="auto"/>
          </w:divBdr>
        </w:div>
      </w:divsChild>
    </w:div>
    <w:div w:id="630133079">
      <w:bodyDiv w:val="1"/>
      <w:marLeft w:val="0"/>
      <w:marRight w:val="0"/>
      <w:marTop w:val="0"/>
      <w:marBottom w:val="0"/>
      <w:divBdr>
        <w:top w:val="none" w:sz="0" w:space="0" w:color="auto"/>
        <w:left w:val="none" w:sz="0" w:space="0" w:color="auto"/>
        <w:bottom w:val="none" w:sz="0" w:space="0" w:color="auto"/>
        <w:right w:val="none" w:sz="0" w:space="0" w:color="auto"/>
      </w:divBdr>
      <w:divsChild>
        <w:div w:id="381250762">
          <w:marLeft w:val="0"/>
          <w:marRight w:val="0"/>
          <w:marTop w:val="0"/>
          <w:marBottom w:val="0"/>
          <w:divBdr>
            <w:top w:val="none" w:sz="0" w:space="0" w:color="auto"/>
            <w:left w:val="none" w:sz="0" w:space="0" w:color="auto"/>
            <w:bottom w:val="none" w:sz="0" w:space="0" w:color="auto"/>
            <w:right w:val="none" w:sz="0" w:space="0" w:color="auto"/>
          </w:divBdr>
        </w:div>
        <w:div w:id="873543357">
          <w:marLeft w:val="0"/>
          <w:marRight w:val="0"/>
          <w:marTop w:val="0"/>
          <w:marBottom w:val="0"/>
          <w:divBdr>
            <w:top w:val="none" w:sz="0" w:space="0" w:color="auto"/>
            <w:left w:val="none" w:sz="0" w:space="0" w:color="auto"/>
            <w:bottom w:val="none" w:sz="0" w:space="0" w:color="auto"/>
            <w:right w:val="none" w:sz="0" w:space="0" w:color="auto"/>
          </w:divBdr>
        </w:div>
        <w:div w:id="81418573">
          <w:marLeft w:val="0"/>
          <w:marRight w:val="0"/>
          <w:marTop w:val="0"/>
          <w:marBottom w:val="0"/>
          <w:divBdr>
            <w:top w:val="none" w:sz="0" w:space="0" w:color="auto"/>
            <w:left w:val="none" w:sz="0" w:space="0" w:color="auto"/>
            <w:bottom w:val="none" w:sz="0" w:space="0" w:color="auto"/>
            <w:right w:val="none" w:sz="0" w:space="0" w:color="auto"/>
          </w:divBdr>
        </w:div>
        <w:div w:id="181866435">
          <w:marLeft w:val="0"/>
          <w:marRight w:val="0"/>
          <w:marTop w:val="0"/>
          <w:marBottom w:val="0"/>
          <w:divBdr>
            <w:top w:val="none" w:sz="0" w:space="0" w:color="auto"/>
            <w:left w:val="none" w:sz="0" w:space="0" w:color="auto"/>
            <w:bottom w:val="none" w:sz="0" w:space="0" w:color="auto"/>
            <w:right w:val="none" w:sz="0" w:space="0" w:color="auto"/>
          </w:divBdr>
        </w:div>
      </w:divsChild>
    </w:div>
    <w:div w:id="717777317">
      <w:bodyDiv w:val="1"/>
      <w:marLeft w:val="0"/>
      <w:marRight w:val="0"/>
      <w:marTop w:val="0"/>
      <w:marBottom w:val="0"/>
      <w:divBdr>
        <w:top w:val="none" w:sz="0" w:space="0" w:color="auto"/>
        <w:left w:val="none" w:sz="0" w:space="0" w:color="auto"/>
        <w:bottom w:val="none" w:sz="0" w:space="0" w:color="auto"/>
        <w:right w:val="none" w:sz="0" w:space="0" w:color="auto"/>
      </w:divBdr>
      <w:divsChild>
        <w:div w:id="8335199">
          <w:marLeft w:val="0"/>
          <w:marRight w:val="0"/>
          <w:marTop w:val="0"/>
          <w:marBottom w:val="0"/>
          <w:divBdr>
            <w:top w:val="none" w:sz="0" w:space="0" w:color="auto"/>
            <w:left w:val="none" w:sz="0" w:space="0" w:color="auto"/>
            <w:bottom w:val="none" w:sz="0" w:space="0" w:color="auto"/>
            <w:right w:val="none" w:sz="0" w:space="0" w:color="auto"/>
          </w:divBdr>
        </w:div>
        <w:div w:id="1516533717">
          <w:marLeft w:val="0"/>
          <w:marRight w:val="0"/>
          <w:marTop w:val="0"/>
          <w:marBottom w:val="0"/>
          <w:divBdr>
            <w:top w:val="none" w:sz="0" w:space="0" w:color="auto"/>
            <w:left w:val="none" w:sz="0" w:space="0" w:color="auto"/>
            <w:bottom w:val="none" w:sz="0" w:space="0" w:color="auto"/>
            <w:right w:val="none" w:sz="0" w:space="0" w:color="auto"/>
          </w:divBdr>
        </w:div>
        <w:div w:id="1138498321">
          <w:marLeft w:val="0"/>
          <w:marRight w:val="0"/>
          <w:marTop w:val="0"/>
          <w:marBottom w:val="0"/>
          <w:divBdr>
            <w:top w:val="none" w:sz="0" w:space="0" w:color="auto"/>
            <w:left w:val="none" w:sz="0" w:space="0" w:color="auto"/>
            <w:bottom w:val="none" w:sz="0" w:space="0" w:color="auto"/>
            <w:right w:val="none" w:sz="0" w:space="0" w:color="auto"/>
          </w:divBdr>
        </w:div>
        <w:div w:id="1958099403">
          <w:marLeft w:val="0"/>
          <w:marRight w:val="0"/>
          <w:marTop w:val="0"/>
          <w:marBottom w:val="0"/>
          <w:divBdr>
            <w:top w:val="none" w:sz="0" w:space="0" w:color="auto"/>
            <w:left w:val="none" w:sz="0" w:space="0" w:color="auto"/>
            <w:bottom w:val="none" w:sz="0" w:space="0" w:color="auto"/>
            <w:right w:val="none" w:sz="0" w:space="0" w:color="auto"/>
          </w:divBdr>
        </w:div>
      </w:divsChild>
    </w:div>
    <w:div w:id="1910915899">
      <w:bodyDiv w:val="1"/>
      <w:marLeft w:val="0"/>
      <w:marRight w:val="0"/>
      <w:marTop w:val="0"/>
      <w:marBottom w:val="0"/>
      <w:divBdr>
        <w:top w:val="none" w:sz="0" w:space="0" w:color="auto"/>
        <w:left w:val="none" w:sz="0" w:space="0" w:color="auto"/>
        <w:bottom w:val="none" w:sz="0" w:space="0" w:color="auto"/>
        <w:right w:val="none" w:sz="0" w:space="0" w:color="auto"/>
      </w:divBdr>
    </w:div>
    <w:div w:id="2134055193">
      <w:bodyDiv w:val="1"/>
      <w:marLeft w:val="0"/>
      <w:marRight w:val="0"/>
      <w:marTop w:val="0"/>
      <w:marBottom w:val="0"/>
      <w:divBdr>
        <w:top w:val="none" w:sz="0" w:space="0" w:color="auto"/>
        <w:left w:val="none" w:sz="0" w:space="0" w:color="auto"/>
        <w:bottom w:val="none" w:sz="0" w:space="0" w:color="auto"/>
        <w:right w:val="none" w:sz="0" w:space="0" w:color="auto"/>
      </w:divBdr>
      <w:divsChild>
        <w:div w:id="2118135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285AC-8693-4945-9ACA-1113BBC69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3047</Words>
  <Characters>1738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 Šimkūnaitė</dc:creator>
  <cp:lastModifiedBy>Kristina Jurkšienė</cp:lastModifiedBy>
  <cp:revision>4</cp:revision>
  <cp:lastPrinted>2016-12-30T07:20:00Z</cp:lastPrinted>
  <dcterms:created xsi:type="dcterms:W3CDTF">2018-12-11T10:28:00Z</dcterms:created>
  <dcterms:modified xsi:type="dcterms:W3CDTF">2018-12-12T08:02:00Z</dcterms:modified>
</cp:coreProperties>
</file>