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95CC2" w14:textId="3AC18B94" w:rsidR="00DE3EA2" w:rsidRDefault="003A065B" w:rsidP="00DE3EA2">
      <w:pPr>
        <w:spacing w:after="0"/>
        <w:jc w:val="center"/>
        <w:rPr>
          <w:rFonts w:ascii="Times New Roman" w:hAnsi="Times New Roman" w:cs="Times New Roman"/>
          <w:b/>
          <w:sz w:val="24"/>
          <w:szCs w:val="24"/>
        </w:rPr>
      </w:pPr>
      <w:r w:rsidRPr="003B0CE0">
        <w:rPr>
          <w:rFonts w:ascii="Times New Roman" w:hAnsi="Times New Roman" w:cs="Times New Roman"/>
          <w:b/>
          <w:sz w:val="24"/>
          <w:szCs w:val="24"/>
        </w:rPr>
        <w:t xml:space="preserve">LIETUVOS RESPUBLIKOS </w:t>
      </w:r>
      <w:r w:rsidR="000B0B30">
        <w:rPr>
          <w:rFonts w:ascii="Times New Roman" w:hAnsi="Times New Roman" w:cs="Times New Roman"/>
          <w:b/>
          <w:sz w:val="24"/>
          <w:szCs w:val="24"/>
        </w:rPr>
        <w:t xml:space="preserve"> </w:t>
      </w:r>
      <w:r w:rsidR="00DE3EA2">
        <w:rPr>
          <w:rFonts w:ascii="Times New Roman" w:hAnsi="Times New Roman" w:cs="Times New Roman"/>
          <w:b/>
          <w:sz w:val="24"/>
          <w:szCs w:val="24"/>
        </w:rPr>
        <w:t xml:space="preserve">ŽEMĖS ŪKIO, MAISTO ŪKIO IR KAIMO PLĖTROS ĮSTATYMO NR. IX-987 </w:t>
      </w:r>
    </w:p>
    <w:p w14:paraId="05D84849" w14:textId="5E54A932" w:rsidR="00DE3EA2" w:rsidRDefault="00DE3EA2" w:rsidP="00DE3EA2">
      <w:pPr>
        <w:spacing w:after="0"/>
        <w:jc w:val="center"/>
        <w:rPr>
          <w:rFonts w:ascii="Times New Roman" w:hAnsi="Times New Roman" w:cs="Times New Roman"/>
          <w:b/>
          <w:sz w:val="24"/>
          <w:szCs w:val="24"/>
        </w:rPr>
      </w:pPr>
      <w:r>
        <w:rPr>
          <w:rFonts w:ascii="Times New Roman" w:hAnsi="Times New Roman" w:cs="Times New Roman"/>
          <w:b/>
          <w:sz w:val="24"/>
          <w:szCs w:val="24"/>
        </w:rPr>
        <w:t>2, 7, 8</w:t>
      </w:r>
      <w:r w:rsidR="009F3D2C">
        <w:rPr>
          <w:rFonts w:ascii="Times New Roman" w:hAnsi="Times New Roman" w:cs="Times New Roman"/>
          <w:b/>
          <w:sz w:val="24"/>
          <w:szCs w:val="24"/>
        </w:rPr>
        <w:t>,</w:t>
      </w:r>
      <w:r>
        <w:rPr>
          <w:rFonts w:ascii="Times New Roman" w:hAnsi="Times New Roman" w:cs="Times New Roman"/>
          <w:b/>
          <w:sz w:val="24"/>
          <w:szCs w:val="24"/>
        </w:rPr>
        <w:t xml:space="preserve"> 9</w:t>
      </w:r>
      <w:r>
        <w:rPr>
          <w:rFonts w:ascii="Times New Roman" w:hAnsi="Times New Roman" w:cs="Times New Roman"/>
          <w:sz w:val="24"/>
          <w:szCs w:val="24"/>
          <w:vertAlign w:val="superscript"/>
        </w:rPr>
        <w:t xml:space="preserve"> </w:t>
      </w:r>
      <w:r w:rsidRPr="00204EE1">
        <w:rPr>
          <w:rFonts w:ascii="Times New Roman" w:hAnsi="Times New Roman" w:cs="Times New Roman"/>
          <w:b/>
          <w:sz w:val="24"/>
          <w:szCs w:val="24"/>
        </w:rPr>
        <w:t>STRAIPSNI</w:t>
      </w:r>
      <w:r>
        <w:rPr>
          <w:rFonts w:ascii="Times New Roman" w:hAnsi="Times New Roman" w:cs="Times New Roman"/>
          <w:b/>
          <w:sz w:val="24"/>
          <w:szCs w:val="24"/>
        </w:rPr>
        <w:t xml:space="preserve">Ų </w:t>
      </w:r>
      <w:r w:rsidR="009F3D2C">
        <w:rPr>
          <w:rFonts w:ascii="Times New Roman" w:hAnsi="Times New Roman" w:cs="Times New Roman"/>
          <w:b/>
          <w:sz w:val="24"/>
          <w:szCs w:val="24"/>
        </w:rPr>
        <w:t xml:space="preserve">IR PRIEDO </w:t>
      </w:r>
      <w:r>
        <w:rPr>
          <w:rFonts w:ascii="Times New Roman" w:hAnsi="Times New Roman" w:cs="Times New Roman"/>
          <w:b/>
          <w:sz w:val="24"/>
          <w:szCs w:val="24"/>
        </w:rPr>
        <w:t>PAKEITIMO</w:t>
      </w:r>
    </w:p>
    <w:p w14:paraId="0E01467A" w14:textId="6CFEAAE1" w:rsidR="003A065B" w:rsidRDefault="000B0B30" w:rsidP="00DE3EA2">
      <w:pPr>
        <w:tabs>
          <w:tab w:val="left" w:pos="993"/>
        </w:tabs>
        <w:spacing w:after="0" w:line="240" w:lineRule="auto"/>
        <w:jc w:val="center"/>
        <w:rPr>
          <w:rFonts w:ascii="Times New Roman" w:hAnsi="Times New Roman"/>
          <w:b/>
          <w:szCs w:val="24"/>
        </w:rPr>
      </w:pPr>
      <w:r>
        <w:rPr>
          <w:rFonts w:ascii="Times New Roman" w:hAnsi="Times New Roman" w:cs="Times New Roman"/>
          <w:b/>
          <w:sz w:val="24"/>
          <w:szCs w:val="24"/>
        </w:rPr>
        <w:t xml:space="preserve">    </w:t>
      </w:r>
      <w:r w:rsidR="003A065B" w:rsidRPr="003A065B">
        <w:rPr>
          <w:rFonts w:ascii="Times New Roman" w:hAnsi="Times New Roman"/>
          <w:b/>
          <w:sz w:val="24"/>
          <w:szCs w:val="24"/>
        </w:rPr>
        <w:t>ĮSTATYMO PROJEKTO</w:t>
      </w:r>
      <w:r w:rsidR="003A065B" w:rsidRPr="003A065B">
        <w:rPr>
          <w:rFonts w:ascii="Times New Roman" w:hAnsi="Times New Roman"/>
          <w:b/>
          <w:szCs w:val="24"/>
        </w:rPr>
        <w:t xml:space="preserve"> </w:t>
      </w:r>
    </w:p>
    <w:p w14:paraId="2B167633" w14:textId="1CEFF614" w:rsidR="00DF1BAC" w:rsidRDefault="00DF1BAC" w:rsidP="00DF1BAC">
      <w:pPr>
        <w:spacing w:after="0"/>
        <w:jc w:val="center"/>
        <w:rPr>
          <w:rFonts w:ascii="Times New Roman" w:hAnsi="Times New Roman"/>
        </w:rPr>
      </w:pPr>
      <w:r w:rsidRPr="00EE3840">
        <w:rPr>
          <w:rFonts w:ascii="Times New Roman" w:hAnsi="Times New Roman" w:cs="Times New Roman"/>
          <w:b/>
          <w:sz w:val="24"/>
          <w:szCs w:val="24"/>
        </w:rPr>
        <w:t>DERINIMO PAŽYMA</w:t>
      </w:r>
      <w:r w:rsidRPr="003B0CE0">
        <w:rPr>
          <w:rFonts w:ascii="Times New Roman" w:hAnsi="Times New Roman"/>
        </w:rPr>
        <w:t xml:space="preserve"> </w:t>
      </w:r>
    </w:p>
    <w:p w14:paraId="3CC00F65" w14:textId="77777777" w:rsidR="00DF1BAC" w:rsidRDefault="00DF1BAC" w:rsidP="00DF1BAC">
      <w:pPr>
        <w:spacing w:after="0"/>
        <w:jc w:val="center"/>
        <w:rPr>
          <w:rFonts w:ascii="Times New Roman" w:hAnsi="Times New Roman"/>
        </w:rPr>
      </w:pPr>
    </w:p>
    <w:p w14:paraId="4AB39A6A" w14:textId="59080A4B" w:rsidR="00DF1BAC" w:rsidRDefault="00DF1BAC" w:rsidP="00FC104D">
      <w:pPr>
        <w:spacing w:after="0"/>
        <w:jc w:val="both"/>
        <w:rPr>
          <w:rFonts w:ascii="Times New Roman" w:hAnsi="Times New Roman"/>
        </w:rPr>
      </w:pPr>
      <w:r>
        <w:rPr>
          <w:rFonts w:ascii="Times New Roman" w:hAnsi="Times New Roman"/>
        </w:rPr>
        <w:t xml:space="preserve">Derinimo pažymoje pateikiamos suinteresuotų institucijų pastabos ir pasiūlymai į kuriuos neatsižvelgta arba atsižvelgta iš dalies. </w:t>
      </w:r>
    </w:p>
    <w:p w14:paraId="00EE7DEA" w14:textId="77777777" w:rsidR="00DE3EA2" w:rsidRDefault="00DE3EA2" w:rsidP="00DE3EA2">
      <w:pPr>
        <w:tabs>
          <w:tab w:val="left" w:pos="993"/>
        </w:tabs>
        <w:spacing w:after="0" w:line="240" w:lineRule="auto"/>
        <w:jc w:val="center"/>
      </w:pPr>
    </w:p>
    <w:tbl>
      <w:tblPr>
        <w:tblStyle w:val="Lentelstinklelis"/>
        <w:tblW w:w="15163" w:type="dxa"/>
        <w:tblLook w:val="04A0" w:firstRow="1" w:lastRow="0" w:firstColumn="1" w:lastColumn="0" w:noHBand="0" w:noVBand="1"/>
      </w:tblPr>
      <w:tblGrid>
        <w:gridCol w:w="846"/>
        <w:gridCol w:w="3544"/>
        <w:gridCol w:w="5386"/>
        <w:gridCol w:w="5387"/>
      </w:tblGrid>
      <w:tr w:rsidR="008055BA" w:rsidRPr="00F561BE" w14:paraId="7717D447" w14:textId="77777777" w:rsidTr="00E75845">
        <w:tc>
          <w:tcPr>
            <w:tcW w:w="846" w:type="dxa"/>
          </w:tcPr>
          <w:p w14:paraId="61F98213" w14:textId="1FDF4774" w:rsidR="001C6714" w:rsidRPr="00F561BE" w:rsidRDefault="001C6714" w:rsidP="003A065B">
            <w:pPr>
              <w:spacing w:after="0" w:line="240" w:lineRule="auto"/>
              <w:rPr>
                <w:rFonts w:ascii="Times New Roman" w:hAnsi="Times New Roman" w:cs="Times New Roman"/>
                <w:b/>
                <w:sz w:val="24"/>
                <w:szCs w:val="24"/>
              </w:rPr>
            </w:pPr>
            <w:r w:rsidRPr="00F561BE">
              <w:rPr>
                <w:rFonts w:ascii="Times New Roman" w:hAnsi="Times New Roman" w:cs="Times New Roman"/>
                <w:b/>
                <w:sz w:val="24"/>
                <w:szCs w:val="24"/>
              </w:rPr>
              <w:t xml:space="preserve">Eil. </w:t>
            </w:r>
            <w:r w:rsidR="00E23256">
              <w:rPr>
                <w:rFonts w:ascii="Times New Roman" w:hAnsi="Times New Roman" w:cs="Times New Roman"/>
                <w:b/>
                <w:sz w:val="24"/>
                <w:szCs w:val="24"/>
              </w:rPr>
              <w:t>N</w:t>
            </w:r>
            <w:r w:rsidRPr="00F561BE">
              <w:rPr>
                <w:rFonts w:ascii="Times New Roman" w:hAnsi="Times New Roman" w:cs="Times New Roman"/>
                <w:b/>
                <w:sz w:val="24"/>
                <w:szCs w:val="24"/>
              </w:rPr>
              <w:t>r.</w:t>
            </w:r>
          </w:p>
        </w:tc>
        <w:tc>
          <w:tcPr>
            <w:tcW w:w="3544" w:type="dxa"/>
          </w:tcPr>
          <w:p w14:paraId="3BFFEC89" w14:textId="77777777" w:rsidR="001C6714" w:rsidRPr="00F561BE" w:rsidRDefault="001C6714" w:rsidP="003A065B">
            <w:pPr>
              <w:spacing w:after="0" w:line="240" w:lineRule="auto"/>
              <w:rPr>
                <w:rFonts w:ascii="Times New Roman" w:hAnsi="Times New Roman" w:cs="Times New Roman"/>
                <w:b/>
                <w:sz w:val="24"/>
                <w:szCs w:val="24"/>
              </w:rPr>
            </w:pPr>
            <w:r w:rsidRPr="00F561BE">
              <w:rPr>
                <w:rFonts w:ascii="Times New Roman" w:hAnsi="Times New Roman" w:cs="Times New Roman"/>
                <w:b/>
                <w:sz w:val="24"/>
                <w:szCs w:val="24"/>
              </w:rPr>
              <w:t>Institucijos pavadinimas (rašto data ir Nr.)</w:t>
            </w:r>
          </w:p>
        </w:tc>
        <w:tc>
          <w:tcPr>
            <w:tcW w:w="5386" w:type="dxa"/>
          </w:tcPr>
          <w:p w14:paraId="64221F08" w14:textId="77777777" w:rsidR="001C6714" w:rsidRPr="00F561BE" w:rsidRDefault="001C6714" w:rsidP="003A065B">
            <w:pPr>
              <w:spacing w:after="0" w:line="240" w:lineRule="auto"/>
              <w:rPr>
                <w:rFonts w:ascii="Times New Roman" w:hAnsi="Times New Roman" w:cs="Times New Roman"/>
                <w:b/>
                <w:sz w:val="24"/>
                <w:szCs w:val="24"/>
              </w:rPr>
            </w:pPr>
            <w:r w:rsidRPr="00F561BE">
              <w:rPr>
                <w:rFonts w:ascii="Times New Roman" w:hAnsi="Times New Roman" w:cs="Times New Roman"/>
                <w:b/>
                <w:sz w:val="24"/>
                <w:szCs w:val="24"/>
              </w:rPr>
              <w:t>Pastabos ir pasiūlymai</w:t>
            </w:r>
          </w:p>
        </w:tc>
        <w:tc>
          <w:tcPr>
            <w:tcW w:w="5387" w:type="dxa"/>
          </w:tcPr>
          <w:p w14:paraId="0C0D58E4" w14:textId="77777777" w:rsidR="001C6714" w:rsidRPr="00F561BE" w:rsidRDefault="001C6714" w:rsidP="003A065B">
            <w:pPr>
              <w:spacing w:after="0" w:line="240" w:lineRule="auto"/>
              <w:rPr>
                <w:rFonts w:ascii="Times New Roman" w:hAnsi="Times New Roman" w:cs="Times New Roman"/>
                <w:b/>
                <w:sz w:val="24"/>
                <w:szCs w:val="24"/>
              </w:rPr>
            </w:pPr>
            <w:r w:rsidRPr="00F561BE">
              <w:rPr>
                <w:rFonts w:ascii="Times New Roman" w:hAnsi="Times New Roman" w:cs="Times New Roman"/>
                <w:b/>
                <w:sz w:val="24"/>
                <w:szCs w:val="24"/>
              </w:rPr>
              <w:t>Paaiškinimai dėl pastabų</w:t>
            </w:r>
          </w:p>
        </w:tc>
      </w:tr>
      <w:tr w:rsidR="008055BA" w:rsidRPr="00F561BE" w14:paraId="7230276E" w14:textId="77777777" w:rsidTr="00E75845">
        <w:tc>
          <w:tcPr>
            <w:tcW w:w="846" w:type="dxa"/>
          </w:tcPr>
          <w:p w14:paraId="38889A09" w14:textId="4054C438" w:rsidR="002E37CE" w:rsidRPr="00F561BE" w:rsidRDefault="002E37CE" w:rsidP="002E37CE">
            <w:pPr>
              <w:spacing w:after="0" w:line="240" w:lineRule="auto"/>
              <w:jc w:val="both"/>
              <w:rPr>
                <w:rFonts w:ascii="Times New Roman" w:hAnsi="Times New Roman" w:cs="Times New Roman"/>
                <w:sz w:val="24"/>
                <w:szCs w:val="24"/>
              </w:rPr>
            </w:pPr>
            <w:r w:rsidRPr="00F561BE">
              <w:rPr>
                <w:rFonts w:ascii="Times New Roman" w:hAnsi="Times New Roman" w:cs="Times New Roman"/>
                <w:sz w:val="24"/>
                <w:szCs w:val="24"/>
              </w:rPr>
              <w:t>1.</w:t>
            </w:r>
          </w:p>
        </w:tc>
        <w:tc>
          <w:tcPr>
            <w:tcW w:w="3544" w:type="dxa"/>
            <w:vMerge w:val="restart"/>
          </w:tcPr>
          <w:p w14:paraId="6B8A1FB6" w14:textId="30A72304" w:rsidR="002E37CE" w:rsidRPr="00F561BE" w:rsidRDefault="00E5149E" w:rsidP="002E37CE">
            <w:pPr>
              <w:spacing w:after="0" w:line="240" w:lineRule="auto"/>
              <w:jc w:val="both"/>
              <w:rPr>
                <w:rFonts w:ascii="Times New Roman" w:hAnsi="Times New Roman" w:cs="Times New Roman"/>
                <w:sz w:val="24"/>
                <w:szCs w:val="24"/>
              </w:rPr>
            </w:pPr>
            <w:r w:rsidRPr="00F561BE">
              <w:rPr>
                <w:rFonts w:ascii="Times New Roman" w:hAnsi="Times New Roman" w:cs="Times New Roman"/>
                <w:sz w:val="24"/>
                <w:szCs w:val="24"/>
              </w:rPr>
              <w:t xml:space="preserve">LR </w:t>
            </w:r>
            <w:r w:rsidR="00DB3FC1">
              <w:rPr>
                <w:rFonts w:ascii="Times New Roman" w:hAnsi="Times New Roman" w:cs="Times New Roman"/>
                <w:sz w:val="24"/>
                <w:szCs w:val="24"/>
              </w:rPr>
              <w:t>t</w:t>
            </w:r>
            <w:r w:rsidR="00DE3EA2" w:rsidRPr="00F561BE">
              <w:rPr>
                <w:rFonts w:ascii="Times New Roman" w:hAnsi="Times New Roman" w:cs="Times New Roman"/>
                <w:sz w:val="24"/>
                <w:szCs w:val="24"/>
              </w:rPr>
              <w:t xml:space="preserve">eisingumo ministerijos </w:t>
            </w:r>
          </w:p>
          <w:p w14:paraId="2CEF7E28" w14:textId="73413F70" w:rsidR="002E37CE" w:rsidRPr="00F561BE" w:rsidRDefault="002E37CE" w:rsidP="002E37CE">
            <w:pPr>
              <w:spacing w:after="0" w:line="240" w:lineRule="auto"/>
              <w:jc w:val="both"/>
              <w:rPr>
                <w:rFonts w:ascii="Times New Roman" w:hAnsi="Times New Roman" w:cs="Times New Roman"/>
                <w:sz w:val="24"/>
                <w:szCs w:val="24"/>
              </w:rPr>
            </w:pPr>
            <w:r w:rsidRPr="00F561BE">
              <w:rPr>
                <w:rFonts w:ascii="Times New Roman" w:hAnsi="Times New Roman" w:cs="Times New Roman"/>
                <w:sz w:val="24"/>
                <w:szCs w:val="24"/>
              </w:rPr>
              <w:t>2020-0</w:t>
            </w:r>
            <w:r w:rsidR="00DE3EA2" w:rsidRPr="00F561BE">
              <w:rPr>
                <w:rFonts w:ascii="Times New Roman" w:hAnsi="Times New Roman" w:cs="Times New Roman"/>
                <w:sz w:val="24"/>
                <w:szCs w:val="24"/>
              </w:rPr>
              <w:t>3</w:t>
            </w:r>
            <w:r w:rsidRPr="00F561BE">
              <w:rPr>
                <w:rFonts w:ascii="Times New Roman" w:hAnsi="Times New Roman" w:cs="Times New Roman"/>
                <w:sz w:val="24"/>
                <w:szCs w:val="24"/>
              </w:rPr>
              <w:t>-</w:t>
            </w:r>
            <w:r w:rsidR="00DE3EA2" w:rsidRPr="00F561BE">
              <w:rPr>
                <w:rFonts w:ascii="Times New Roman" w:hAnsi="Times New Roman" w:cs="Times New Roman"/>
                <w:sz w:val="24"/>
                <w:szCs w:val="24"/>
              </w:rPr>
              <w:t>16</w:t>
            </w:r>
            <w:r w:rsidRPr="00F561BE">
              <w:rPr>
                <w:rFonts w:ascii="Times New Roman" w:hAnsi="Times New Roman" w:cs="Times New Roman"/>
                <w:sz w:val="24"/>
                <w:szCs w:val="24"/>
              </w:rPr>
              <w:t xml:space="preserve"> raštas</w:t>
            </w:r>
            <w:r w:rsidR="00DE3EA2" w:rsidRPr="00F561BE">
              <w:rPr>
                <w:rFonts w:ascii="Times New Roman" w:hAnsi="Times New Roman" w:cs="Times New Roman"/>
                <w:sz w:val="24"/>
                <w:szCs w:val="24"/>
              </w:rPr>
              <w:t xml:space="preserve"> Nr.2D-703(5.44E)</w:t>
            </w:r>
          </w:p>
          <w:p w14:paraId="7AC793E1" w14:textId="77777777" w:rsidR="002E37CE" w:rsidRPr="00F561BE" w:rsidRDefault="002E37CE" w:rsidP="002E37CE">
            <w:pPr>
              <w:spacing w:after="0" w:line="240" w:lineRule="auto"/>
              <w:jc w:val="both"/>
              <w:rPr>
                <w:rFonts w:ascii="Times New Roman" w:hAnsi="Times New Roman" w:cs="Times New Roman"/>
                <w:sz w:val="24"/>
                <w:szCs w:val="24"/>
              </w:rPr>
            </w:pPr>
          </w:p>
        </w:tc>
        <w:tc>
          <w:tcPr>
            <w:tcW w:w="5386" w:type="dxa"/>
          </w:tcPr>
          <w:p w14:paraId="65E76B68" w14:textId="521A090A" w:rsidR="002E37CE" w:rsidRPr="00F561BE" w:rsidRDefault="002E37CE" w:rsidP="002E37CE">
            <w:pPr>
              <w:spacing w:after="0" w:line="240" w:lineRule="auto"/>
              <w:jc w:val="both"/>
              <w:rPr>
                <w:rFonts w:ascii="Times New Roman" w:hAnsi="Times New Roman" w:cs="Times New Roman"/>
                <w:sz w:val="24"/>
                <w:szCs w:val="24"/>
              </w:rPr>
            </w:pPr>
            <w:r w:rsidRPr="00F561BE">
              <w:rPr>
                <w:rFonts w:ascii="Times New Roman" w:hAnsi="Times New Roman" w:cs="Times New Roman"/>
                <w:sz w:val="24"/>
                <w:szCs w:val="24"/>
              </w:rPr>
              <w:t xml:space="preserve">Reikėtų atkreipti dėmesį į tai, kad žemės ūkio rizikos valdymo fondų veikla yra alternatyva rinkos sąlygomis veikiančioms draudimo paslaugoms, todėl valstybių narių reguliacinės ir finansinės priemonės, skirtos tokiems fondams steigti ir veikti, iš esmės yra valstybės pagalba. Tam, kad šių fondų veikla atitiktų Europos Sąjungos konkurencijos ir valstybės pagalbos taisykles reikia laikytis </w:t>
            </w:r>
            <w:r w:rsidRPr="00F561BE">
              <w:rPr>
                <w:rFonts w:ascii="Times New Roman" w:hAnsi="Times New Roman" w:cs="Times New Roman"/>
                <w:color w:val="000000" w:themeColor="text1"/>
                <w:sz w:val="24"/>
                <w:szCs w:val="24"/>
              </w:rPr>
              <w:t xml:space="preserve">Reglamento </w:t>
            </w:r>
            <w:r w:rsidRPr="00F561BE">
              <w:rPr>
                <w:rFonts w:ascii="Times New Roman" w:eastAsia="Times New Roman" w:hAnsi="Times New Roman" w:cs="Times New Roman"/>
                <w:color w:val="000000" w:themeColor="text1"/>
                <w:sz w:val="24"/>
                <w:szCs w:val="24"/>
                <w:shd w:val="clear" w:color="auto" w:fill="FFFFFF"/>
                <w:lang w:eastAsia="en-GB"/>
              </w:rPr>
              <w:t xml:space="preserve">(ES) Nr. 1305/2013 nuostatų. Tai reiškia, kad Projekto 4 str. dėstomos žemės ūkio rizikos valdymo fondų sąlygos turėtų būti taikomos bendrai tokią teisinę formą turintiems subjektams, nepaisant to, ar jie įgijo (ar siekia įgyti) teisę į paramą valstybės ir (ar) Sąjungos lėšomis (viešojo įnašo į fondą dalis). Atsižvelgdami į tai, siūlytume tikslinti Projekto 4 str. keičiamo Įstatymo 9 str. antraštinę dalį tokiu būdu, jog visos Įstatyme dėstomos sąlygos būtų taikomos visiems </w:t>
            </w:r>
            <w:r w:rsidRPr="00F561BE">
              <w:rPr>
                <w:rFonts w:ascii="Times New Roman" w:hAnsi="Times New Roman" w:cs="Times New Roman"/>
                <w:sz w:val="24"/>
                <w:szCs w:val="24"/>
              </w:rPr>
              <w:t>žemės ūkio rizikos valdymo fondams.</w:t>
            </w:r>
          </w:p>
        </w:tc>
        <w:tc>
          <w:tcPr>
            <w:tcW w:w="5387" w:type="dxa"/>
          </w:tcPr>
          <w:p w14:paraId="459FAABE" w14:textId="65AAAE54" w:rsidR="002E37CE" w:rsidRPr="0000073A" w:rsidRDefault="00A70F50" w:rsidP="002E37CE">
            <w:pPr>
              <w:spacing w:after="0" w:line="240" w:lineRule="auto"/>
              <w:jc w:val="both"/>
              <w:rPr>
                <w:rFonts w:ascii="Times New Roman" w:eastAsia="Calibri" w:hAnsi="Times New Roman" w:cs="Times New Roman"/>
                <w:b/>
                <w:bCs/>
                <w:sz w:val="24"/>
                <w:szCs w:val="24"/>
              </w:rPr>
            </w:pPr>
            <w:r w:rsidRPr="0000073A">
              <w:rPr>
                <w:rFonts w:ascii="Times New Roman" w:eastAsia="Calibri" w:hAnsi="Times New Roman" w:cs="Times New Roman"/>
                <w:b/>
                <w:bCs/>
                <w:sz w:val="24"/>
                <w:szCs w:val="24"/>
              </w:rPr>
              <w:t>Nea</w:t>
            </w:r>
            <w:r w:rsidR="002E16E7" w:rsidRPr="0000073A">
              <w:rPr>
                <w:rFonts w:ascii="Times New Roman" w:eastAsia="Calibri" w:hAnsi="Times New Roman" w:cs="Times New Roman"/>
                <w:b/>
                <w:bCs/>
                <w:sz w:val="24"/>
                <w:szCs w:val="24"/>
              </w:rPr>
              <w:t>tsižvelgta</w:t>
            </w:r>
            <w:r w:rsidR="00E75845">
              <w:rPr>
                <w:rFonts w:ascii="Times New Roman" w:eastAsia="Calibri" w:hAnsi="Times New Roman" w:cs="Times New Roman"/>
                <w:b/>
                <w:bCs/>
                <w:sz w:val="24"/>
                <w:szCs w:val="24"/>
              </w:rPr>
              <w:t>.</w:t>
            </w:r>
          </w:p>
          <w:p w14:paraId="4C9E5BAF" w14:textId="21FA9880" w:rsidR="0000073A" w:rsidRPr="00B842C7" w:rsidRDefault="008B6E4A" w:rsidP="00977AC6">
            <w:pPr>
              <w:spacing w:after="0" w:line="240" w:lineRule="auto"/>
              <w:jc w:val="both"/>
              <w:rPr>
                <w:rFonts w:ascii="Times New Roman" w:eastAsia="Calibri" w:hAnsi="Times New Roman" w:cs="Times New Roman"/>
                <w:sz w:val="24"/>
                <w:szCs w:val="24"/>
              </w:rPr>
            </w:pPr>
            <w:r w:rsidRPr="0000073A">
              <w:rPr>
                <w:rFonts w:ascii="Times New Roman" w:eastAsia="Calibri" w:hAnsi="Times New Roman" w:cs="Times New Roman"/>
                <w:b/>
                <w:bCs/>
                <w:sz w:val="24"/>
                <w:szCs w:val="24"/>
              </w:rPr>
              <w:t xml:space="preserve"> </w:t>
            </w:r>
            <w:r w:rsidR="0000073A" w:rsidRPr="00B842C7">
              <w:rPr>
                <w:rFonts w:ascii="Times New Roman" w:eastAsia="Calibri" w:hAnsi="Times New Roman" w:cs="Times New Roman"/>
                <w:sz w:val="24"/>
                <w:szCs w:val="24"/>
              </w:rPr>
              <w:t>Įstatymas bei ES Reglament</w:t>
            </w:r>
            <w:r w:rsidR="004126A8" w:rsidRPr="00B842C7">
              <w:rPr>
                <w:rFonts w:ascii="Times New Roman" w:eastAsia="Calibri" w:hAnsi="Times New Roman" w:cs="Times New Roman"/>
                <w:sz w:val="24"/>
                <w:szCs w:val="24"/>
              </w:rPr>
              <w:t>as</w:t>
            </w:r>
            <w:r w:rsidR="0000073A" w:rsidRPr="00B842C7">
              <w:rPr>
                <w:rFonts w:ascii="Times New Roman" w:eastAsia="Calibri" w:hAnsi="Times New Roman" w:cs="Times New Roman"/>
                <w:sz w:val="24"/>
                <w:szCs w:val="24"/>
              </w:rPr>
              <w:t xml:space="preserve"> (ES) Nr. 1305/2013 reglamentuoja  paramos teikimo </w:t>
            </w:r>
            <w:r w:rsidR="004126A8" w:rsidRPr="00B842C7">
              <w:rPr>
                <w:rFonts w:ascii="Times New Roman" w:eastAsia="Calibri" w:hAnsi="Times New Roman" w:cs="Times New Roman"/>
                <w:sz w:val="24"/>
                <w:szCs w:val="24"/>
              </w:rPr>
              <w:t xml:space="preserve">tvarką ir </w:t>
            </w:r>
            <w:r w:rsidR="0000073A" w:rsidRPr="00B842C7">
              <w:rPr>
                <w:rFonts w:ascii="Times New Roman" w:eastAsia="Calibri" w:hAnsi="Times New Roman" w:cs="Times New Roman"/>
                <w:sz w:val="24"/>
                <w:szCs w:val="24"/>
              </w:rPr>
              <w:t xml:space="preserve">sąlygas, bet ne </w:t>
            </w:r>
            <w:r w:rsidR="004126A8" w:rsidRPr="00B842C7">
              <w:rPr>
                <w:rFonts w:ascii="Times New Roman" w:eastAsia="Calibri" w:hAnsi="Times New Roman" w:cs="Times New Roman"/>
                <w:sz w:val="24"/>
                <w:szCs w:val="24"/>
              </w:rPr>
              <w:t xml:space="preserve">visų </w:t>
            </w:r>
            <w:r w:rsidR="0000073A" w:rsidRPr="00B842C7">
              <w:rPr>
                <w:rFonts w:ascii="Times New Roman" w:eastAsia="Calibri" w:hAnsi="Times New Roman" w:cs="Times New Roman"/>
                <w:sz w:val="24"/>
                <w:szCs w:val="24"/>
              </w:rPr>
              <w:t>subjektų veikimo sąlygas</w:t>
            </w:r>
            <w:r w:rsidR="004126A8" w:rsidRPr="00B842C7">
              <w:rPr>
                <w:rFonts w:ascii="Times New Roman" w:eastAsia="Calibri" w:hAnsi="Times New Roman" w:cs="Times New Roman"/>
                <w:sz w:val="24"/>
                <w:szCs w:val="24"/>
              </w:rPr>
              <w:t xml:space="preserve">, dėl to </w:t>
            </w:r>
            <w:r w:rsidR="00977AC6" w:rsidRPr="00B842C7">
              <w:rPr>
                <w:rFonts w:ascii="Times New Roman" w:eastAsia="Calibri" w:hAnsi="Times New Roman" w:cs="Times New Roman"/>
                <w:sz w:val="24"/>
                <w:szCs w:val="24"/>
              </w:rPr>
              <w:t xml:space="preserve">ir </w:t>
            </w:r>
            <w:r w:rsidR="004126A8" w:rsidRPr="00B842C7">
              <w:rPr>
                <w:rFonts w:ascii="Times New Roman" w:eastAsia="Calibri" w:hAnsi="Times New Roman" w:cs="Times New Roman"/>
                <w:sz w:val="24"/>
                <w:szCs w:val="24"/>
              </w:rPr>
              <w:t>Įstatymo</w:t>
            </w:r>
            <w:r w:rsidR="00977AC6" w:rsidRPr="00B842C7">
              <w:rPr>
                <w:rFonts w:ascii="Times New Roman" w:eastAsia="Calibri" w:hAnsi="Times New Roman" w:cs="Times New Roman"/>
                <w:sz w:val="24"/>
                <w:szCs w:val="24"/>
              </w:rPr>
              <w:t xml:space="preserve"> </w:t>
            </w:r>
            <w:r w:rsidR="004126A8" w:rsidRPr="00B842C7">
              <w:rPr>
                <w:rFonts w:ascii="Times New Roman" w:eastAsia="Calibri" w:hAnsi="Times New Roman" w:cs="Times New Roman"/>
                <w:sz w:val="24"/>
                <w:szCs w:val="24"/>
              </w:rPr>
              <w:t>pakeitim</w:t>
            </w:r>
            <w:r w:rsidR="00DB3FC1">
              <w:rPr>
                <w:rFonts w:ascii="Times New Roman" w:eastAsia="Calibri" w:hAnsi="Times New Roman" w:cs="Times New Roman"/>
                <w:sz w:val="24"/>
                <w:szCs w:val="24"/>
              </w:rPr>
              <w:t>o</w:t>
            </w:r>
            <w:r w:rsidR="00977AC6" w:rsidRPr="00B842C7">
              <w:rPr>
                <w:rFonts w:ascii="Times New Roman" w:eastAsia="Calibri" w:hAnsi="Times New Roman" w:cs="Times New Roman"/>
                <w:sz w:val="24"/>
                <w:szCs w:val="24"/>
              </w:rPr>
              <w:t xml:space="preserve"> tikslas </w:t>
            </w:r>
            <w:r w:rsidR="00DB3FC1">
              <w:rPr>
                <w:rFonts w:ascii="Times New Roman" w:eastAsia="Calibri" w:hAnsi="Times New Roman" w:cs="Times New Roman"/>
                <w:sz w:val="24"/>
                <w:szCs w:val="24"/>
              </w:rPr>
              <w:t>–</w:t>
            </w:r>
            <w:r w:rsidR="00977AC6" w:rsidRPr="00B842C7">
              <w:rPr>
                <w:rFonts w:ascii="Times New Roman" w:eastAsia="Calibri" w:hAnsi="Times New Roman" w:cs="Times New Roman"/>
                <w:sz w:val="24"/>
                <w:szCs w:val="24"/>
              </w:rPr>
              <w:t xml:space="preserve"> nustatyti tik </w:t>
            </w:r>
            <w:r w:rsidR="00DB3FC1">
              <w:rPr>
                <w:rFonts w:ascii="Times New Roman" w:eastAsia="Calibri" w:hAnsi="Times New Roman" w:cs="Times New Roman"/>
                <w:sz w:val="24"/>
                <w:szCs w:val="24"/>
              </w:rPr>
              <w:t>ž</w:t>
            </w:r>
            <w:r w:rsidR="00977AC6" w:rsidRPr="00B842C7">
              <w:rPr>
                <w:rFonts w:ascii="Times New Roman" w:eastAsia="Calibri" w:hAnsi="Times New Roman" w:cs="Times New Roman"/>
                <w:sz w:val="24"/>
                <w:szCs w:val="24"/>
              </w:rPr>
              <w:t>emės ūkio rizikos valdymo fondų tinkamumo veiklos sąlyg</w:t>
            </w:r>
            <w:r w:rsidR="00DB3FC1">
              <w:rPr>
                <w:rFonts w:ascii="Times New Roman" w:eastAsia="Calibri" w:hAnsi="Times New Roman" w:cs="Times New Roman"/>
                <w:sz w:val="24"/>
                <w:szCs w:val="24"/>
              </w:rPr>
              <w:t>a</w:t>
            </w:r>
            <w:r w:rsidR="00977AC6" w:rsidRPr="00B842C7">
              <w:rPr>
                <w:rFonts w:ascii="Times New Roman" w:eastAsia="Calibri" w:hAnsi="Times New Roman" w:cs="Times New Roman"/>
                <w:sz w:val="24"/>
                <w:szCs w:val="24"/>
              </w:rPr>
              <w:t xml:space="preserve">s </w:t>
            </w:r>
            <w:r w:rsidR="00E75845" w:rsidRPr="00B842C7">
              <w:rPr>
                <w:rFonts w:ascii="Times New Roman" w:eastAsia="Calibri" w:hAnsi="Times New Roman" w:cs="Times New Roman"/>
                <w:sz w:val="24"/>
                <w:szCs w:val="24"/>
              </w:rPr>
              <w:t xml:space="preserve">Europos Sąjungos ir </w:t>
            </w:r>
            <w:r w:rsidR="00977AC6" w:rsidRPr="00B842C7">
              <w:rPr>
                <w:rFonts w:ascii="Times New Roman" w:eastAsia="Calibri" w:hAnsi="Times New Roman" w:cs="Times New Roman"/>
                <w:sz w:val="24"/>
                <w:szCs w:val="24"/>
              </w:rPr>
              <w:t>valstybės</w:t>
            </w:r>
            <w:r w:rsidR="00E75845" w:rsidRPr="00B842C7">
              <w:rPr>
                <w:rFonts w:ascii="Times New Roman" w:eastAsia="Calibri" w:hAnsi="Times New Roman" w:cs="Times New Roman"/>
                <w:sz w:val="24"/>
                <w:szCs w:val="24"/>
              </w:rPr>
              <w:t xml:space="preserve"> paramai gauti</w:t>
            </w:r>
            <w:r w:rsidR="00977AC6" w:rsidRPr="00B842C7">
              <w:rPr>
                <w:rFonts w:ascii="Times New Roman" w:eastAsia="Calibri" w:hAnsi="Times New Roman" w:cs="Times New Roman"/>
                <w:sz w:val="24"/>
                <w:szCs w:val="24"/>
              </w:rPr>
              <w:t>.</w:t>
            </w:r>
          </w:p>
        </w:tc>
      </w:tr>
      <w:tr w:rsidR="008055BA" w:rsidRPr="00F561BE" w14:paraId="39F167D3" w14:textId="77777777" w:rsidTr="00E75845">
        <w:tc>
          <w:tcPr>
            <w:tcW w:w="846" w:type="dxa"/>
            <w:tcBorders>
              <w:top w:val="nil"/>
            </w:tcBorders>
          </w:tcPr>
          <w:p w14:paraId="3C65A584" w14:textId="6E972BD8" w:rsidR="002E37CE" w:rsidRPr="00F561BE" w:rsidRDefault="002E37CE" w:rsidP="002E37CE">
            <w:pPr>
              <w:spacing w:after="0" w:line="240" w:lineRule="auto"/>
              <w:jc w:val="both"/>
              <w:rPr>
                <w:rFonts w:ascii="Times New Roman" w:hAnsi="Times New Roman" w:cs="Times New Roman"/>
                <w:sz w:val="24"/>
                <w:szCs w:val="24"/>
              </w:rPr>
            </w:pPr>
            <w:r w:rsidRPr="00F561BE">
              <w:rPr>
                <w:rFonts w:ascii="Times New Roman" w:hAnsi="Times New Roman" w:cs="Times New Roman"/>
                <w:sz w:val="24"/>
                <w:szCs w:val="24"/>
              </w:rPr>
              <w:t>2.</w:t>
            </w:r>
          </w:p>
        </w:tc>
        <w:tc>
          <w:tcPr>
            <w:tcW w:w="3544" w:type="dxa"/>
            <w:vMerge/>
          </w:tcPr>
          <w:p w14:paraId="228B8ADA" w14:textId="77777777" w:rsidR="002E37CE" w:rsidRPr="00F561BE" w:rsidRDefault="002E37CE" w:rsidP="002E37CE">
            <w:pPr>
              <w:spacing w:after="0" w:line="240" w:lineRule="auto"/>
              <w:jc w:val="both"/>
              <w:rPr>
                <w:rFonts w:ascii="Times New Roman" w:hAnsi="Times New Roman" w:cs="Times New Roman"/>
                <w:b/>
                <w:sz w:val="24"/>
                <w:szCs w:val="24"/>
              </w:rPr>
            </w:pPr>
          </w:p>
        </w:tc>
        <w:tc>
          <w:tcPr>
            <w:tcW w:w="5386" w:type="dxa"/>
          </w:tcPr>
          <w:p w14:paraId="15B24336" w14:textId="7C631ED2" w:rsidR="002E37CE" w:rsidRPr="00F561BE" w:rsidRDefault="002E37CE" w:rsidP="002E37CE">
            <w:pPr>
              <w:tabs>
                <w:tab w:val="left" w:pos="426"/>
              </w:tabs>
              <w:spacing w:line="240" w:lineRule="auto"/>
              <w:jc w:val="both"/>
              <w:rPr>
                <w:rFonts w:ascii="Times New Roman" w:hAnsi="Times New Roman" w:cs="Times New Roman"/>
                <w:sz w:val="24"/>
                <w:szCs w:val="24"/>
              </w:rPr>
            </w:pPr>
            <w:r w:rsidRPr="00F561BE">
              <w:rPr>
                <w:rFonts w:ascii="Times New Roman" w:hAnsi="Times New Roman" w:cs="Times New Roman"/>
                <w:color w:val="000000" w:themeColor="text1"/>
                <w:sz w:val="24"/>
                <w:szCs w:val="24"/>
              </w:rPr>
              <w:t xml:space="preserve">Pagal Reglamento </w:t>
            </w:r>
            <w:r w:rsidRPr="00F561BE">
              <w:rPr>
                <w:rFonts w:ascii="Times New Roman" w:eastAsia="Times New Roman" w:hAnsi="Times New Roman" w:cs="Times New Roman"/>
                <w:color w:val="000000" w:themeColor="text1"/>
                <w:sz w:val="24"/>
                <w:szCs w:val="24"/>
                <w:shd w:val="clear" w:color="auto" w:fill="FFFFFF"/>
                <w:lang w:eastAsia="en-GB"/>
              </w:rPr>
              <w:t xml:space="preserve">(ES) Nr. 1305/2013 36 str. 3 d. tarpusavio pagalbos fondas – valstybės narės pagal nacionalinę teisę akredituota ūkininkų, kurie yra fondo nariai, apsidraudimo sistema. </w:t>
            </w:r>
            <w:r w:rsidRPr="00F561BE">
              <w:rPr>
                <w:rFonts w:ascii="Times New Roman" w:hAnsi="Times New Roman" w:cs="Times New Roman"/>
                <w:color w:val="000000" w:themeColor="text1"/>
                <w:sz w:val="24"/>
                <w:szCs w:val="24"/>
              </w:rPr>
              <w:t xml:space="preserve">Reglamento </w:t>
            </w:r>
            <w:r w:rsidRPr="00F561BE">
              <w:rPr>
                <w:rFonts w:ascii="Times New Roman" w:eastAsia="Times New Roman" w:hAnsi="Times New Roman" w:cs="Times New Roman"/>
                <w:color w:val="000000" w:themeColor="text1"/>
                <w:sz w:val="24"/>
                <w:szCs w:val="24"/>
                <w:shd w:val="clear" w:color="auto" w:fill="FFFFFF"/>
                <w:lang w:eastAsia="en-GB"/>
              </w:rPr>
              <w:t xml:space="preserve">(ES) Nr. 1305/2013 39 str. 2 d. reikalauja, kad tarpusavio pagalbos fondas turi būti akredituotas kompetentingos valdžios institucijos pagal nacionalinę teisę. Taigi, </w:t>
            </w:r>
            <w:r w:rsidRPr="00F561BE">
              <w:rPr>
                <w:rFonts w:ascii="Times New Roman" w:eastAsia="Times New Roman" w:hAnsi="Times New Roman" w:cs="Times New Roman"/>
                <w:color w:val="000000" w:themeColor="text1"/>
                <w:sz w:val="24"/>
                <w:szCs w:val="24"/>
                <w:shd w:val="clear" w:color="auto" w:fill="FFFFFF"/>
                <w:lang w:eastAsia="en-GB"/>
              </w:rPr>
              <w:lastRenderedPageBreak/>
              <w:t xml:space="preserve">pagal nurodytas reglamento nuostatas atitiktį nacionalinėje teisėje nustatytoms fondų veiklos sąlygoms turėtų patvirtinti valdžios institucija. Manome, kad Projekto 4 str. dėstoma Įstatymo 9 str. 4 d. nustato akreditacijai nelygiavertes priemones. Tai ypač aktualu vertinant ne tik steigiamo, tačiau ir jau įsteigto fondo atitiktį Įstatyme nustatytiems reikalavimams (pavyzdžiui, dėl narių skaičiaus ar valdymo trūkumų). Projekte turėtų būti sąlygos, kurioms esant kompetentinga priežiūros įstaiga priimtų sprendimą, patvirtinantį </w:t>
            </w:r>
            <w:r w:rsidRPr="00F561BE">
              <w:rPr>
                <w:rFonts w:ascii="Times New Roman" w:hAnsi="Times New Roman" w:cs="Times New Roman"/>
                <w:sz w:val="24"/>
                <w:szCs w:val="24"/>
              </w:rPr>
              <w:t xml:space="preserve">žemės ūkio rizikos valdymo fondo statuso įgijimą, praradimą. </w:t>
            </w:r>
          </w:p>
        </w:tc>
        <w:tc>
          <w:tcPr>
            <w:tcW w:w="5387" w:type="dxa"/>
          </w:tcPr>
          <w:p w14:paraId="769E27C0" w14:textId="5FEEA9E0" w:rsidR="002E37CE" w:rsidRPr="00F561BE" w:rsidRDefault="0000073A" w:rsidP="002E37C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A</w:t>
            </w:r>
            <w:r w:rsidR="00AE498F" w:rsidRPr="00F561BE">
              <w:rPr>
                <w:rFonts w:ascii="Times New Roman" w:hAnsi="Times New Roman" w:cs="Times New Roman"/>
                <w:b/>
                <w:bCs/>
                <w:sz w:val="24"/>
                <w:szCs w:val="24"/>
              </w:rPr>
              <w:t>tsižvelgta</w:t>
            </w:r>
            <w:r w:rsidR="00763F83">
              <w:rPr>
                <w:rFonts w:ascii="Times New Roman" w:hAnsi="Times New Roman" w:cs="Times New Roman"/>
                <w:b/>
                <w:bCs/>
                <w:sz w:val="24"/>
                <w:szCs w:val="24"/>
              </w:rPr>
              <w:t xml:space="preserve"> iš dalies</w:t>
            </w:r>
            <w:r w:rsidR="00E75845">
              <w:rPr>
                <w:rFonts w:ascii="Times New Roman" w:hAnsi="Times New Roman" w:cs="Times New Roman"/>
                <w:b/>
                <w:bCs/>
                <w:sz w:val="24"/>
                <w:szCs w:val="24"/>
              </w:rPr>
              <w:t>.</w:t>
            </w:r>
          </w:p>
          <w:p w14:paraId="6B269967" w14:textId="25B92E0F" w:rsidR="00AE498F" w:rsidRDefault="00AE498F" w:rsidP="002E37CE">
            <w:pPr>
              <w:spacing w:after="0" w:line="240" w:lineRule="auto"/>
              <w:jc w:val="both"/>
              <w:rPr>
                <w:rFonts w:ascii="Times New Roman" w:hAnsi="Times New Roman" w:cs="Times New Roman"/>
                <w:sz w:val="24"/>
                <w:szCs w:val="24"/>
              </w:rPr>
            </w:pPr>
            <w:r w:rsidRPr="00F561BE">
              <w:rPr>
                <w:rFonts w:ascii="Times New Roman" w:hAnsi="Times New Roman" w:cs="Times New Roman"/>
                <w:sz w:val="24"/>
                <w:szCs w:val="24"/>
              </w:rPr>
              <w:t xml:space="preserve">Manome, kad fondų veiklos ir </w:t>
            </w:r>
            <w:r w:rsidR="008B6E4A" w:rsidRPr="00F561BE">
              <w:rPr>
                <w:rFonts w:ascii="Times New Roman" w:hAnsi="Times New Roman" w:cs="Times New Roman"/>
                <w:sz w:val="24"/>
                <w:szCs w:val="24"/>
              </w:rPr>
              <w:t xml:space="preserve">ES </w:t>
            </w:r>
            <w:r w:rsidRPr="00F561BE">
              <w:rPr>
                <w:rFonts w:ascii="Times New Roman" w:hAnsi="Times New Roman" w:cs="Times New Roman"/>
                <w:sz w:val="24"/>
                <w:szCs w:val="24"/>
              </w:rPr>
              <w:t>paramos teikimo sąlygos turėtų būti nustatytos Kaimo plėtros plane ir priemonės įgyvendinimo taisyklėse. Atkreipiame dėmesį, kad šios sąlygos</w:t>
            </w:r>
            <w:r w:rsidR="00DB3FC1">
              <w:rPr>
                <w:rFonts w:ascii="Times New Roman" w:hAnsi="Times New Roman" w:cs="Times New Roman"/>
                <w:sz w:val="24"/>
                <w:szCs w:val="24"/>
              </w:rPr>
              <w:t>,</w:t>
            </w:r>
            <w:r w:rsidRPr="00F561BE">
              <w:rPr>
                <w:rFonts w:ascii="Times New Roman" w:hAnsi="Times New Roman" w:cs="Times New Roman"/>
                <w:sz w:val="24"/>
                <w:szCs w:val="24"/>
              </w:rPr>
              <w:t xml:space="preserve"> k</w:t>
            </w:r>
            <w:r w:rsidR="00DB3FC1">
              <w:rPr>
                <w:rFonts w:ascii="Times New Roman" w:hAnsi="Times New Roman" w:cs="Times New Roman"/>
                <w:sz w:val="24"/>
                <w:szCs w:val="24"/>
              </w:rPr>
              <w:t>e</w:t>
            </w:r>
            <w:r w:rsidRPr="00F561BE">
              <w:rPr>
                <w:rFonts w:ascii="Times New Roman" w:hAnsi="Times New Roman" w:cs="Times New Roman"/>
                <w:sz w:val="24"/>
                <w:szCs w:val="24"/>
              </w:rPr>
              <w:t>ičiantis ekonominei situacijai bei ES reglamentavimui</w:t>
            </w:r>
            <w:r w:rsidR="00DB3FC1">
              <w:rPr>
                <w:rFonts w:ascii="Times New Roman" w:hAnsi="Times New Roman" w:cs="Times New Roman"/>
                <w:sz w:val="24"/>
                <w:szCs w:val="24"/>
              </w:rPr>
              <w:t>,</w:t>
            </w:r>
            <w:r w:rsidRPr="00F561BE">
              <w:rPr>
                <w:rFonts w:ascii="Times New Roman" w:hAnsi="Times New Roman" w:cs="Times New Roman"/>
                <w:sz w:val="24"/>
                <w:szCs w:val="24"/>
              </w:rPr>
              <w:t xml:space="preserve"> gali dažnai keistis, dėl to netikslinga jas nustatyti įstatyme</w:t>
            </w:r>
            <w:r w:rsidR="00EE02C8">
              <w:rPr>
                <w:rFonts w:ascii="Times New Roman" w:hAnsi="Times New Roman" w:cs="Times New Roman"/>
                <w:sz w:val="24"/>
                <w:szCs w:val="24"/>
              </w:rPr>
              <w:t>.</w:t>
            </w:r>
          </w:p>
          <w:p w14:paraId="1FC74010" w14:textId="4C28BAD5" w:rsidR="0000073A" w:rsidRPr="00F561BE" w:rsidRDefault="00977AC6" w:rsidP="00977A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Įstatymo projektą papildome nuostata „</w:t>
            </w:r>
            <w:bookmarkStart w:id="0" w:name="_Hlk36549703"/>
            <w:r w:rsidR="0000073A" w:rsidRPr="0000073A">
              <w:rPr>
                <w:rFonts w:ascii="Times New Roman" w:hAnsi="Times New Roman" w:cs="Times New Roman"/>
                <w:sz w:val="24"/>
                <w:szCs w:val="24"/>
              </w:rPr>
              <w:t>Žemės ūkio rizikos valdymo fond</w:t>
            </w:r>
            <w:r w:rsidR="0000073A">
              <w:rPr>
                <w:rFonts w:ascii="Times New Roman" w:hAnsi="Times New Roman" w:cs="Times New Roman"/>
                <w:sz w:val="24"/>
                <w:szCs w:val="24"/>
              </w:rPr>
              <w:t xml:space="preserve">ui netenkinant </w:t>
            </w:r>
            <w:r w:rsidR="0000073A">
              <w:rPr>
                <w:rFonts w:ascii="Times New Roman" w:hAnsi="Times New Roman" w:cs="Times New Roman"/>
                <w:sz w:val="24"/>
                <w:szCs w:val="24"/>
                <w:lang w:val="en-US"/>
              </w:rPr>
              <w:t>9</w:t>
            </w:r>
            <w:r w:rsidR="0000073A">
              <w:rPr>
                <w:rFonts w:ascii="Times New Roman" w:hAnsi="Times New Roman" w:cs="Times New Roman"/>
                <w:sz w:val="24"/>
                <w:szCs w:val="24"/>
              </w:rPr>
              <w:t xml:space="preserve"> str. </w:t>
            </w:r>
            <w:r w:rsidR="0000073A" w:rsidRPr="0000073A">
              <w:rPr>
                <w:rFonts w:ascii="Times New Roman" w:hAnsi="Times New Roman" w:cs="Times New Roman"/>
                <w:sz w:val="24"/>
                <w:szCs w:val="24"/>
              </w:rPr>
              <w:t xml:space="preserve"> </w:t>
            </w:r>
            <w:r>
              <w:rPr>
                <w:rFonts w:ascii="Times New Roman" w:hAnsi="Times New Roman" w:cs="Times New Roman"/>
                <w:sz w:val="24"/>
                <w:szCs w:val="24"/>
                <w:lang w:val="en-US"/>
              </w:rPr>
              <w:t>4</w:t>
            </w:r>
            <w:r w:rsidR="0000073A">
              <w:rPr>
                <w:rFonts w:ascii="Times New Roman" w:hAnsi="Times New Roman" w:cs="Times New Roman"/>
                <w:sz w:val="24"/>
                <w:szCs w:val="24"/>
              </w:rPr>
              <w:t xml:space="preserve"> </w:t>
            </w:r>
            <w:r w:rsidR="00944D9B">
              <w:rPr>
                <w:rFonts w:ascii="Times New Roman" w:hAnsi="Times New Roman" w:cs="Times New Roman"/>
                <w:sz w:val="24"/>
                <w:szCs w:val="24"/>
              </w:rPr>
              <w:t xml:space="preserve">dalies nustatytas kūrimo sąlygas ir </w:t>
            </w:r>
            <w:r w:rsidR="0000073A" w:rsidRPr="0000073A">
              <w:rPr>
                <w:rFonts w:ascii="Times New Roman" w:hAnsi="Times New Roman" w:cs="Times New Roman"/>
                <w:sz w:val="24"/>
                <w:szCs w:val="24"/>
              </w:rPr>
              <w:t xml:space="preserve"> </w:t>
            </w:r>
            <w:r w:rsidR="00944D9B">
              <w:t xml:space="preserve"> </w:t>
            </w:r>
            <w:r w:rsidR="00944D9B" w:rsidRPr="00944D9B">
              <w:rPr>
                <w:rFonts w:ascii="Times New Roman" w:hAnsi="Times New Roman" w:cs="Times New Roman"/>
                <w:sz w:val="24"/>
                <w:szCs w:val="24"/>
              </w:rPr>
              <w:t>atitik</w:t>
            </w:r>
            <w:r w:rsidR="00DB3FC1">
              <w:rPr>
                <w:rFonts w:ascii="Times New Roman" w:hAnsi="Times New Roman" w:cs="Times New Roman"/>
                <w:sz w:val="24"/>
                <w:szCs w:val="24"/>
              </w:rPr>
              <w:t>ti</w:t>
            </w:r>
            <w:r w:rsidR="00944D9B" w:rsidRPr="00944D9B">
              <w:rPr>
                <w:rFonts w:ascii="Times New Roman" w:hAnsi="Times New Roman" w:cs="Times New Roman"/>
                <w:sz w:val="24"/>
                <w:szCs w:val="24"/>
              </w:rPr>
              <w:t xml:space="preserve"> paramos reikalavimams</w:t>
            </w:r>
            <w:r w:rsidR="00DB3FC1">
              <w:rPr>
                <w:rFonts w:ascii="Times New Roman" w:hAnsi="Times New Roman" w:cs="Times New Roman"/>
                <w:sz w:val="24"/>
                <w:szCs w:val="24"/>
              </w:rPr>
              <w:t>,</w:t>
            </w:r>
            <w:r w:rsidR="00944D9B" w:rsidRPr="00944D9B">
              <w:rPr>
                <w:rFonts w:ascii="Times New Roman" w:hAnsi="Times New Roman" w:cs="Times New Roman"/>
                <w:sz w:val="24"/>
                <w:szCs w:val="24"/>
              </w:rPr>
              <w:t xml:space="preserve"> </w:t>
            </w:r>
            <w:r w:rsidR="007532BB">
              <w:rPr>
                <w:rFonts w:ascii="Times New Roman" w:hAnsi="Times New Roman" w:cs="Times New Roman"/>
                <w:sz w:val="24"/>
                <w:szCs w:val="24"/>
              </w:rPr>
              <w:t xml:space="preserve">parama </w:t>
            </w:r>
            <w:proofErr w:type="gramStart"/>
            <w:r w:rsidR="007532BB">
              <w:rPr>
                <w:rFonts w:ascii="Times New Roman" w:hAnsi="Times New Roman" w:cs="Times New Roman"/>
                <w:sz w:val="24"/>
                <w:szCs w:val="24"/>
              </w:rPr>
              <w:t>neteikiama</w:t>
            </w:r>
            <w:bookmarkEnd w:id="0"/>
            <w:r>
              <w:rPr>
                <w:rFonts w:ascii="Times New Roman" w:hAnsi="Times New Roman" w:cs="Times New Roman"/>
                <w:sz w:val="24"/>
                <w:szCs w:val="24"/>
              </w:rPr>
              <w:t>“</w:t>
            </w:r>
            <w:proofErr w:type="gramEnd"/>
            <w:r>
              <w:rPr>
                <w:rFonts w:ascii="Times New Roman" w:hAnsi="Times New Roman" w:cs="Times New Roman"/>
                <w:sz w:val="24"/>
                <w:szCs w:val="24"/>
              </w:rPr>
              <w:t>.</w:t>
            </w:r>
          </w:p>
        </w:tc>
      </w:tr>
      <w:tr w:rsidR="008055BA" w:rsidRPr="00F561BE" w14:paraId="651CD250" w14:textId="77777777" w:rsidTr="00E75845">
        <w:tc>
          <w:tcPr>
            <w:tcW w:w="846" w:type="dxa"/>
            <w:tcBorders>
              <w:top w:val="nil"/>
            </w:tcBorders>
          </w:tcPr>
          <w:p w14:paraId="41B0C3A6" w14:textId="2884DB6D" w:rsidR="002E37CE" w:rsidRPr="00F561BE" w:rsidRDefault="00B842C7" w:rsidP="002E37C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3</w:t>
            </w:r>
            <w:r w:rsidR="002E37CE" w:rsidRPr="00F561BE">
              <w:rPr>
                <w:rFonts w:ascii="Times New Roman" w:hAnsi="Times New Roman" w:cs="Times New Roman"/>
                <w:sz w:val="24"/>
                <w:szCs w:val="24"/>
              </w:rPr>
              <w:t>.</w:t>
            </w:r>
          </w:p>
        </w:tc>
        <w:tc>
          <w:tcPr>
            <w:tcW w:w="3544" w:type="dxa"/>
            <w:vMerge/>
          </w:tcPr>
          <w:p w14:paraId="354E9258" w14:textId="77777777" w:rsidR="002E37CE" w:rsidRPr="00F561BE" w:rsidRDefault="002E37CE" w:rsidP="002E37CE">
            <w:pPr>
              <w:spacing w:after="0" w:line="240" w:lineRule="auto"/>
              <w:jc w:val="both"/>
              <w:rPr>
                <w:rFonts w:ascii="Times New Roman" w:hAnsi="Times New Roman" w:cs="Times New Roman"/>
                <w:b/>
                <w:sz w:val="24"/>
                <w:szCs w:val="24"/>
              </w:rPr>
            </w:pPr>
          </w:p>
        </w:tc>
        <w:tc>
          <w:tcPr>
            <w:tcW w:w="5386" w:type="dxa"/>
          </w:tcPr>
          <w:p w14:paraId="7C39AEC2" w14:textId="4B91BD4D" w:rsidR="002E37CE" w:rsidRPr="00F561BE" w:rsidRDefault="002E37CE" w:rsidP="002E37CE">
            <w:pPr>
              <w:spacing w:after="0" w:line="240" w:lineRule="auto"/>
              <w:jc w:val="both"/>
              <w:rPr>
                <w:rStyle w:val="Numatytasispastraiposriftas1"/>
                <w:rFonts w:ascii="Times New Roman" w:hAnsi="Times New Roman" w:cs="Times New Roman"/>
                <w:color w:val="000000"/>
                <w:sz w:val="24"/>
                <w:szCs w:val="24"/>
              </w:rPr>
            </w:pPr>
            <w:r w:rsidRPr="00F561BE">
              <w:rPr>
                <w:rFonts w:ascii="Times New Roman" w:hAnsi="Times New Roman" w:cs="Times New Roman"/>
                <w:color w:val="000000" w:themeColor="text1"/>
                <w:sz w:val="24"/>
                <w:szCs w:val="24"/>
              </w:rPr>
              <w:t xml:space="preserve">Reglamento </w:t>
            </w:r>
            <w:r w:rsidRPr="00F561BE">
              <w:rPr>
                <w:rFonts w:ascii="Times New Roman" w:eastAsia="Times New Roman" w:hAnsi="Times New Roman" w:cs="Times New Roman"/>
                <w:color w:val="000000" w:themeColor="text1"/>
                <w:sz w:val="24"/>
                <w:szCs w:val="24"/>
                <w:shd w:val="clear" w:color="auto" w:fill="FFFFFF"/>
                <w:lang w:eastAsia="en-GB"/>
              </w:rPr>
              <w:t xml:space="preserve">(ES) Nr. 1305/2013 39 str. 2 d. b p. reikalauja, kad įmokų į fondą ir išmokų iš jo politika būtų skaidri. Manytina, kad šiuo tikslu Projekto 4 str. keičiamo Įstatymo 9 str. 1 d. 2 p. b p. numatytas reikalavimas fondui turėti administratorių. Vis dėlto, tai nėra pakankama priemonė siekiant užtikrinti skaidrumą. Pirmiausia, skaidrumo reikalavimas turėtų būti keliamas pačiam administratoriui. Šiuo tikslu svarstytina, ar nereikėtų numatyti jo veiklos atskaitomybės, pavyzdžiui, Įstatyme numatant tokią fondo organizacinę struktūrą, pagal kurią fondo dalyvių susirinkimui ar valdybai būtų priskiriama funkcija tvirtinti įmokų ir išmokų ataskaitas. </w:t>
            </w:r>
          </w:p>
        </w:tc>
        <w:tc>
          <w:tcPr>
            <w:tcW w:w="5387" w:type="dxa"/>
          </w:tcPr>
          <w:p w14:paraId="3226E75E" w14:textId="77777777" w:rsidR="002C532C" w:rsidRPr="00B842C7" w:rsidRDefault="002C532C" w:rsidP="002E37CE">
            <w:pPr>
              <w:spacing w:after="0" w:line="240" w:lineRule="auto"/>
              <w:jc w:val="both"/>
              <w:rPr>
                <w:rFonts w:ascii="Times New Roman" w:hAnsi="Times New Roman" w:cs="Times New Roman"/>
                <w:b/>
                <w:sz w:val="24"/>
                <w:szCs w:val="24"/>
              </w:rPr>
            </w:pPr>
            <w:r w:rsidRPr="00B842C7">
              <w:rPr>
                <w:rFonts w:ascii="Times New Roman" w:hAnsi="Times New Roman" w:cs="Times New Roman"/>
                <w:b/>
                <w:sz w:val="24"/>
                <w:szCs w:val="24"/>
              </w:rPr>
              <w:t xml:space="preserve">Neatžvelgta. </w:t>
            </w:r>
          </w:p>
          <w:p w14:paraId="5D035D3D" w14:textId="509CDB0E" w:rsidR="002C532C" w:rsidRPr="00F561BE" w:rsidRDefault="002C532C" w:rsidP="002E37CE">
            <w:pPr>
              <w:spacing w:after="0" w:line="240" w:lineRule="auto"/>
              <w:jc w:val="both"/>
              <w:rPr>
                <w:rFonts w:ascii="Times New Roman" w:hAnsi="Times New Roman" w:cs="Times New Roman"/>
                <w:b/>
                <w:sz w:val="24"/>
                <w:szCs w:val="24"/>
                <w:highlight w:val="yellow"/>
              </w:rPr>
            </w:pPr>
            <w:r w:rsidRPr="00FC104D">
              <w:rPr>
                <w:rFonts w:ascii="Times New Roman" w:hAnsi="Times New Roman" w:cs="Times New Roman"/>
                <w:bCs/>
                <w:sz w:val="24"/>
                <w:szCs w:val="24"/>
              </w:rPr>
              <w:t xml:space="preserve"> </w:t>
            </w:r>
            <w:r w:rsidR="00B842C7">
              <w:rPr>
                <w:rFonts w:ascii="Times New Roman" w:hAnsi="Times New Roman" w:cs="Times New Roman"/>
                <w:bCs/>
                <w:sz w:val="24"/>
                <w:szCs w:val="24"/>
              </w:rPr>
              <w:t>Į</w:t>
            </w:r>
            <w:r w:rsidR="00B87687" w:rsidRPr="00FC104D">
              <w:rPr>
                <w:rFonts w:ascii="Times New Roman" w:hAnsi="Times New Roman" w:cs="Times New Roman"/>
                <w:bCs/>
                <w:sz w:val="24"/>
                <w:szCs w:val="24"/>
              </w:rPr>
              <w:t xml:space="preserve">statymas </w:t>
            </w:r>
            <w:r w:rsidR="00B842C7">
              <w:rPr>
                <w:rFonts w:ascii="Times New Roman" w:hAnsi="Times New Roman" w:cs="Times New Roman"/>
                <w:bCs/>
                <w:sz w:val="24"/>
                <w:szCs w:val="24"/>
              </w:rPr>
              <w:t>a</w:t>
            </w:r>
            <w:r w:rsidR="00B842C7" w:rsidRPr="00FC104D">
              <w:rPr>
                <w:rFonts w:ascii="Times New Roman" w:hAnsi="Times New Roman" w:cs="Times New Roman"/>
                <w:bCs/>
                <w:sz w:val="24"/>
                <w:szCs w:val="24"/>
              </w:rPr>
              <w:t>dministratoriu</w:t>
            </w:r>
            <w:r w:rsidR="00B842C7">
              <w:rPr>
                <w:rFonts w:ascii="Times New Roman" w:hAnsi="Times New Roman" w:cs="Times New Roman"/>
                <w:bCs/>
                <w:sz w:val="24"/>
                <w:szCs w:val="24"/>
              </w:rPr>
              <w:t xml:space="preserve">i </w:t>
            </w:r>
            <w:r w:rsidRPr="00FC104D">
              <w:rPr>
                <w:rFonts w:ascii="Times New Roman" w:hAnsi="Times New Roman" w:cs="Times New Roman"/>
                <w:bCs/>
                <w:sz w:val="24"/>
                <w:szCs w:val="24"/>
              </w:rPr>
              <w:t>nesuteik</w:t>
            </w:r>
            <w:r w:rsidR="00B87687" w:rsidRPr="00FC104D">
              <w:rPr>
                <w:rFonts w:ascii="Times New Roman" w:hAnsi="Times New Roman" w:cs="Times New Roman"/>
                <w:bCs/>
                <w:sz w:val="24"/>
                <w:szCs w:val="24"/>
              </w:rPr>
              <w:t>i</w:t>
            </w:r>
            <w:r w:rsidRPr="00FC104D">
              <w:rPr>
                <w:rFonts w:ascii="Times New Roman" w:hAnsi="Times New Roman" w:cs="Times New Roman"/>
                <w:bCs/>
                <w:sz w:val="24"/>
                <w:szCs w:val="24"/>
              </w:rPr>
              <w:t>a teisė</w:t>
            </w:r>
            <w:r w:rsidR="00B87687" w:rsidRPr="00FC104D">
              <w:rPr>
                <w:rFonts w:ascii="Times New Roman" w:hAnsi="Times New Roman" w:cs="Times New Roman"/>
                <w:bCs/>
                <w:sz w:val="24"/>
                <w:szCs w:val="24"/>
              </w:rPr>
              <w:t>s</w:t>
            </w:r>
            <w:r w:rsidRPr="00FC104D">
              <w:rPr>
                <w:rFonts w:ascii="Times New Roman" w:hAnsi="Times New Roman" w:cs="Times New Roman"/>
                <w:bCs/>
                <w:sz w:val="24"/>
                <w:szCs w:val="24"/>
              </w:rPr>
              <w:t xml:space="preserve"> priimti </w:t>
            </w:r>
            <w:r w:rsidR="00B87687" w:rsidRPr="00FC104D">
              <w:rPr>
                <w:rFonts w:ascii="Times New Roman" w:hAnsi="Times New Roman" w:cs="Times New Roman"/>
                <w:bCs/>
                <w:sz w:val="24"/>
                <w:szCs w:val="24"/>
              </w:rPr>
              <w:t xml:space="preserve">su fondo </w:t>
            </w:r>
            <w:r w:rsidRPr="00FC104D">
              <w:rPr>
                <w:rFonts w:ascii="Times New Roman" w:hAnsi="Times New Roman" w:cs="Times New Roman"/>
                <w:bCs/>
                <w:sz w:val="24"/>
                <w:szCs w:val="24"/>
              </w:rPr>
              <w:t>valdym</w:t>
            </w:r>
            <w:r w:rsidR="00B87687" w:rsidRPr="00FC104D">
              <w:rPr>
                <w:rFonts w:ascii="Times New Roman" w:hAnsi="Times New Roman" w:cs="Times New Roman"/>
                <w:bCs/>
                <w:sz w:val="24"/>
                <w:szCs w:val="24"/>
              </w:rPr>
              <w:t xml:space="preserve">u susijusius </w:t>
            </w:r>
            <w:r w:rsidRPr="00FC104D">
              <w:rPr>
                <w:rFonts w:ascii="Times New Roman" w:hAnsi="Times New Roman" w:cs="Times New Roman"/>
                <w:bCs/>
                <w:sz w:val="24"/>
                <w:szCs w:val="24"/>
              </w:rPr>
              <w:t xml:space="preserve"> sprendimus, taigi visus sprendimus turėtų priimti kolegialus fondo narių valdymo organas</w:t>
            </w:r>
            <w:r w:rsidR="007532BB" w:rsidRPr="00FC104D">
              <w:rPr>
                <w:rFonts w:ascii="Times New Roman" w:hAnsi="Times New Roman" w:cs="Times New Roman"/>
                <w:bCs/>
                <w:sz w:val="24"/>
                <w:szCs w:val="24"/>
              </w:rPr>
              <w:t xml:space="preserve">. Fondo organizacinę struktūrą </w:t>
            </w:r>
            <w:r w:rsidR="00406D01" w:rsidRPr="00FC104D">
              <w:rPr>
                <w:rFonts w:ascii="Times New Roman" w:hAnsi="Times New Roman" w:cs="Times New Roman"/>
                <w:bCs/>
                <w:sz w:val="24"/>
                <w:szCs w:val="24"/>
              </w:rPr>
              <w:t xml:space="preserve">ir kitus su fondu susijusius veiklos pagrindus </w:t>
            </w:r>
            <w:r w:rsidR="007532BB" w:rsidRPr="00FC104D">
              <w:rPr>
                <w:rFonts w:ascii="Times New Roman" w:hAnsi="Times New Roman" w:cs="Times New Roman"/>
                <w:bCs/>
                <w:sz w:val="24"/>
                <w:szCs w:val="24"/>
              </w:rPr>
              <w:t>nustat</w:t>
            </w:r>
            <w:r w:rsidR="00406D01" w:rsidRPr="00FC104D">
              <w:rPr>
                <w:rFonts w:ascii="Times New Roman" w:hAnsi="Times New Roman" w:cs="Times New Roman"/>
                <w:bCs/>
                <w:sz w:val="24"/>
                <w:szCs w:val="24"/>
              </w:rPr>
              <w:t>ys</w:t>
            </w:r>
            <w:r w:rsidR="007532BB" w:rsidRPr="00FC104D">
              <w:rPr>
                <w:rFonts w:ascii="Times New Roman" w:hAnsi="Times New Roman" w:cs="Times New Roman"/>
                <w:bCs/>
                <w:sz w:val="24"/>
                <w:szCs w:val="24"/>
              </w:rPr>
              <w:t xml:space="preserve"> jo įstatai</w:t>
            </w:r>
            <w:r w:rsidR="007532BB" w:rsidRPr="00FC104D">
              <w:rPr>
                <w:rFonts w:ascii="Times New Roman" w:hAnsi="Times New Roman" w:cs="Times New Roman"/>
                <w:b/>
                <w:sz w:val="24"/>
                <w:szCs w:val="24"/>
              </w:rPr>
              <w:t>.</w:t>
            </w:r>
          </w:p>
        </w:tc>
      </w:tr>
      <w:tr w:rsidR="008055BA" w:rsidRPr="00F561BE" w14:paraId="073480CE" w14:textId="77777777" w:rsidTr="00E75845">
        <w:tc>
          <w:tcPr>
            <w:tcW w:w="846" w:type="dxa"/>
          </w:tcPr>
          <w:p w14:paraId="7FD71AB0" w14:textId="0BE2A843" w:rsidR="002E37CE" w:rsidRPr="00F561BE" w:rsidRDefault="00B842C7" w:rsidP="002E37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2E37CE" w:rsidRPr="00F561BE">
              <w:rPr>
                <w:rFonts w:ascii="Times New Roman" w:hAnsi="Times New Roman" w:cs="Times New Roman"/>
                <w:sz w:val="24"/>
                <w:szCs w:val="24"/>
              </w:rPr>
              <w:t>.</w:t>
            </w:r>
          </w:p>
        </w:tc>
        <w:tc>
          <w:tcPr>
            <w:tcW w:w="3544" w:type="dxa"/>
            <w:vMerge w:val="restart"/>
          </w:tcPr>
          <w:p w14:paraId="3619D094" w14:textId="76609AAA" w:rsidR="002E37CE" w:rsidRPr="00F561BE" w:rsidRDefault="002E37CE" w:rsidP="002E37CE">
            <w:pPr>
              <w:spacing w:after="0" w:line="240" w:lineRule="auto"/>
              <w:jc w:val="both"/>
              <w:rPr>
                <w:rFonts w:ascii="Times New Roman" w:hAnsi="Times New Roman" w:cs="Times New Roman"/>
                <w:sz w:val="24"/>
                <w:szCs w:val="24"/>
              </w:rPr>
            </w:pPr>
            <w:r w:rsidRPr="00F561BE">
              <w:rPr>
                <w:rFonts w:ascii="Times New Roman" w:hAnsi="Times New Roman" w:cs="Times New Roman"/>
                <w:sz w:val="24"/>
                <w:szCs w:val="24"/>
              </w:rPr>
              <w:t xml:space="preserve"> </w:t>
            </w:r>
          </w:p>
          <w:p w14:paraId="17639FA0" w14:textId="77777777" w:rsidR="002E37CE" w:rsidRPr="00F561BE" w:rsidRDefault="002E37CE" w:rsidP="002E37CE">
            <w:pPr>
              <w:spacing w:after="0" w:line="240" w:lineRule="auto"/>
              <w:jc w:val="both"/>
              <w:rPr>
                <w:rFonts w:ascii="Times New Roman" w:hAnsi="Times New Roman" w:cs="Times New Roman"/>
                <w:sz w:val="24"/>
                <w:szCs w:val="24"/>
              </w:rPr>
            </w:pPr>
          </w:p>
        </w:tc>
        <w:tc>
          <w:tcPr>
            <w:tcW w:w="5386" w:type="dxa"/>
          </w:tcPr>
          <w:p w14:paraId="750746DF" w14:textId="02D8976E" w:rsidR="002E37CE" w:rsidRPr="00F561BE" w:rsidRDefault="002E37CE" w:rsidP="002C532C">
            <w:pPr>
              <w:spacing w:after="0" w:line="240" w:lineRule="auto"/>
              <w:contextualSpacing/>
              <w:jc w:val="both"/>
              <w:rPr>
                <w:rStyle w:val="FontStyle16"/>
                <w:rFonts w:ascii="Times New Roman" w:eastAsiaTheme="minorEastAsia" w:hAnsi="Times New Roman" w:cs="Times New Roman"/>
                <w:sz w:val="24"/>
                <w:szCs w:val="24"/>
                <w:lang w:eastAsia="lt-LT"/>
              </w:rPr>
            </w:pPr>
            <w:r w:rsidRPr="00F561BE">
              <w:rPr>
                <w:rFonts w:ascii="Times New Roman" w:hAnsi="Times New Roman" w:cs="Times New Roman"/>
                <w:color w:val="000000" w:themeColor="text1"/>
                <w:sz w:val="24"/>
                <w:szCs w:val="24"/>
              </w:rPr>
              <w:t xml:space="preserve">Reikėtų atkreipti dėmesį į tai, kad Reglamento </w:t>
            </w:r>
            <w:r w:rsidRPr="00F561BE">
              <w:rPr>
                <w:rFonts w:ascii="Times New Roman" w:eastAsia="Times New Roman" w:hAnsi="Times New Roman" w:cs="Times New Roman"/>
                <w:color w:val="000000" w:themeColor="text1"/>
                <w:sz w:val="24"/>
                <w:szCs w:val="24"/>
                <w:shd w:val="clear" w:color="auto" w:fill="FFFFFF"/>
                <w:lang w:eastAsia="en-GB"/>
              </w:rPr>
              <w:t xml:space="preserve">(ES) Nr. 1305/2013 39 str. 3 d. nustato pareigą būtent valstybėms narėms apibrėžti tarpusavio pagalbos fondų sukūrimo ir valdymo taisykles. Šiuo požiūriu, Projektas nustato sukūrimo sąlygas, tačiau palieka visišką laisvę patiems fondams nustatyti valdymo klausimus. Manome, kad būtent Įstatyme ar kituose teisės aktuose turėtų atsirasti imperatyvūs valstybės institucijų nustatyti reikalavimai fondų valdymui, </w:t>
            </w:r>
            <w:r w:rsidRPr="00F561BE">
              <w:rPr>
                <w:rFonts w:ascii="Times New Roman" w:eastAsia="Times New Roman" w:hAnsi="Times New Roman" w:cs="Times New Roman"/>
                <w:color w:val="000000" w:themeColor="text1"/>
                <w:sz w:val="24"/>
                <w:szCs w:val="24"/>
                <w:shd w:val="clear" w:color="auto" w:fill="FFFFFF"/>
                <w:lang w:eastAsia="en-GB"/>
              </w:rPr>
              <w:lastRenderedPageBreak/>
              <w:t xml:space="preserve">ypač kalbant apie </w:t>
            </w:r>
            <w:r w:rsidRPr="00F561BE">
              <w:rPr>
                <w:rFonts w:ascii="Times New Roman" w:hAnsi="Times New Roman" w:cs="Times New Roman"/>
                <w:color w:val="000000" w:themeColor="text1"/>
                <w:sz w:val="24"/>
                <w:szCs w:val="24"/>
              </w:rPr>
              <w:t xml:space="preserve">Reglamento </w:t>
            </w:r>
            <w:r w:rsidRPr="00F561BE">
              <w:rPr>
                <w:rFonts w:ascii="Times New Roman" w:eastAsia="Times New Roman" w:hAnsi="Times New Roman" w:cs="Times New Roman"/>
                <w:color w:val="000000" w:themeColor="text1"/>
                <w:sz w:val="24"/>
                <w:szCs w:val="24"/>
                <w:shd w:val="clear" w:color="auto" w:fill="FFFFFF"/>
                <w:lang w:eastAsia="en-GB"/>
              </w:rPr>
              <w:t xml:space="preserve">(ES) Nr. 1305/2013 39 str. 3 d. nurodytas taisykles, </w:t>
            </w:r>
            <w:r w:rsidRPr="00F561BE">
              <w:rPr>
                <w:rFonts w:ascii="Times New Roman" w:hAnsi="Times New Roman" w:cs="Times New Roman"/>
                <w:color w:val="000000" w:themeColor="text1"/>
                <w:sz w:val="24"/>
                <w:szCs w:val="24"/>
                <w:shd w:val="clear" w:color="auto" w:fill="FFFFFF"/>
              </w:rPr>
              <w:t>susijusias su kompensacinių išmokų ūkininkams krizių atveju skyrimu ir su tokių taisyklių laikymosi administravimu bei stebėsena.</w:t>
            </w:r>
          </w:p>
        </w:tc>
        <w:tc>
          <w:tcPr>
            <w:tcW w:w="5387" w:type="dxa"/>
          </w:tcPr>
          <w:p w14:paraId="3336CF53" w14:textId="092AA2BD" w:rsidR="002E37CE" w:rsidRPr="00F561BE" w:rsidRDefault="002E37CE" w:rsidP="002E37CE">
            <w:pPr>
              <w:spacing w:after="0" w:line="240" w:lineRule="auto"/>
              <w:jc w:val="both"/>
              <w:rPr>
                <w:rStyle w:val="FontStyle16"/>
                <w:rFonts w:ascii="Times New Roman" w:eastAsiaTheme="minorEastAsia" w:hAnsi="Times New Roman" w:cs="Times New Roman"/>
                <w:b/>
                <w:bCs/>
                <w:sz w:val="24"/>
                <w:szCs w:val="24"/>
                <w:lang w:eastAsia="lt-LT"/>
              </w:rPr>
            </w:pPr>
            <w:r w:rsidRPr="00F561BE">
              <w:rPr>
                <w:rStyle w:val="FontStyle16"/>
                <w:rFonts w:ascii="Times New Roman" w:eastAsiaTheme="minorEastAsia" w:hAnsi="Times New Roman" w:cs="Times New Roman"/>
                <w:b/>
                <w:bCs/>
                <w:sz w:val="24"/>
                <w:szCs w:val="24"/>
                <w:lang w:eastAsia="lt-LT"/>
              </w:rPr>
              <w:lastRenderedPageBreak/>
              <w:t>Neatsižvelgta.</w:t>
            </w:r>
          </w:p>
          <w:p w14:paraId="43B1ECCD" w14:textId="2C8C934F" w:rsidR="00B87687" w:rsidRPr="00F561BE" w:rsidRDefault="00B87687" w:rsidP="002E37CE">
            <w:pPr>
              <w:spacing w:after="0" w:line="240" w:lineRule="auto"/>
              <w:jc w:val="both"/>
              <w:rPr>
                <w:rStyle w:val="FontStyle16"/>
                <w:rFonts w:ascii="Times New Roman" w:eastAsiaTheme="minorEastAsia" w:hAnsi="Times New Roman" w:cs="Times New Roman"/>
                <w:b/>
                <w:bCs/>
                <w:sz w:val="24"/>
                <w:szCs w:val="24"/>
                <w:lang w:eastAsia="lt-LT"/>
              </w:rPr>
            </w:pPr>
            <w:r w:rsidRPr="00F561BE">
              <w:rPr>
                <w:rStyle w:val="FontStyle16"/>
                <w:rFonts w:ascii="Times New Roman" w:eastAsiaTheme="minorEastAsia" w:hAnsi="Times New Roman" w:cs="Times New Roman"/>
                <w:bCs/>
                <w:sz w:val="24"/>
                <w:szCs w:val="24"/>
                <w:lang w:eastAsia="lt-LT"/>
              </w:rPr>
              <w:t>Kompensacinių išmokų, kaip ir visos kitos žemės ūkio subjektams skiriamos paramos, tvarka ir sąlygos nustatomos  su ES Komisija suderintame Kaimo plėtros plane bei įgyvendina</w:t>
            </w:r>
            <w:r w:rsidR="00DB3FC1">
              <w:rPr>
                <w:rStyle w:val="FontStyle16"/>
                <w:rFonts w:ascii="Times New Roman" w:eastAsiaTheme="minorEastAsia" w:hAnsi="Times New Roman" w:cs="Times New Roman"/>
                <w:bCs/>
                <w:sz w:val="24"/>
                <w:szCs w:val="24"/>
                <w:lang w:eastAsia="lt-LT"/>
              </w:rPr>
              <w:t xml:space="preserve">mosiose </w:t>
            </w:r>
            <w:r w:rsidRPr="00F561BE">
              <w:rPr>
                <w:rStyle w:val="FontStyle16"/>
                <w:rFonts w:ascii="Times New Roman" w:eastAsiaTheme="minorEastAsia" w:hAnsi="Times New Roman" w:cs="Times New Roman"/>
                <w:bCs/>
                <w:sz w:val="24"/>
                <w:szCs w:val="24"/>
                <w:lang w:eastAsia="lt-LT"/>
              </w:rPr>
              <w:t xml:space="preserve"> </w:t>
            </w:r>
            <w:r w:rsidRPr="00EE02C8">
              <w:rPr>
                <w:rStyle w:val="FontStyle16"/>
                <w:rFonts w:ascii="Times New Roman" w:eastAsiaTheme="minorEastAsia" w:hAnsi="Times New Roman" w:cs="Times New Roman"/>
                <w:bCs/>
                <w:sz w:val="24"/>
                <w:szCs w:val="24"/>
                <w:lang w:eastAsia="lt-LT"/>
              </w:rPr>
              <w:t xml:space="preserve">taisyklėse. </w:t>
            </w:r>
            <w:r w:rsidR="00B47ED9" w:rsidRPr="00EE02C8">
              <w:rPr>
                <w:rStyle w:val="FontStyle16"/>
                <w:rFonts w:ascii="Times New Roman" w:eastAsiaTheme="minorEastAsia" w:hAnsi="Times New Roman" w:cs="Times New Roman"/>
                <w:bCs/>
                <w:sz w:val="24"/>
                <w:szCs w:val="24"/>
                <w:lang w:eastAsia="lt-LT"/>
              </w:rPr>
              <w:t xml:space="preserve">Visų KPP priemonių administravimui </w:t>
            </w:r>
            <w:r w:rsidR="00B842C7" w:rsidRPr="00EE02C8">
              <w:rPr>
                <w:rStyle w:val="FontStyle16"/>
                <w:rFonts w:ascii="Times New Roman" w:eastAsiaTheme="minorEastAsia" w:hAnsi="Times New Roman" w:cs="Times New Roman"/>
                <w:bCs/>
                <w:sz w:val="24"/>
                <w:szCs w:val="24"/>
                <w:lang w:eastAsia="lt-LT"/>
              </w:rPr>
              <w:t>t</w:t>
            </w:r>
            <w:r w:rsidR="00B842C7" w:rsidRPr="00EE02C8">
              <w:rPr>
                <w:rStyle w:val="FontStyle16"/>
                <w:rFonts w:ascii="Times New Roman" w:eastAsiaTheme="minorEastAsia" w:hAnsi="Times New Roman" w:cs="Times New Roman"/>
                <w:sz w:val="24"/>
                <w:szCs w:val="24"/>
                <w:lang w:eastAsia="lt-LT"/>
              </w:rPr>
              <w:t>aikomos</w:t>
            </w:r>
            <w:r w:rsidR="00B842C7">
              <w:rPr>
                <w:rStyle w:val="FontStyle16"/>
                <w:rFonts w:eastAsiaTheme="minorEastAsia"/>
                <w:lang w:eastAsia="lt-LT"/>
              </w:rPr>
              <w:t xml:space="preserve"> </w:t>
            </w:r>
            <w:r w:rsidR="00B47ED9" w:rsidRPr="00F561BE">
              <w:rPr>
                <w:rStyle w:val="FontStyle16"/>
                <w:rFonts w:ascii="Times New Roman" w:eastAsiaTheme="minorEastAsia" w:hAnsi="Times New Roman" w:cs="Times New Roman"/>
                <w:bCs/>
                <w:sz w:val="24"/>
                <w:szCs w:val="24"/>
                <w:lang w:eastAsia="lt-LT"/>
              </w:rPr>
              <w:t xml:space="preserve">vieningos taisyklės. </w:t>
            </w:r>
            <w:r w:rsidRPr="00F561BE">
              <w:rPr>
                <w:rStyle w:val="FontStyle16"/>
                <w:rFonts w:ascii="Times New Roman" w:eastAsiaTheme="minorEastAsia" w:hAnsi="Times New Roman" w:cs="Times New Roman"/>
                <w:bCs/>
                <w:sz w:val="24"/>
                <w:szCs w:val="24"/>
                <w:lang w:eastAsia="lt-LT"/>
              </w:rPr>
              <w:t>Visiškai netikslinga</w:t>
            </w:r>
            <w:r w:rsidR="00B47ED9" w:rsidRPr="00F561BE">
              <w:rPr>
                <w:rStyle w:val="FontStyle16"/>
                <w:rFonts w:ascii="Times New Roman" w:eastAsiaTheme="minorEastAsia" w:hAnsi="Times New Roman" w:cs="Times New Roman"/>
                <w:bCs/>
                <w:sz w:val="24"/>
                <w:szCs w:val="24"/>
                <w:lang w:eastAsia="lt-LT"/>
              </w:rPr>
              <w:t xml:space="preserve"> vienos priemonės taisykles ir priemonės administravimą apibrėžti įstatyme</w:t>
            </w:r>
          </w:p>
          <w:p w14:paraId="50FFFA5C" w14:textId="4C0B1FEF" w:rsidR="002E37CE" w:rsidRPr="00F561BE" w:rsidRDefault="002E37CE" w:rsidP="002E37CE">
            <w:pPr>
              <w:spacing w:after="0" w:line="240" w:lineRule="auto"/>
              <w:jc w:val="both"/>
              <w:rPr>
                <w:rStyle w:val="FontStyle16"/>
                <w:rFonts w:ascii="Times New Roman" w:eastAsiaTheme="minorEastAsia" w:hAnsi="Times New Roman" w:cs="Times New Roman"/>
                <w:sz w:val="24"/>
                <w:szCs w:val="24"/>
                <w:lang w:eastAsia="lt-LT"/>
              </w:rPr>
            </w:pPr>
          </w:p>
        </w:tc>
      </w:tr>
      <w:tr w:rsidR="008055BA" w:rsidRPr="00F561BE" w14:paraId="74930A0E" w14:textId="77777777" w:rsidTr="00E75845">
        <w:tc>
          <w:tcPr>
            <w:tcW w:w="846" w:type="dxa"/>
          </w:tcPr>
          <w:p w14:paraId="5B85565B" w14:textId="115DC6A5" w:rsidR="002E37CE" w:rsidRPr="00F561BE" w:rsidRDefault="00B842C7" w:rsidP="002E37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2E37CE" w:rsidRPr="00F561BE">
              <w:rPr>
                <w:rFonts w:ascii="Times New Roman" w:hAnsi="Times New Roman" w:cs="Times New Roman"/>
                <w:sz w:val="24"/>
                <w:szCs w:val="24"/>
              </w:rPr>
              <w:t>.</w:t>
            </w:r>
          </w:p>
        </w:tc>
        <w:tc>
          <w:tcPr>
            <w:tcW w:w="3544" w:type="dxa"/>
            <w:vMerge/>
          </w:tcPr>
          <w:p w14:paraId="254ECF94" w14:textId="77777777" w:rsidR="002E37CE" w:rsidRPr="00F561BE" w:rsidRDefault="002E37CE" w:rsidP="002E37CE">
            <w:pPr>
              <w:spacing w:after="0" w:line="240" w:lineRule="auto"/>
              <w:jc w:val="both"/>
              <w:rPr>
                <w:rFonts w:ascii="Times New Roman" w:hAnsi="Times New Roman" w:cs="Times New Roman"/>
                <w:sz w:val="24"/>
                <w:szCs w:val="24"/>
              </w:rPr>
            </w:pPr>
          </w:p>
        </w:tc>
        <w:tc>
          <w:tcPr>
            <w:tcW w:w="5386" w:type="dxa"/>
          </w:tcPr>
          <w:p w14:paraId="5B7E3788" w14:textId="7872B28D" w:rsidR="002E37CE" w:rsidRPr="00F561BE" w:rsidRDefault="002E37CE" w:rsidP="002E37CE">
            <w:pPr>
              <w:pStyle w:val="Style5"/>
              <w:widowControl/>
              <w:tabs>
                <w:tab w:val="left" w:pos="1426"/>
              </w:tabs>
              <w:spacing w:before="230" w:line="283" w:lineRule="exact"/>
              <w:ind w:right="29" w:firstLine="0"/>
              <w:rPr>
                <w:rStyle w:val="FontStyle16"/>
                <w:rFonts w:ascii="Times New Roman" w:hAnsi="Times New Roman" w:cs="Times New Roman"/>
                <w:sz w:val="24"/>
                <w:szCs w:val="24"/>
              </w:rPr>
            </w:pPr>
            <w:r w:rsidRPr="00F561BE">
              <w:rPr>
                <w:rFonts w:ascii="Times New Roman" w:eastAsia="Times New Roman" w:hAnsi="Times New Roman" w:cs="Times New Roman"/>
                <w:color w:val="000000" w:themeColor="text1"/>
                <w:shd w:val="clear" w:color="auto" w:fill="FFFFFF"/>
                <w:lang w:eastAsia="en-GB"/>
              </w:rPr>
              <w:t xml:space="preserve">Lieka neaišku, kodėl </w:t>
            </w:r>
            <w:r w:rsidRPr="00F561BE">
              <w:rPr>
                <w:rFonts w:ascii="Times New Roman" w:hAnsi="Times New Roman" w:cs="Times New Roman"/>
                <w:color w:val="000000" w:themeColor="text1"/>
              </w:rPr>
              <w:t>Projekto</w:t>
            </w:r>
            <w:r w:rsidRPr="00F561BE">
              <w:rPr>
                <w:rFonts w:ascii="Times New Roman" w:eastAsia="Times New Roman" w:hAnsi="Times New Roman" w:cs="Times New Roman"/>
                <w:color w:val="000000" w:themeColor="text1"/>
                <w:shd w:val="clear" w:color="auto" w:fill="FFFFFF"/>
                <w:lang w:eastAsia="en-GB"/>
              </w:rPr>
              <w:t xml:space="preserve"> 4 str. keičiamo Įstatymo 9 str. 6 d. leidžia finansuoti iki 70 procentų prarastų pajamų, kai </w:t>
            </w:r>
            <w:r w:rsidRPr="00F561BE">
              <w:rPr>
                <w:rFonts w:ascii="Times New Roman" w:hAnsi="Times New Roman" w:cs="Times New Roman"/>
                <w:color w:val="000000" w:themeColor="text1"/>
              </w:rPr>
              <w:t xml:space="preserve">Reglamento </w:t>
            </w:r>
            <w:r w:rsidRPr="00F561BE">
              <w:rPr>
                <w:rFonts w:ascii="Times New Roman" w:eastAsia="Times New Roman" w:hAnsi="Times New Roman" w:cs="Times New Roman"/>
                <w:color w:val="000000" w:themeColor="text1"/>
                <w:shd w:val="clear" w:color="auto" w:fill="FFFFFF"/>
                <w:lang w:eastAsia="en-GB"/>
              </w:rPr>
              <w:t xml:space="preserve">(ES) Nr. 1305/2013 39 str. 5 d., ją skaitant kartu su reglamento II priedu, nurodo galimybę finansuoti iki 65 procentų. </w:t>
            </w:r>
          </w:p>
        </w:tc>
        <w:tc>
          <w:tcPr>
            <w:tcW w:w="5387" w:type="dxa"/>
          </w:tcPr>
          <w:p w14:paraId="7F27B0BF" w14:textId="77777777" w:rsidR="002F5A2B" w:rsidRDefault="00FE67CB" w:rsidP="002E37CE">
            <w:pPr>
              <w:spacing w:after="0" w:line="240" w:lineRule="auto"/>
              <w:jc w:val="both"/>
              <w:rPr>
                <w:rStyle w:val="FontStyle16"/>
                <w:rFonts w:ascii="Times New Roman" w:eastAsiaTheme="minorEastAsia" w:hAnsi="Times New Roman" w:cs="Times New Roman"/>
                <w:sz w:val="24"/>
                <w:szCs w:val="24"/>
                <w:lang w:eastAsia="lt-LT"/>
              </w:rPr>
            </w:pPr>
            <w:r w:rsidRPr="00FC104D">
              <w:rPr>
                <w:rStyle w:val="FontStyle16"/>
                <w:rFonts w:ascii="Times New Roman" w:eastAsiaTheme="minorEastAsia" w:hAnsi="Times New Roman" w:cs="Times New Roman"/>
                <w:b/>
                <w:bCs/>
                <w:sz w:val="24"/>
                <w:szCs w:val="24"/>
                <w:lang w:eastAsia="lt-LT"/>
              </w:rPr>
              <w:t>Neatsižvelgta.</w:t>
            </w:r>
            <w:r w:rsidRPr="00FC104D">
              <w:rPr>
                <w:rStyle w:val="FontStyle16"/>
                <w:rFonts w:ascii="Times New Roman" w:eastAsiaTheme="minorEastAsia" w:hAnsi="Times New Roman" w:cs="Times New Roman"/>
                <w:sz w:val="24"/>
                <w:szCs w:val="24"/>
                <w:lang w:eastAsia="lt-LT"/>
              </w:rPr>
              <w:t xml:space="preserve"> </w:t>
            </w:r>
          </w:p>
          <w:p w14:paraId="3910D152" w14:textId="7533E9CA" w:rsidR="002E37CE" w:rsidRPr="00FC104D" w:rsidRDefault="005E624D" w:rsidP="002E37CE">
            <w:pPr>
              <w:spacing w:after="0" w:line="240" w:lineRule="auto"/>
              <w:jc w:val="both"/>
              <w:rPr>
                <w:rStyle w:val="FontStyle16"/>
                <w:rFonts w:ascii="Times New Roman" w:eastAsiaTheme="minorEastAsia" w:hAnsi="Times New Roman" w:cs="Times New Roman"/>
                <w:sz w:val="24"/>
                <w:szCs w:val="24"/>
                <w:lang w:eastAsia="lt-LT"/>
              </w:rPr>
            </w:pPr>
            <w:r w:rsidRPr="00FE67CB">
              <w:rPr>
                <w:rStyle w:val="FontStyle16"/>
                <w:rFonts w:ascii="Times New Roman" w:eastAsiaTheme="minorEastAsia" w:hAnsi="Times New Roman" w:cs="Times New Roman"/>
                <w:sz w:val="24"/>
                <w:szCs w:val="24"/>
                <w:lang w:eastAsia="lt-LT"/>
              </w:rPr>
              <w:t>Reglamento (ES) Nr. 1305/2013 39 str. 1 d.  nu</w:t>
            </w:r>
            <w:r w:rsidR="00932286" w:rsidRPr="002F5A2B">
              <w:rPr>
                <w:rStyle w:val="FontStyle16"/>
                <w:rFonts w:ascii="Times New Roman" w:eastAsiaTheme="minorEastAsia" w:hAnsi="Times New Roman" w:cs="Times New Roman"/>
                <w:sz w:val="24"/>
                <w:szCs w:val="24"/>
                <w:lang w:eastAsia="lt-LT"/>
              </w:rPr>
              <w:t>mato</w:t>
            </w:r>
            <w:r w:rsidRPr="00712F0B">
              <w:rPr>
                <w:rStyle w:val="FontStyle16"/>
                <w:rFonts w:ascii="Times New Roman" w:eastAsiaTheme="minorEastAsia" w:hAnsi="Times New Roman" w:cs="Times New Roman"/>
                <w:sz w:val="24"/>
                <w:szCs w:val="24"/>
                <w:lang w:eastAsia="lt-LT"/>
              </w:rPr>
              <w:t xml:space="preserve"> galimybę finansuoti iki 70 proc</w:t>
            </w:r>
            <w:r w:rsidR="00DB3FC1">
              <w:rPr>
                <w:rStyle w:val="FontStyle16"/>
                <w:rFonts w:ascii="Times New Roman" w:eastAsiaTheme="minorEastAsia" w:hAnsi="Times New Roman" w:cs="Times New Roman"/>
                <w:sz w:val="24"/>
                <w:szCs w:val="24"/>
                <w:lang w:eastAsia="lt-LT"/>
              </w:rPr>
              <w:t>.</w:t>
            </w:r>
            <w:r w:rsidR="004126A8" w:rsidRPr="00712F0B">
              <w:rPr>
                <w:rStyle w:val="FontStyle16"/>
                <w:rFonts w:ascii="Times New Roman" w:eastAsiaTheme="minorEastAsia" w:hAnsi="Times New Roman" w:cs="Times New Roman"/>
                <w:color w:val="C00000"/>
                <w:sz w:val="24"/>
                <w:szCs w:val="24"/>
                <w:lang w:eastAsia="lt-LT"/>
              </w:rPr>
              <w:t xml:space="preserve"> </w:t>
            </w:r>
            <w:r w:rsidR="004126A8" w:rsidRPr="00FC104D">
              <w:rPr>
                <w:rStyle w:val="FontStyle16"/>
                <w:rFonts w:ascii="Times New Roman" w:eastAsiaTheme="minorEastAsia" w:hAnsi="Times New Roman" w:cs="Times New Roman"/>
                <w:sz w:val="24"/>
                <w:szCs w:val="24"/>
                <w:lang w:eastAsia="lt-LT"/>
              </w:rPr>
              <w:t xml:space="preserve">(pataisa įsigaliojo </w:t>
            </w:r>
            <w:r w:rsidR="004126A8" w:rsidRPr="00FC104D">
              <w:rPr>
                <w:rStyle w:val="FontStyle16"/>
                <w:rFonts w:ascii="Times New Roman" w:eastAsiaTheme="minorEastAsia" w:hAnsi="Times New Roman" w:cs="Times New Roman"/>
                <w:sz w:val="24"/>
                <w:szCs w:val="24"/>
                <w:lang w:val="en-US" w:eastAsia="lt-LT"/>
              </w:rPr>
              <w:t xml:space="preserve">2019 m. </w:t>
            </w:r>
            <w:proofErr w:type="spellStart"/>
            <w:r w:rsidR="004126A8" w:rsidRPr="00FC104D">
              <w:rPr>
                <w:rStyle w:val="FontStyle16"/>
                <w:rFonts w:ascii="Times New Roman" w:eastAsiaTheme="minorEastAsia" w:hAnsi="Times New Roman" w:cs="Times New Roman"/>
                <w:sz w:val="24"/>
                <w:szCs w:val="24"/>
                <w:lang w:val="en-US" w:eastAsia="lt-LT"/>
              </w:rPr>
              <w:t>sausio</w:t>
            </w:r>
            <w:proofErr w:type="spellEnd"/>
            <w:r w:rsidR="004126A8" w:rsidRPr="00B842C7">
              <w:rPr>
                <w:rStyle w:val="FontStyle16"/>
                <w:rFonts w:ascii="Times New Roman" w:eastAsiaTheme="minorEastAsia" w:hAnsi="Times New Roman" w:cs="Times New Roman"/>
                <w:sz w:val="24"/>
                <w:szCs w:val="24"/>
                <w:lang w:val="en-US" w:eastAsia="lt-LT"/>
              </w:rPr>
              <w:t xml:space="preserve"> 1</w:t>
            </w:r>
            <w:r w:rsidR="00B842C7">
              <w:rPr>
                <w:rStyle w:val="FontStyle16"/>
                <w:rFonts w:ascii="Times New Roman" w:eastAsiaTheme="minorEastAsia" w:hAnsi="Times New Roman" w:cs="Times New Roman"/>
                <w:sz w:val="24"/>
                <w:szCs w:val="24"/>
                <w:lang w:val="en-US" w:eastAsia="lt-LT"/>
              </w:rPr>
              <w:t xml:space="preserve"> </w:t>
            </w:r>
            <w:r w:rsidR="004126A8" w:rsidRPr="00FC104D">
              <w:rPr>
                <w:rStyle w:val="FontStyle16"/>
                <w:rFonts w:ascii="Times New Roman" w:eastAsiaTheme="minorEastAsia" w:hAnsi="Times New Roman" w:cs="Times New Roman"/>
                <w:sz w:val="24"/>
                <w:szCs w:val="24"/>
                <w:lang w:val="en-US" w:eastAsia="lt-LT"/>
              </w:rPr>
              <w:t xml:space="preserve">d. </w:t>
            </w:r>
            <w:r w:rsidR="00DB3FC1">
              <w:rPr>
                <w:rStyle w:val="FontStyle16"/>
                <w:rFonts w:ascii="Times New Roman" w:eastAsiaTheme="minorEastAsia" w:hAnsi="Times New Roman" w:cs="Times New Roman"/>
                <w:sz w:val="24"/>
                <w:szCs w:val="24"/>
                <w:lang w:val="en-US" w:eastAsia="lt-LT"/>
              </w:rPr>
              <w:t>„</w:t>
            </w:r>
            <w:proofErr w:type="spellStart"/>
            <w:r w:rsidR="004126A8" w:rsidRPr="00FC104D">
              <w:rPr>
                <w:rStyle w:val="FontStyle16"/>
                <w:rFonts w:ascii="Times New Roman" w:eastAsiaTheme="minorEastAsia" w:hAnsi="Times New Roman" w:cs="Times New Roman"/>
                <w:sz w:val="24"/>
                <w:szCs w:val="24"/>
                <w:lang w:eastAsia="lt-LT"/>
              </w:rPr>
              <w:t>Omnibus</w:t>
            </w:r>
            <w:proofErr w:type="spellEnd"/>
            <w:r w:rsidR="004126A8" w:rsidRPr="00FC104D">
              <w:rPr>
                <w:rStyle w:val="FontStyle16"/>
                <w:rFonts w:ascii="Times New Roman" w:eastAsiaTheme="minorEastAsia" w:hAnsi="Times New Roman" w:cs="Times New Roman"/>
                <w:sz w:val="24"/>
                <w:szCs w:val="24"/>
                <w:lang w:eastAsia="lt-LT"/>
              </w:rPr>
              <w:t xml:space="preserve"> </w:t>
            </w:r>
            <w:proofErr w:type="gramStart"/>
            <w:r w:rsidR="004126A8" w:rsidRPr="00FC104D">
              <w:rPr>
                <w:rStyle w:val="FontStyle16"/>
                <w:rFonts w:ascii="Times New Roman" w:eastAsiaTheme="minorEastAsia" w:hAnsi="Times New Roman" w:cs="Times New Roman"/>
                <w:sz w:val="24"/>
                <w:szCs w:val="24"/>
                <w:lang w:eastAsia="lt-LT"/>
              </w:rPr>
              <w:t>reglamentas“</w:t>
            </w:r>
            <w:proofErr w:type="gramEnd"/>
            <w:r w:rsidR="004126A8" w:rsidRPr="00FC104D">
              <w:rPr>
                <w:rStyle w:val="FontStyle16"/>
                <w:rFonts w:ascii="Times New Roman" w:eastAsiaTheme="minorEastAsia" w:hAnsi="Times New Roman" w:cs="Times New Roman"/>
                <w:sz w:val="24"/>
                <w:szCs w:val="24"/>
                <w:lang w:eastAsia="lt-LT"/>
              </w:rPr>
              <w:t>)</w:t>
            </w:r>
          </w:p>
          <w:p w14:paraId="14254349" w14:textId="09E40731" w:rsidR="005E624D" w:rsidRPr="00F561BE" w:rsidRDefault="005E624D" w:rsidP="002E37CE">
            <w:pPr>
              <w:spacing w:after="0" w:line="240" w:lineRule="auto"/>
              <w:jc w:val="both"/>
              <w:rPr>
                <w:rStyle w:val="FontStyle16"/>
                <w:rFonts w:ascii="Times New Roman" w:eastAsiaTheme="minorEastAsia" w:hAnsi="Times New Roman" w:cs="Times New Roman"/>
                <w:sz w:val="24"/>
                <w:szCs w:val="24"/>
                <w:lang w:eastAsia="lt-LT"/>
              </w:rPr>
            </w:pPr>
            <w:r w:rsidRPr="00FE67CB">
              <w:rPr>
                <w:rStyle w:val="FontStyle16"/>
                <w:rFonts w:ascii="Times New Roman" w:eastAsiaTheme="minorEastAsia" w:hAnsi="Times New Roman" w:cs="Times New Roman"/>
                <w:sz w:val="24"/>
                <w:szCs w:val="24"/>
                <w:lang w:eastAsia="lt-LT"/>
              </w:rPr>
              <w:t>(„Iš tarpusavio pagalbos fondo ūkininkams mokamomis išmokomis kompensuojama mažiau kaip 70 % pajamų, prarastų tais metais, kuriais gamintojas įgyja teisę gauti šią pagalbą“)</w:t>
            </w:r>
            <w:r w:rsidRPr="00F561BE">
              <w:rPr>
                <w:rStyle w:val="FontStyle16"/>
                <w:rFonts w:ascii="Times New Roman" w:eastAsiaTheme="minorEastAsia" w:hAnsi="Times New Roman" w:cs="Times New Roman"/>
                <w:sz w:val="24"/>
                <w:szCs w:val="24"/>
                <w:lang w:eastAsia="lt-LT"/>
              </w:rPr>
              <w:t xml:space="preserve"> </w:t>
            </w:r>
          </w:p>
        </w:tc>
      </w:tr>
      <w:tr w:rsidR="008055BA" w:rsidRPr="00F561BE" w14:paraId="0F08ED90" w14:textId="77777777" w:rsidTr="00E75845">
        <w:tc>
          <w:tcPr>
            <w:tcW w:w="846" w:type="dxa"/>
          </w:tcPr>
          <w:p w14:paraId="6DAA6F79" w14:textId="559A532D" w:rsidR="002E37CE" w:rsidRPr="00F561BE" w:rsidRDefault="00B842C7" w:rsidP="002E37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2E37CE" w:rsidRPr="00F561BE">
              <w:rPr>
                <w:rFonts w:ascii="Times New Roman" w:hAnsi="Times New Roman" w:cs="Times New Roman"/>
                <w:sz w:val="24"/>
                <w:szCs w:val="24"/>
              </w:rPr>
              <w:t>.</w:t>
            </w:r>
          </w:p>
        </w:tc>
        <w:tc>
          <w:tcPr>
            <w:tcW w:w="3544" w:type="dxa"/>
            <w:vMerge/>
          </w:tcPr>
          <w:p w14:paraId="3E837190" w14:textId="77777777" w:rsidR="002E37CE" w:rsidRPr="00F561BE" w:rsidRDefault="002E37CE" w:rsidP="002E37CE">
            <w:pPr>
              <w:spacing w:after="0" w:line="240" w:lineRule="auto"/>
              <w:jc w:val="both"/>
              <w:rPr>
                <w:rFonts w:ascii="Times New Roman" w:hAnsi="Times New Roman" w:cs="Times New Roman"/>
                <w:sz w:val="24"/>
                <w:szCs w:val="24"/>
              </w:rPr>
            </w:pPr>
          </w:p>
        </w:tc>
        <w:tc>
          <w:tcPr>
            <w:tcW w:w="5386" w:type="dxa"/>
          </w:tcPr>
          <w:p w14:paraId="53A87DD9" w14:textId="143D0DCB" w:rsidR="002E37CE" w:rsidRPr="00F561BE" w:rsidRDefault="002E37CE" w:rsidP="002E37CE">
            <w:pPr>
              <w:pStyle w:val="Style5"/>
              <w:widowControl/>
              <w:tabs>
                <w:tab w:val="left" w:pos="1426"/>
              </w:tabs>
              <w:spacing w:before="230" w:line="283" w:lineRule="exact"/>
              <w:ind w:right="29" w:firstLine="0"/>
              <w:rPr>
                <w:rStyle w:val="FontStyle16"/>
                <w:rFonts w:ascii="Times New Roman" w:hAnsi="Times New Roman" w:cs="Times New Roman"/>
                <w:sz w:val="24"/>
                <w:szCs w:val="24"/>
              </w:rPr>
            </w:pPr>
            <w:r w:rsidRPr="00F561BE">
              <w:rPr>
                <w:rFonts w:ascii="Times New Roman" w:hAnsi="Times New Roman" w:cs="Times New Roman"/>
                <w:color w:val="000000" w:themeColor="text1"/>
              </w:rPr>
              <w:t xml:space="preserve">Siekiant apsaugoti valstybės ir Sąjungos finansinius interesus siūlome įvertinti, ar nereikėtų Įstatyme numatyti išmokų viršutinių ribų ar ribų atitinkamam vienetui. Bet kuriuo atveju, Įstatyme iš viso nėra taisyklių dėl valstybės prisiimamų įsipareigojimų ir jų apimties. Projekte turėtų būti detalizuota, kaip valstybės parama bus paskirstoma tarp fondų (įvertinant, pavyzdžiui, tai, kad poreikis gali būti didesnis nei valstybės finansinės galimybės; eiliškumas) ir kokia apimtimi (pavyzdžiui, ar viešojo įnašo į fondą dalis priklausys nuo fondo dalyvių įnašo dalies; intensyvumas). </w:t>
            </w:r>
          </w:p>
        </w:tc>
        <w:tc>
          <w:tcPr>
            <w:tcW w:w="5387" w:type="dxa"/>
          </w:tcPr>
          <w:p w14:paraId="27F42C4C" w14:textId="16C50A55" w:rsidR="002F5A2B" w:rsidRPr="00FC104D" w:rsidRDefault="002F5A2B" w:rsidP="002E37CE">
            <w:pPr>
              <w:spacing w:after="0" w:line="240" w:lineRule="auto"/>
              <w:jc w:val="both"/>
              <w:rPr>
                <w:rFonts w:ascii="Times New Roman" w:hAnsi="Times New Roman" w:cs="Times New Roman"/>
                <w:b/>
                <w:bCs/>
                <w:sz w:val="24"/>
                <w:szCs w:val="24"/>
              </w:rPr>
            </w:pPr>
            <w:r w:rsidRPr="00FC104D">
              <w:rPr>
                <w:rFonts w:ascii="Times New Roman" w:hAnsi="Times New Roman" w:cs="Times New Roman"/>
                <w:b/>
                <w:bCs/>
                <w:sz w:val="24"/>
                <w:szCs w:val="24"/>
              </w:rPr>
              <w:t>Nea</w:t>
            </w:r>
            <w:r>
              <w:rPr>
                <w:rFonts w:ascii="Times New Roman" w:hAnsi="Times New Roman" w:cs="Times New Roman"/>
                <w:b/>
                <w:bCs/>
                <w:sz w:val="24"/>
                <w:szCs w:val="24"/>
              </w:rPr>
              <w:t>t</w:t>
            </w:r>
            <w:r w:rsidRPr="00FC104D">
              <w:rPr>
                <w:rFonts w:ascii="Times New Roman" w:hAnsi="Times New Roman" w:cs="Times New Roman"/>
                <w:b/>
                <w:bCs/>
                <w:sz w:val="24"/>
                <w:szCs w:val="24"/>
              </w:rPr>
              <w:t xml:space="preserve">sižvelgta. </w:t>
            </w:r>
          </w:p>
          <w:p w14:paraId="599BD305" w14:textId="639CEBB5" w:rsidR="002E37CE" w:rsidRPr="00F561BE" w:rsidRDefault="00490DA8" w:rsidP="002E37CE">
            <w:pPr>
              <w:spacing w:after="0" w:line="240" w:lineRule="auto"/>
              <w:jc w:val="both"/>
              <w:rPr>
                <w:rFonts w:ascii="Times New Roman" w:hAnsi="Times New Roman" w:cs="Times New Roman"/>
                <w:sz w:val="24"/>
                <w:szCs w:val="24"/>
              </w:rPr>
            </w:pPr>
            <w:r w:rsidRPr="00F561BE">
              <w:rPr>
                <w:rFonts w:ascii="Times New Roman" w:hAnsi="Times New Roman" w:cs="Times New Roman"/>
                <w:sz w:val="24"/>
                <w:szCs w:val="24"/>
              </w:rPr>
              <w:t>Reglamentas numato galimybę numatyti išmokų viršutin</w:t>
            </w:r>
            <w:r w:rsidR="00DB3FC1">
              <w:rPr>
                <w:rFonts w:ascii="Times New Roman" w:hAnsi="Times New Roman" w:cs="Times New Roman"/>
                <w:sz w:val="24"/>
                <w:szCs w:val="24"/>
              </w:rPr>
              <w:t>es</w:t>
            </w:r>
            <w:r w:rsidRPr="00F561BE">
              <w:rPr>
                <w:rFonts w:ascii="Times New Roman" w:hAnsi="Times New Roman" w:cs="Times New Roman"/>
                <w:sz w:val="24"/>
                <w:szCs w:val="24"/>
              </w:rPr>
              <w:t xml:space="preserve"> ribas ar ribas atitinkamam vienetui.  </w:t>
            </w:r>
            <w:r w:rsidR="00E56837" w:rsidRPr="00F561BE">
              <w:rPr>
                <w:rFonts w:ascii="Times New Roman" w:hAnsi="Times New Roman" w:cs="Times New Roman"/>
                <w:sz w:val="24"/>
                <w:szCs w:val="24"/>
              </w:rPr>
              <w:t>Paramos teikimo sąlygos ir reikalavimai</w:t>
            </w:r>
            <w:r w:rsidRPr="00F561BE">
              <w:rPr>
                <w:rFonts w:ascii="Times New Roman" w:hAnsi="Times New Roman" w:cs="Times New Roman"/>
                <w:sz w:val="24"/>
                <w:szCs w:val="24"/>
              </w:rPr>
              <w:t xml:space="preserve">, atsižvelgiant į finansines galimybes, </w:t>
            </w:r>
            <w:r w:rsidR="00E56837" w:rsidRPr="00F561BE">
              <w:rPr>
                <w:rFonts w:ascii="Times New Roman" w:hAnsi="Times New Roman" w:cs="Times New Roman"/>
                <w:sz w:val="24"/>
                <w:szCs w:val="24"/>
              </w:rPr>
              <w:t xml:space="preserve"> nustatomi Kaimo plėtros programoje, kuri derinama su ES Komisija. Detalūs reika</w:t>
            </w:r>
            <w:r w:rsidRPr="00F561BE">
              <w:rPr>
                <w:rFonts w:ascii="Times New Roman" w:hAnsi="Times New Roman" w:cs="Times New Roman"/>
                <w:sz w:val="24"/>
                <w:szCs w:val="24"/>
              </w:rPr>
              <w:t xml:space="preserve">lavimai </w:t>
            </w:r>
            <w:r w:rsidR="004126A8">
              <w:rPr>
                <w:rFonts w:ascii="Times New Roman" w:hAnsi="Times New Roman" w:cs="Times New Roman"/>
                <w:sz w:val="24"/>
                <w:szCs w:val="24"/>
              </w:rPr>
              <w:t>nustatomi Žemės ūkio ministerijos patvirtintose</w:t>
            </w:r>
            <w:r w:rsidRPr="00F561BE">
              <w:rPr>
                <w:rFonts w:ascii="Times New Roman" w:hAnsi="Times New Roman" w:cs="Times New Roman"/>
                <w:sz w:val="24"/>
                <w:szCs w:val="24"/>
              </w:rPr>
              <w:t xml:space="preserve"> priemonės įgyvendinimo taisyklėse</w:t>
            </w:r>
          </w:p>
          <w:p w14:paraId="01F0D430" w14:textId="4FEE9FD5" w:rsidR="007734CA" w:rsidRPr="00F561BE" w:rsidRDefault="007734CA" w:rsidP="002E37CE">
            <w:pPr>
              <w:spacing w:after="0" w:line="240" w:lineRule="auto"/>
              <w:jc w:val="both"/>
              <w:rPr>
                <w:rStyle w:val="FontStyle16"/>
                <w:rFonts w:ascii="Times New Roman" w:eastAsiaTheme="minorEastAsia" w:hAnsi="Times New Roman" w:cs="Times New Roman"/>
                <w:b/>
                <w:bCs/>
                <w:sz w:val="24"/>
                <w:szCs w:val="24"/>
                <w:lang w:eastAsia="lt-LT"/>
              </w:rPr>
            </w:pPr>
          </w:p>
        </w:tc>
      </w:tr>
      <w:tr w:rsidR="008055BA" w:rsidRPr="00F561BE" w14:paraId="4E58E3CD" w14:textId="77777777" w:rsidTr="00E75845">
        <w:tc>
          <w:tcPr>
            <w:tcW w:w="846" w:type="dxa"/>
          </w:tcPr>
          <w:p w14:paraId="09FBD017" w14:textId="546B03FD" w:rsidR="002E37CE" w:rsidRPr="00F561BE" w:rsidRDefault="00B842C7" w:rsidP="002E37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2E37CE" w:rsidRPr="00F561BE">
              <w:rPr>
                <w:rFonts w:ascii="Times New Roman" w:hAnsi="Times New Roman" w:cs="Times New Roman"/>
                <w:sz w:val="24"/>
                <w:szCs w:val="24"/>
              </w:rPr>
              <w:t>.</w:t>
            </w:r>
          </w:p>
        </w:tc>
        <w:tc>
          <w:tcPr>
            <w:tcW w:w="3544" w:type="dxa"/>
            <w:vMerge/>
          </w:tcPr>
          <w:p w14:paraId="1C6AB6F5" w14:textId="77777777" w:rsidR="002E37CE" w:rsidRPr="00F561BE" w:rsidRDefault="002E37CE" w:rsidP="002E37CE">
            <w:pPr>
              <w:spacing w:after="0" w:line="240" w:lineRule="auto"/>
              <w:jc w:val="both"/>
              <w:rPr>
                <w:rFonts w:ascii="Times New Roman" w:hAnsi="Times New Roman" w:cs="Times New Roman"/>
                <w:sz w:val="24"/>
                <w:szCs w:val="24"/>
              </w:rPr>
            </w:pPr>
          </w:p>
        </w:tc>
        <w:tc>
          <w:tcPr>
            <w:tcW w:w="5386" w:type="dxa"/>
          </w:tcPr>
          <w:p w14:paraId="44F99C1C" w14:textId="0C9C54F5" w:rsidR="002E37CE" w:rsidRPr="00F561BE" w:rsidRDefault="002E37CE" w:rsidP="002E37CE">
            <w:pPr>
              <w:pStyle w:val="Style5"/>
              <w:widowControl/>
              <w:tabs>
                <w:tab w:val="left" w:pos="1426"/>
              </w:tabs>
              <w:spacing w:before="230" w:line="283" w:lineRule="exact"/>
              <w:ind w:right="29" w:firstLine="0"/>
              <w:rPr>
                <w:rStyle w:val="FontStyle16"/>
                <w:rFonts w:ascii="Times New Roman" w:hAnsi="Times New Roman" w:cs="Times New Roman"/>
                <w:sz w:val="24"/>
                <w:szCs w:val="24"/>
              </w:rPr>
            </w:pPr>
            <w:r w:rsidRPr="00F561BE">
              <w:rPr>
                <w:rFonts w:ascii="Times New Roman" w:hAnsi="Times New Roman" w:cs="Times New Roman"/>
                <w:color w:val="000000" w:themeColor="text1"/>
              </w:rPr>
              <w:t xml:space="preserve">Atsižvelgiant į tai, kad </w:t>
            </w:r>
            <w:r w:rsidRPr="00F561BE">
              <w:rPr>
                <w:rFonts w:ascii="Times New Roman" w:eastAsia="Times New Roman" w:hAnsi="Times New Roman" w:cs="Times New Roman"/>
                <w:color w:val="000000" w:themeColor="text1"/>
                <w:shd w:val="clear" w:color="auto" w:fill="FFFFFF"/>
                <w:lang w:eastAsia="en-GB"/>
              </w:rPr>
              <w:t>Projekto 4 str. keičiamo Įstatymo 9 str. 1 d. 2 p. c p. leidžia fondams patiems apibrėžti taisykles dėl prarastų pajamų apskaičiavimo, kyla klausimas, kas, kokiu būdu ir pagal kokias taisykles vertins šiuos skaičiavimus. Taip pat, kokiu būdu bus priimami sprendimai dėl paramos fondams apimties, atsižvelgiant į minėtus skaičiavimus.</w:t>
            </w:r>
          </w:p>
        </w:tc>
        <w:tc>
          <w:tcPr>
            <w:tcW w:w="5387" w:type="dxa"/>
          </w:tcPr>
          <w:p w14:paraId="20BB305B" w14:textId="77777777" w:rsidR="00712F0B" w:rsidRPr="00FC104D" w:rsidRDefault="00712F0B" w:rsidP="002E37CE">
            <w:pPr>
              <w:spacing w:after="0" w:line="240" w:lineRule="auto"/>
              <w:jc w:val="both"/>
              <w:rPr>
                <w:rStyle w:val="FontStyle16"/>
                <w:rFonts w:ascii="Times New Roman" w:eastAsiaTheme="minorEastAsia" w:hAnsi="Times New Roman" w:cs="Times New Roman"/>
                <w:b/>
                <w:bCs/>
                <w:sz w:val="24"/>
                <w:szCs w:val="24"/>
                <w:lang w:eastAsia="lt-LT"/>
              </w:rPr>
            </w:pPr>
            <w:r w:rsidRPr="00FC104D">
              <w:rPr>
                <w:rStyle w:val="FontStyle16"/>
                <w:rFonts w:ascii="Times New Roman" w:eastAsiaTheme="minorEastAsia" w:hAnsi="Times New Roman" w:cs="Times New Roman"/>
                <w:b/>
                <w:bCs/>
                <w:sz w:val="24"/>
                <w:szCs w:val="24"/>
                <w:lang w:eastAsia="lt-LT"/>
              </w:rPr>
              <w:t xml:space="preserve">Neatsižvelgta. </w:t>
            </w:r>
          </w:p>
          <w:p w14:paraId="36E6C679" w14:textId="62C0FD1D" w:rsidR="002E37CE" w:rsidRPr="00F561BE" w:rsidRDefault="007734CA" w:rsidP="002E37CE">
            <w:pPr>
              <w:spacing w:after="0" w:line="240" w:lineRule="auto"/>
              <w:jc w:val="both"/>
              <w:rPr>
                <w:rStyle w:val="FontStyle16"/>
                <w:rFonts w:ascii="Times New Roman" w:eastAsiaTheme="minorEastAsia" w:hAnsi="Times New Roman" w:cs="Times New Roman"/>
                <w:sz w:val="24"/>
                <w:szCs w:val="24"/>
                <w:lang w:eastAsia="lt-LT"/>
              </w:rPr>
            </w:pPr>
            <w:r w:rsidRPr="00F561BE">
              <w:rPr>
                <w:rStyle w:val="FontStyle16"/>
                <w:rFonts w:ascii="Times New Roman" w:eastAsiaTheme="minorEastAsia" w:hAnsi="Times New Roman" w:cs="Times New Roman"/>
                <w:sz w:val="24"/>
                <w:szCs w:val="24"/>
                <w:lang w:eastAsia="lt-LT"/>
              </w:rPr>
              <w:t xml:space="preserve">Atitiktį nustatytoms taisyklėms (vertindama paraiškas) kontroliuoja </w:t>
            </w:r>
            <w:r w:rsidR="005E624D" w:rsidRPr="00F561BE">
              <w:rPr>
                <w:rStyle w:val="FontStyle16"/>
                <w:rFonts w:ascii="Times New Roman" w:eastAsiaTheme="minorEastAsia" w:hAnsi="Times New Roman" w:cs="Times New Roman"/>
                <w:sz w:val="24"/>
                <w:szCs w:val="24"/>
                <w:lang w:eastAsia="lt-LT"/>
              </w:rPr>
              <w:t xml:space="preserve">9 str. </w:t>
            </w:r>
            <w:r w:rsidR="00490DA8" w:rsidRPr="00F561BE">
              <w:rPr>
                <w:rStyle w:val="FontStyle16"/>
                <w:rFonts w:ascii="Times New Roman" w:eastAsiaTheme="minorEastAsia" w:hAnsi="Times New Roman" w:cs="Times New Roman"/>
                <w:sz w:val="24"/>
                <w:szCs w:val="24"/>
                <w:lang w:eastAsia="lt-LT"/>
              </w:rPr>
              <w:t>4 punkte numatyta institucija</w:t>
            </w:r>
            <w:r w:rsidR="002E37CE" w:rsidRPr="00F561BE">
              <w:rPr>
                <w:rStyle w:val="FontStyle16"/>
                <w:rFonts w:ascii="Times New Roman" w:eastAsiaTheme="minorEastAsia" w:hAnsi="Times New Roman" w:cs="Times New Roman"/>
                <w:sz w:val="24"/>
                <w:szCs w:val="24"/>
                <w:lang w:eastAsia="lt-LT"/>
              </w:rPr>
              <w:t>.</w:t>
            </w:r>
            <w:r w:rsidRPr="00F561BE">
              <w:rPr>
                <w:rStyle w:val="FontStyle16"/>
                <w:rFonts w:ascii="Times New Roman" w:eastAsiaTheme="minorEastAsia" w:hAnsi="Times New Roman" w:cs="Times New Roman"/>
                <w:sz w:val="24"/>
                <w:szCs w:val="24"/>
                <w:lang w:eastAsia="lt-LT"/>
              </w:rPr>
              <w:t xml:space="preserve"> Ši institucija </w:t>
            </w:r>
            <w:r w:rsidR="009174FD">
              <w:rPr>
                <w:rStyle w:val="FontStyle16"/>
                <w:rFonts w:ascii="Times New Roman" w:eastAsiaTheme="minorEastAsia" w:hAnsi="Times New Roman" w:cs="Times New Roman"/>
                <w:sz w:val="24"/>
                <w:szCs w:val="24"/>
                <w:lang w:eastAsia="lt-LT"/>
              </w:rPr>
              <w:t>Ž</w:t>
            </w:r>
            <w:r w:rsidR="004126A8">
              <w:rPr>
                <w:rStyle w:val="FontStyle16"/>
                <w:rFonts w:ascii="Times New Roman" w:eastAsiaTheme="minorEastAsia" w:hAnsi="Times New Roman" w:cs="Times New Roman"/>
                <w:sz w:val="24"/>
                <w:szCs w:val="24"/>
                <w:lang w:eastAsia="lt-LT"/>
              </w:rPr>
              <w:t>emės ūkio ministerijos</w:t>
            </w:r>
            <w:r w:rsidR="009174FD">
              <w:rPr>
                <w:rStyle w:val="FontStyle16"/>
                <w:rFonts w:eastAsiaTheme="minorEastAsia"/>
                <w:lang w:eastAsia="lt-LT"/>
              </w:rPr>
              <w:t xml:space="preserve"> </w:t>
            </w:r>
            <w:r w:rsidRPr="00F561BE">
              <w:rPr>
                <w:rStyle w:val="FontStyle16"/>
                <w:rFonts w:ascii="Times New Roman" w:eastAsiaTheme="minorEastAsia" w:hAnsi="Times New Roman" w:cs="Times New Roman"/>
                <w:sz w:val="24"/>
                <w:szCs w:val="24"/>
                <w:lang w:eastAsia="lt-LT"/>
              </w:rPr>
              <w:t>nustatyta tvarka priima sprendimus dėl paramos skyrimo</w:t>
            </w:r>
            <w:r w:rsidR="004126A8">
              <w:rPr>
                <w:rStyle w:val="FontStyle16"/>
                <w:rFonts w:ascii="Times New Roman" w:eastAsiaTheme="minorEastAsia" w:hAnsi="Times New Roman" w:cs="Times New Roman"/>
                <w:sz w:val="24"/>
                <w:szCs w:val="24"/>
                <w:lang w:eastAsia="lt-LT"/>
              </w:rPr>
              <w:t xml:space="preserve"> ir jos apimties</w:t>
            </w:r>
            <w:r w:rsidR="00932286">
              <w:rPr>
                <w:rStyle w:val="FontStyle16"/>
                <w:rFonts w:ascii="Times New Roman" w:eastAsiaTheme="minorEastAsia" w:hAnsi="Times New Roman" w:cs="Times New Roman"/>
                <w:sz w:val="24"/>
                <w:szCs w:val="24"/>
                <w:lang w:eastAsia="lt-LT"/>
              </w:rPr>
              <w:t>, kontroliuoja projekto įgyvendinimą.</w:t>
            </w:r>
          </w:p>
        </w:tc>
      </w:tr>
      <w:tr w:rsidR="00E23256" w:rsidRPr="00F561BE" w14:paraId="18C55CDF" w14:textId="77777777" w:rsidTr="00E75845">
        <w:tc>
          <w:tcPr>
            <w:tcW w:w="846" w:type="dxa"/>
          </w:tcPr>
          <w:p w14:paraId="131BE5ED" w14:textId="46A71401" w:rsidR="00E23256" w:rsidRDefault="00E23256" w:rsidP="002E37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3544" w:type="dxa"/>
          </w:tcPr>
          <w:p w14:paraId="49C73C46" w14:textId="77777777" w:rsidR="00E23256" w:rsidRDefault="00E23256" w:rsidP="002E37CE">
            <w:pPr>
              <w:spacing w:after="0" w:line="240" w:lineRule="auto"/>
              <w:jc w:val="both"/>
              <w:rPr>
                <w:rFonts w:ascii="Times New Roman" w:hAnsi="Times New Roman"/>
                <w:szCs w:val="24"/>
              </w:rPr>
            </w:pPr>
            <w:r>
              <w:rPr>
                <w:rFonts w:ascii="Times New Roman" w:hAnsi="Times New Roman"/>
                <w:szCs w:val="24"/>
              </w:rPr>
              <w:t>Nacionalinė mokėjimo agentūra prie Žemės ūkio ministerijos</w:t>
            </w:r>
          </w:p>
          <w:p w14:paraId="30506DE5" w14:textId="61B27AA1" w:rsidR="00866BA5" w:rsidRPr="00F561BE" w:rsidRDefault="00866BA5" w:rsidP="002E37CE">
            <w:pPr>
              <w:spacing w:after="0" w:line="240" w:lineRule="auto"/>
              <w:jc w:val="both"/>
              <w:rPr>
                <w:rFonts w:ascii="Times New Roman" w:hAnsi="Times New Roman" w:cs="Times New Roman"/>
                <w:sz w:val="24"/>
                <w:szCs w:val="24"/>
              </w:rPr>
            </w:pPr>
            <w:r w:rsidRPr="00866BA5">
              <w:rPr>
                <w:rFonts w:ascii="Times New Roman" w:hAnsi="Times New Roman" w:cs="Times New Roman"/>
                <w:sz w:val="24"/>
                <w:szCs w:val="24"/>
              </w:rPr>
              <w:t>2020-03-19</w:t>
            </w:r>
            <w:r>
              <w:rPr>
                <w:rFonts w:ascii="Times New Roman" w:hAnsi="Times New Roman" w:cs="Times New Roman"/>
                <w:sz w:val="24"/>
                <w:szCs w:val="24"/>
              </w:rPr>
              <w:t xml:space="preserve"> raštas Nr. </w:t>
            </w:r>
            <w:r w:rsidRPr="00866BA5">
              <w:rPr>
                <w:rFonts w:ascii="Times New Roman" w:hAnsi="Times New Roman" w:cs="Times New Roman"/>
                <w:sz w:val="24"/>
                <w:szCs w:val="24"/>
              </w:rPr>
              <w:t>BRK-1094</w:t>
            </w:r>
          </w:p>
        </w:tc>
        <w:tc>
          <w:tcPr>
            <w:tcW w:w="5386" w:type="dxa"/>
          </w:tcPr>
          <w:p w14:paraId="1894B7E5" w14:textId="1DDD1C4F" w:rsidR="00E23256" w:rsidRPr="00224B0B" w:rsidRDefault="00866BA5" w:rsidP="002E37CE">
            <w:pPr>
              <w:pStyle w:val="Style5"/>
              <w:widowControl/>
              <w:tabs>
                <w:tab w:val="left" w:pos="1426"/>
              </w:tabs>
              <w:spacing w:before="230" w:line="283" w:lineRule="exact"/>
              <w:ind w:right="29" w:firstLine="0"/>
              <w:rPr>
                <w:rFonts w:ascii="Times New Roman" w:hAnsi="Times New Roman" w:cs="Times New Roman"/>
                <w:color w:val="000000" w:themeColor="text1"/>
              </w:rPr>
            </w:pPr>
            <w:r w:rsidRPr="00224B0B">
              <w:rPr>
                <w:rFonts w:ascii="Times New Roman" w:hAnsi="Times New Roman" w:cs="Times New Roman"/>
                <w:spacing w:val="-2"/>
              </w:rPr>
              <w:t>Papildyti Lietuvos Respublikos žemės ūkio, maisto ūkio ir kaimo plėtros įstatymą nuostata, kuria būtų įtvirtinta, kad NMA priimami sprendimai dėl skolos susigrąžinimo būtų prilyginti vykdomajam dokumentui (Lietuvos Respublikos civilinio proceso kodekso 587 straipsnio 10 dalis).</w:t>
            </w:r>
          </w:p>
        </w:tc>
        <w:tc>
          <w:tcPr>
            <w:tcW w:w="5387" w:type="dxa"/>
          </w:tcPr>
          <w:p w14:paraId="27B37853" w14:textId="77777777" w:rsidR="00224B0B" w:rsidRPr="00224B0B" w:rsidRDefault="00224B0B" w:rsidP="00224B0B">
            <w:pPr>
              <w:spacing w:after="0" w:line="240" w:lineRule="auto"/>
              <w:jc w:val="both"/>
              <w:rPr>
                <w:rStyle w:val="FontStyle16"/>
                <w:rFonts w:ascii="Times New Roman" w:eastAsiaTheme="minorEastAsia" w:hAnsi="Times New Roman" w:cs="Times New Roman"/>
                <w:b/>
                <w:bCs/>
                <w:sz w:val="24"/>
                <w:szCs w:val="24"/>
                <w:lang w:eastAsia="lt-LT"/>
              </w:rPr>
            </w:pPr>
            <w:r w:rsidRPr="00224B0B">
              <w:rPr>
                <w:rStyle w:val="FontStyle16"/>
                <w:rFonts w:ascii="Times New Roman" w:eastAsiaTheme="minorEastAsia" w:hAnsi="Times New Roman" w:cs="Times New Roman"/>
                <w:b/>
                <w:bCs/>
                <w:sz w:val="24"/>
                <w:szCs w:val="24"/>
                <w:lang w:eastAsia="lt-LT"/>
              </w:rPr>
              <w:t xml:space="preserve">Neatsižvelgta. </w:t>
            </w:r>
          </w:p>
          <w:p w14:paraId="75157D1B" w14:textId="0E040E86" w:rsidR="00224B0B" w:rsidRPr="00224B0B" w:rsidRDefault="00224B0B" w:rsidP="002E37CE">
            <w:pPr>
              <w:spacing w:after="0" w:line="240" w:lineRule="auto"/>
              <w:jc w:val="both"/>
              <w:rPr>
                <w:rFonts w:ascii="Times New Roman" w:hAnsi="Times New Roman" w:cs="Times New Roman"/>
                <w:sz w:val="24"/>
                <w:szCs w:val="24"/>
                <w:lang w:eastAsia="lt-LT"/>
              </w:rPr>
            </w:pPr>
            <w:r w:rsidRPr="00224B0B">
              <w:rPr>
                <w:rFonts w:ascii="Times New Roman" w:hAnsi="Times New Roman" w:cs="Times New Roman"/>
                <w:sz w:val="24"/>
                <w:szCs w:val="24"/>
                <w:lang w:eastAsia="lt-LT"/>
              </w:rPr>
              <w:t>Valstybėje yra vieninga grąžintinų lėšų, susijusių su parama iš visų ES fondų</w:t>
            </w:r>
            <w:r w:rsidR="00DB3FC1">
              <w:rPr>
                <w:rFonts w:ascii="Times New Roman" w:hAnsi="Times New Roman" w:cs="Times New Roman"/>
                <w:sz w:val="24"/>
                <w:szCs w:val="24"/>
                <w:lang w:eastAsia="lt-LT"/>
              </w:rPr>
              <w:t>,</w:t>
            </w:r>
            <w:r w:rsidRPr="00224B0B">
              <w:rPr>
                <w:rFonts w:ascii="Times New Roman" w:hAnsi="Times New Roman" w:cs="Times New Roman"/>
                <w:sz w:val="24"/>
                <w:szCs w:val="24"/>
                <w:lang w:eastAsia="lt-LT"/>
              </w:rPr>
              <w:t xml:space="preserve">  išieškoma tvarka – kreipiantis į teismą. Nustatyti kitokią tvarką atskiroms ES paramą administruojančioms institucijoms, ministerijos nuomone, būtų ydinga. </w:t>
            </w:r>
          </w:p>
          <w:p w14:paraId="1C5F8D88" w14:textId="43A3C80D" w:rsidR="00E23256" w:rsidRPr="00224B0B" w:rsidRDefault="00224B0B" w:rsidP="002E37CE">
            <w:pPr>
              <w:spacing w:after="0" w:line="240" w:lineRule="auto"/>
              <w:jc w:val="both"/>
              <w:rPr>
                <w:rStyle w:val="FontStyle16"/>
                <w:rFonts w:ascii="Times New Roman" w:eastAsiaTheme="minorEastAsia" w:hAnsi="Times New Roman" w:cs="Times New Roman"/>
                <w:b/>
                <w:bCs/>
                <w:sz w:val="24"/>
                <w:szCs w:val="24"/>
                <w:lang w:eastAsia="lt-LT"/>
              </w:rPr>
            </w:pPr>
            <w:r w:rsidRPr="00224B0B">
              <w:rPr>
                <w:rFonts w:ascii="Times New Roman" w:hAnsi="Times New Roman" w:cs="Times New Roman"/>
                <w:sz w:val="24"/>
                <w:szCs w:val="24"/>
                <w:lang w:eastAsia="lt-LT"/>
              </w:rPr>
              <w:t>Vykdomojo dokumento statusas yra ypatingas, kadangi jo vykdymas tiesiogiai sukelia teisines ir kitas pasekmes asmenims ir be teismo</w:t>
            </w:r>
            <w:r w:rsidR="00DB3FC1">
              <w:rPr>
                <w:rFonts w:ascii="Times New Roman" w:hAnsi="Times New Roman" w:cs="Times New Roman"/>
                <w:sz w:val="24"/>
                <w:szCs w:val="24"/>
                <w:lang w:eastAsia="lt-LT"/>
              </w:rPr>
              <w:t xml:space="preserve"> –</w:t>
            </w:r>
            <w:r w:rsidRPr="00224B0B">
              <w:rPr>
                <w:rFonts w:ascii="Times New Roman" w:hAnsi="Times New Roman" w:cs="Times New Roman"/>
                <w:sz w:val="24"/>
                <w:szCs w:val="24"/>
                <w:lang w:eastAsia="lt-LT"/>
              </w:rPr>
              <w:t xml:space="preserve"> yra tik keli subjektai, kuriems suteikta teisė išduoti tokius dokumentus. Grąžintinų lėšų išieškojimas teismine tvarka užtikrina, kad asmens teisės nebūtų pažeistos, jam garantuojama teisė į gynybą</w:t>
            </w:r>
            <w:r>
              <w:rPr>
                <w:rFonts w:ascii="Times New Roman" w:hAnsi="Times New Roman" w:cs="Times New Roman"/>
                <w:sz w:val="24"/>
                <w:szCs w:val="24"/>
                <w:lang w:eastAsia="lt-LT"/>
              </w:rPr>
              <w:t>.</w:t>
            </w:r>
          </w:p>
        </w:tc>
      </w:tr>
    </w:tbl>
    <w:p w14:paraId="08F699C3" w14:textId="391C6F85" w:rsidR="00F627F6" w:rsidRPr="00F561BE" w:rsidRDefault="00F627F6" w:rsidP="00FF05A8">
      <w:pPr>
        <w:jc w:val="both"/>
        <w:rPr>
          <w:rFonts w:ascii="Times New Roman" w:hAnsi="Times New Roman" w:cs="Times New Roman"/>
          <w:sz w:val="24"/>
          <w:szCs w:val="24"/>
        </w:rPr>
      </w:pPr>
    </w:p>
    <w:sectPr w:rsidR="00F627F6" w:rsidRPr="00F561BE" w:rsidSect="00DE26BA">
      <w:headerReference w:type="default" r:id="rId8"/>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50A14" w14:textId="77777777" w:rsidR="001969A7" w:rsidRDefault="001969A7" w:rsidP="00DE26BA">
      <w:pPr>
        <w:spacing w:after="0" w:line="240" w:lineRule="auto"/>
      </w:pPr>
      <w:r>
        <w:separator/>
      </w:r>
    </w:p>
  </w:endnote>
  <w:endnote w:type="continuationSeparator" w:id="0">
    <w:p w14:paraId="7F39BC42" w14:textId="77777777" w:rsidR="001969A7" w:rsidRDefault="001969A7" w:rsidP="00DE2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6F775" w14:textId="77777777" w:rsidR="001969A7" w:rsidRDefault="001969A7" w:rsidP="00DE26BA">
      <w:pPr>
        <w:spacing w:after="0" w:line="240" w:lineRule="auto"/>
      </w:pPr>
      <w:r>
        <w:separator/>
      </w:r>
    </w:p>
  </w:footnote>
  <w:footnote w:type="continuationSeparator" w:id="0">
    <w:p w14:paraId="4355645C" w14:textId="77777777" w:rsidR="001969A7" w:rsidRDefault="001969A7" w:rsidP="00DE2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186892"/>
      <w:docPartObj>
        <w:docPartGallery w:val="Page Numbers (Top of Page)"/>
        <w:docPartUnique/>
      </w:docPartObj>
    </w:sdtPr>
    <w:sdtEndPr/>
    <w:sdtContent>
      <w:p w14:paraId="531A6231" w14:textId="77777777" w:rsidR="00DE26BA" w:rsidRDefault="00DE26BA">
        <w:pPr>
          <w:pStyle w:val="Antrats"/>
          <w:jc w:val="center"/>
        </w:pPr>
        <w:r>
          <w:fldChar w:fldCharType="begin"/>
        </w:r>
        <w:r>
          <w:instrText>PAGE   \* MERGEFORMAT</w:instrText>
        </w:r>
        <w:r>
          <w:fldChar w:fldCharType="separate"/>
        </w:r>
        <w:r w:rsidR="00FC0A8E">
          <w:rPr>
            <w:noProof/>
          </w:rPr>
          <w:t>1</w:t>
        </w:r>
        <w:r w:rsidR="00FC0A8E">
          <w:rPr>
            <w:noProof/>
          </w:rPr>
          <w:t>2</w:t>
        </w:r>
        <w:r>
          <w:fldChar w:fldCharType="end"/>
        </w:r>
      </w:p>
    </w:sdtContent>
  </w:sdt>
  <w:p w14:paraId="3635E0B2" w14:textId="77777777" w:rsidR="00DE26BA" w:rsidRDefault="00DE26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7F56"/>
    <w:multiLevelType w:val="hybridMultilevel"/>
    <w:tmpl w:val="B1325BF6"/>
    <w:lvl w:ilvl="0" w:tplc="4C048FE2">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4F851AC"/>
    <w:multiLevelType w:val="hybridMultilevel"/>
    <w:tmpl w:val="02026BC0"/>
    <w:lvl w:ilvl="0" w:tplc="0E6493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0709F"/>
    <w:multiLevelType w:val="hybridMultilevel"/>
    <w:tmpl w:val="435A39E6"/>
    <w:lvl w:ilvl="0" w:tplc="FE28D1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00083"/>
    <w:multiLevelType w:val="hybridMultilevel"/>
    <w:tmpl w:val="9976CEA2"/>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63086561"/>
    <w:multiLevelType w:val="singleLevel"/>
    <w:tmpl w:val="E8AEEDBA"/>
    <w:lvl w:ilvl="0">
      <w:start w:val="1"/>
      <w:numFmt w:val="decimal"/>
      <w:lvlText w:val="9.%1."/>
      <w:legacy w:legacy="1" w:legacySpace="0" w:legacyIndent="1426"/>
      <w:lvlJc w:val="left"/>
      <w:rPr>
        <w:rFonts w:ascii="Arial" w:hAnsi="Arial" w:cs="Arial"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65B"/>
    <w:rsid w:val="0000073A"/>
    <w:rsid w:val="0001380D"/>
    <w:rsid w:val="00014CAA"/>
    <w:rsid w:val="00033F3F"/>
    <w:rsid w:val="00060DF1"/>
    <w:rsid w:val="00063456"/>
    <w:rsid w:val="000760DC"/>
    <w:rsid w:val="000829D7"/>
    <w:rsid w:val="00087185"/>
    <w:rsid w:val="000A6896"/>
    <w:rsid w:val="000B0B30"/>
    <w:rsid w:val="000D2060"/>
    <w:rsid w:val="00111CD7"/>
    <w:rsid w:val="00117387"/>
    <w:rsid w:val="00130834"/>
    <w:rsid w:val="00134436"/>
    <w:rsid w:val="0017152E"/>
    <w:rsid w:val="001724FB"/>
    <w:rsid w:val="001736B7"/>
    <w:rsid w:val="0018381A"/>
    <w:rsid w:val="001969A7"/>
    <w:rsid w:val="001A5D4B"/>
    <w:rsid w:val="001C6714"/>
    <w:rsid w:val="001E1557"/>
    <w:rsid w:val="00207BC2"/>
    <w:rsid w:val="00210021"/>
    <w:rsid w:val="00224233"/>
    <w:rsid w:val="00224B0B"/>
    <w:rsid w:val="002435D8"/>
    <w:rsid w:val="0025662C"/>
    <w:rsid w:val="002756D8"/>
    <w:rsid w:val="002A611B"/>
    <w:rsid w:val="002C532C"/>
    <w:rsid w:val="002D08A8"/>
    <w:rsid w:val="002E16E7"/>
    <w:rsid w:val="002E1963"/>
    <w:rsid w:val="002E37CE"/>
    <w:rsid w:val="002E5E7B"/>
    <w:rsid w:val="002F09AE"/>
    <w:rsid w:val="002F5A2B"/>
    <w:rsid w:val="003023B9"/>
    <w:rsid w:val="00314CDB"/>
    <w:rsid w:val="00323768"/>
    <w:rsid w:val="00367F6D"/>
    <w:rsid w:val="003A065B"/>
    <w:rsid w:val="003A6908"/>
    <w:rsid w:val="003B6F7A"/>
    <w:rsid w:val="003E6932"/>
    <w:rsid w:val="003F3B72"/>
    <w:rsid w:val="00406D01"/>
    <w:rsid w:val="004126A8"/>
    <w:rsid w:val="0043643B"/>
    <w:rsid w:val="00457325"/>
    <w:rsid w:val="0046462D"/>
    <w:rsid w:val="004804B7"/>
    <w:rsid w:val="0048543F"/>
    <w:rsid w:val="00490DA8"/>
    <w:rsid w:val="004B5451"/>
    <w:rsid w:val="004D3868"/>
    <w:rsid w:val="004F4CEB"/>
    <w:rsid w:val="004F7535"/>
    <w:rsid w:val="005038B5"/>
    <w:rsid w:val="00512E1D"/>
    <w:rsid w:val="00514478"/>
    <w:rsid w:val="005166F2"/>
    <w:rsid w:val="00522793"/>
    <w:rsid w:val="00522879"/>
    <w:rsid w:val="00522914"/>
    <w:rsid w:val="00567976"/>
    <w:rsid w:val="0058464C"/>
    <w:rsid w:val="00591A4F"/>
    <w:rsid w:val="005E624D"/>
    <w:rsid w:val="005F1BC0"/>
    <w:rsid w:val="00640FB4"/>
    <w:rsid w:val="00661D91"/>
    <w:rsid w:val="00663D8A"/>
    <w:rsid w:val="006662E6"/>
    <w:rsid w:val="006721A2"/>
    <w:rsid w:val="006757E7"/>
    <w:rsid w:val="0068204A"/>
    <w:rsid w:val="00687C5E"/>
    <w:rsid w:val="006B0E09"/>
    <w:rsid w:val="006B4787"/>
    <w:rsid w:val="006F450B"/>
    <w:rsid w:val="006F4621"/>
    <w:rsid w:val="00712F0B"/>
    <w:rsid w:val="007330A9"/>
    <w:rsid w:val="00747AAA"/>
    <w:rsid w:val="007532BB"/>
    <w:rsid w:val="00763F83"/>
    <w:rsid w:val="00767AC9"/>
    <w:rsid w:val="007717A9"/>
    <w:rsid w:val="007734CA"/>
    <w:rsid w:val="007A0E55"/>
    <w:rsid w:val="007D0FF6"/>
    <w:rsid w:val="008055BA"/>
    <w:rsid w:val="00817C19"/>
    <w:rsid w:val="00821676"/>
    <w:rsid w:val="0084223E"/>
    <w:rsid w:val="00843B41"/>
    <w:rsid w:val="00866BA5"/>
    <w:rsid w:val="00866D1A"/>
    <w:rsid w:val="00870383"/>
    <w:rsid w:val="0087049C"/>
    <w:rsid w:val="0089304F"/>
    <w:rsid w:val="008A684F"/>
    <w:rsid w:val="008B650F"/>
    <w:rsid w:val="008B6E4A"/>
    <w:rsid w:val="008C034A"/>
    <w:rsid w:val="008C3FF8"/>
    <w:rsid w:val="008E18A2"/>
    <w:rsid w:val="008F4FFE"/>
    <w:rsid w:val="00900076"/>
    <w:rsid w:val="009020C7"/>
    <w:rsid w:val="00912499"/>
    <w:rsid w:val="0091344D"/>
    <w:rsid w:val="009174FD"/>
    <w:rsid w:val="00920D75"/>
    <w:rsid w:val="00923F2A"/>
    <w:rsid w:val="00926810"/>
    <w:rsid w:val="00932286"/>
    <w:rsid w:val="00940B5F"/>
    <w:rsid w:val="00944D9B"/>
    <w:rsid w:val="00963DCF"/>
    <w:rsid w:val="00977AC6"/>
    <w:rsid w:val="00977D6D"/>
    <w:rsid w:val="0099102F"/>
    <w:rsid w:val="00997C28"/>
    <w:rsid w:val="009A6A41"/>
    <w:rsid w:val="009A768A"/>
    <w:rsid w:val="009B2E21"/>
    <w:rsid w:val="009D4642"/>
    <w:rsid w:val="009D5FE4"/>
    <w:rsid w:val="009E1868"/>
    <w:rsid w:val="009E4B4F"/>
    <w:rsid w:val="009F0E94"/>
    <w:rsid w:val="009F3D2C"/>
    <w:rsid w:val="00A248DE"/>
    <w:rsid w:val="00A341BA"/>
    <w:rsid w:val="00A56535"/>
    <w:rsid w:val="00A70F50"/>
    <w:rsid w:val="00A96162"/>
    <w:rsid w:val="00AA011F"/>
    <w:rsid w:val="00AA4280"/>
    <w:rsid w:val="00AE4605"/>
    <w:rsid w:val="00AE475B"/>
    <w:rsid w:val="00AE498F"/>
    <w:rsid w:val="00AF3E75"/>
    <w:rsid w:val="00AF7746"/>
    <w:rsid w:val="00B02A75"/>
    <w:rsid w:val="00B07C21"/>
    <w:rsid w:val="00B27375"/>
    <w:rsid w:val="00B32E9D"/>
    <w:rsid w:val="00B40661"/>
    <w:rsid w:val="00B47ED9"/>
    <w:rsid w:val="00B54E83"/>
    <w:rsid w:val="00B81B0E"/>
    <w:rsid w:val="00B842C7"/>
    <w:rsid w:val="00B87687"/>
    <w:rsid w:val="00BA3C24"/>
    <w:rsid w:val="00BA621F"/>
    <w:rsid w:val="00BB4E81"/>
    <w:rsid w:val="00BB5EEF"/>
    <w:rsid w:val="00BC2BCB"/>
    <w:rsid w:val="00BE3675"/>
    <w:rsid w:val="00C1134B"/>
    <w:rsid w:val="00C1394C"/>
    <w:rsid w:val="00C16564"/>
    <w:rsid w:val="00C61A3D"/>
    <w:rsid w:val="00CA54C0"/>
    <w:rsid w:val="00CB3A83"/>
    <w:rsid w:val="00CB4B4C"/>
    <w:rsid w:val="00CE6904"/>
    <w:rsid w:val="00D062A2"/>
    <w:rsid w:val="00D11495"/>
    <w:rsid w:val="00D129B8"/>
    <w:rsid w:val="00D174CA"/>
    <w:rsid w:val="00D363C6"/>
    <w:rsid w:val="00D50884"/>
    <w:rsid w:val="00D53B1C"/>
    <w:rsid w:val="00D57479"/>
    <w:rsid w:val="00D61CBA"/>
    <w:rsid w:val="00D921A7"/>
    <w:rsid w:val="00DB3FC1"/>
    <w:rsid w:val="00DC4817"/>
    <w:rsid w:val="00DC7617"/>
    <w:rsid w:val="00DE26BA"/>
    <w:rsid w:val="00DE3EA2"/>
    <w:rsid w:val="00DF075F"/>
    <w:rsid w:val="00DF1BAC"/>
    <w:rsid w:val="00E12D9E"/>
    <w:rsid w:val="00E1383F"/>
    <w:rsid w:val="00E23256"/>
    <w:rsid w:val="00E24145"/>
    <w:rsid w:val="00E4728A"/>
    <w:rsid w:val="00E5149E"/>
    <w:rsid w:val="00E56584"/>
    <w:rsid w:val="00E56837"/>
    <w:rsid w:val="00E65C5D"/>
    <w:rsid w:val="00E74A36"/>
    <w:rsid w:val="00E75845"/>
    <w:rsid w:val="00E96B67"/>
    <w:rsid w:val="00EA0C21"/>
    <w:rsid w:val="00EA399B"/>
    <w:rsid w:val="00EA46CE"/>
    <w:rsid w:val="00EC5E57"/>
    <w:rsid w:val="00EC6A9E"/>
    <w:rsid w:val="00EE02C8"/>
    <w:rsid w:val="00EF2A53"/>
    <w:rsid w:val="00F0024D"/>
    <w:rsid w:val="00F00774"/>
    <w:rsid w:val="00F116A9"/>
    <w:rsid w:val="00F20E09"/>
    <w:rsid w:val="00F561BE"/>
    <w:rsid w:val="00F627F6"/>
    <w:rsid w:val="00F67761"/>
    <w:rsid w:val="00FA60DB"/>
    <w:rsid w:val="00FC0A8E"/>
    <w:rsid w:val="00FC104D"/>
    <w:rsid w:val="00FD2F1C"/>
    <w:rsid w:val="00FD623F"/>
    <w:rsid w:val="00FE67CB"/>
    <w:rsid w:val="00FF0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AF246"/>
  <w15:chartTrackingRefBased/>
  <w15:docId w15:val="{DD7616AF-CBAE-412F-B993-35EA576B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065B"/>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A0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3A065B"/>
  </w:style>
  <w:style w:type="paragraph" w:styleId="Sraopastraipa">
    <w:name w:val="List Paragraph"/>
    <w:basedOn w:val="prastasis"/>
    <w:uiPriority w:val="34"/>
    <w:qFormat/>
    <w:rsid w:val="00CE6904"/>
    <w:pPr>
      <w:ind w:left="720"/>
      <w:contextualSpacing/>
    </w:pPr>
  </w:style>
  <w:style w:type="paragraph" w:customStyle="1" w:styleId="Sraopastraipa1">
    <w:name w:val="Sąrašo pastraipa1"/>
    <w:basedOn w:val="prastasis"/>
    <w:rsid w:val="009F0E94"/>
    <w:pPr>
      <w:suppressAutoHyphens/>
      <w:autoSpaceDN w:val="0"/>
      <w:ind w:left="720"/>
      <w:textAlignment w:val="baseline"/>
    </w:pPr>
    <w:rPr>
      <w:rFonts w:ascii="Calibri" w:eastAsia="SimSun" w:hAnsi="Calibri" w:cs="F"/>
      <w:kern w:val="3"/>
    </w:rPr>
  </w:style>
  <w:style w:type="character" w:styleId="Komentaronuoroda">
    <w:name w:val="annotation reference"/>
    <w:basedOn w:val="Numatytasispastraiposriftas"/>
    <w:uiPriority w:val="99"/>
    <w:semiHidden/>
    <w:unhideWhenUsed/>
    <w:rsid w:val="009F0E94"/>
    <w:rPr>
      <w:sz w:val="16"/>
      <w:szCs w:val="16"/>
    </w:rPr>
  </w:style>
  <w:style w:type="paragraph" w:customStyle="1" w:styleId="Default">
    <w:name w:val="Default"/>
    <w:rsid w:val="009F0E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5">
    <w:name w:val="Style5"/>
    <w:basedOn w:val="prastasis"/>
    <w:uiPriority w:val="99"/>
    <w:rsid w:val="00963DCF"/>
    <w:pPr>
      <w:widowControl w:val="0"/>
      <w:autoSpaceDE w:val="0"/>
      <w:autoSpaceDN w:val="0"/>
      <w:adjustRightInd w:val="0"/>
      <w:spacing w:after="0" w:line="291" w:lineRule="exact"/>
      <w:ind w:hanging="1421"/>
      <w:jc w:val="both"/>
    </w:pPr>
    <w:rPr>
      <w:rFonts w:ascii="Arial" w:eastAsiaTheme="minorEastAsia" w:hAnsi="Arial" w:cs="Arial"/>
      <w:sz w:val="24"/>
      <w:szCs w:val="24"/>
      <w:lang w:eastAsia="lt-LT"/>
    </w:rPr>
  </w:style>
  <w:style w:type="character" w:customStyle="1" w:styleId="FontStyle16">
    <w:name w:val="Font Style16"/>
    <w:basedOn w:val="Numatytasispastraiposriftas"/>
    <w:uiPriority w:val="99"/>
    <w:rsid w:val="00963DCF"/>
    <w:rPr>
      <w:rFonts w:ascii="Arial" w:hAnsi="Arial" w:cs="Arial"/>
      <w:sz w:val="22"/>
      <w:szCs w:val="22"/>
    </w:rPr>
  </w:style>
  <w:style w:type="character" w:customStyle="1" w:styleId="spellingerror">
    <w:name w:val="spellingerror"/>
    <w:basedOn w:val="Numatytasispastraiposriftas"/>
    <w:rsid w:val="00323768"/>
  </w:style>
  <w:style w:type="character" w:customStyle="1" w:styleId="normaltextrun1">
    <w:name w:val="normaltextrun1"/>
    <w:basedOn w:val="Numatytasispastraiposriftas"/>
    <w:rsid w:val="00323768"/>
  </w:style>
  <w:style w:type="character" w:customStyle="1" w:styleId="eop">
    <w:name w:val="eop"/>
    <w:basedOn w:val="Numatytasispastraiposriftas"/>
    <w:rsid w:val="00323768"/>
  </w:style>
  <w:style w:type="paragraph" w:customStyle="1" w:styleId="NoSpacing1">
    <w:name w:val="No Spacing1"/>
    <w:rsid w:val="00F00774"/>
    <w:pPr>
      <w:suppressAutoHyphens/>
      <w:spacing w:after="0" w:line="240" w:lineRule="auto"/>
    </w:pPr>
    <w:rPr>
      <w:rFonts w:ascii="Times New Roman" w:eastAsia="Calibri" w:hAnsi="Times New Roman" w:cs="Times New Roman"/>
      <w:sz w:val="24"/>
      <w:lang w:eastAsia="zh-CN"/>
    </w:rPr>
  </w:style>
  <w:style w:type="paragraph" w:styleId="Antrats">
    <w:name w:val="header"/>
    <w:basedOn w:val="prastasis"/>
    <w:link w:val="AntratsDiagrama"/>
    <w:uiPriority w:val="99"/>
    <w:unhideWhenUsed/>
    <w:rsid w:val="00DE26B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26BA"/>
  </w:style>
  <w:style w:type="paragraph" w:styleId="Porat">
    <w:name w:val="footer"/>
    <w:basedOn w:val="prastasis"/>
    <w:link w:val="PoratDiagrama"/>
    <w:uiPriority w:val="99"/>
    <w:unhideWhenUsed/>
    <w:rsid w:val="00DE26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26BA"/>
  </w:style>
  <w:style w:type="paragraph" w:styleId="Debesliotekstas">
    <w:name w:val="Balloon Text"/>
    <w:basedOn w:val="prastasis"/>
    <w:link w:val="DebesliotekstasDiagrama"/>
    <w:uiPriority w:val="99"/>
    <w:semiHidden/>
    <w:unhideWhenUsed/>
    <w:rsid w:val="00B02A7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2A75"/>
    <w:rPr>
      <w:rFonts w:ascii="Segoe UI" w:hAnsi="Segoe UI" w:cs="Segoe UI"/>
      <w:sz w:val="18"/>
      <w:szCs w:val="18"/>
    </w:rPr>
  </w:style>
  <w:style w:type="paragraph" w:styleId="Komentarotekstas">
    <w:name w:val="annotation text"/>
    <w:basedOn w:val="prastasis"/>
    <w:link w:val="KomentarotekstasDiagrama"/>
    <w:uiPriority w:val="99"/>
    <w:semiHidden/>
    <w:unhideWhenUsed/>
    <w:rsid w:val="008703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70383"/>
    <w:rPr>
      <w:sz w:val="20"/>
      <w:szCs w:val="20"/>
    </w:rPr>
  </w:style>
  <w:style w:type="paragraph" w:styleId="Komentarotema">
    <w:name w:val="annotation subject"/>
    <w:basedOn w:val="Komentarotekstas"/>
    <w:next w:val="Komentarotekstas"/>
    <w:link w:val="KomentarotemaDiagrama"/>
    <w:uiPriority w:val="99"/>
    <w:semiHidden/>
    <w:unhideWhenUsed/>
    <w:rsid w:val="00870383"/>
    <w:rPr>
      <w:b/>
      <w:bCs/>
    </w:rPr>
  </w:style>
  <w:style w:type="character" w:customStyle="1" w:styleId="KomentarotemaDiagrama">
    <w:name w:val="Komentaro tema Diagrama"/>
    <w:basedOn w:val="KomentarotekstasDiagrama"/>
    <w:link w:val="Komentarotema"/>
    <w:uiPriority w:val="99"/>
    <w:semiHidden/>
    <w:rsid w:val="008703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03097">
      <w:bodyDiv w:val="1"/>
      <w:marLeft w:val="0"/>
      <w:marRight w:val="0"/>
      <w:marTop w:val="0"/>
      <w:marBottom w:val="0"/>
      <w:divBdr>
        <w:top w:val="none" w:sz="0" w:space="0" w:color="auto"/>
        <w:left w:val="none" w:sz="0" w:space="0" w:color="auto"/>
        <w:bottom w:val="none" w:sz="0" w:space="0" w:color="auto"/>
        <w:right w:val="none" w:sz="0" w:space="0" w:color="auto"/>
      </w:divBdr>
    </w:div>
    <w:div w:id="670378707">
      <w:bodyDiv w:val="1"/>
      <w:marLeft w:val="0"/>
      <w:marRight w:val="0"/>
      <w:marTop w:val="0"/>
      <w:marBottom w:val="0"/>
      <w:divBdr>
        <w:top w:val="none" w:sz="0" w:space="0" w:color="auto"/>
        <w:left w:val="none" w:sz="0" w:space="0" w:color="auto"/>
        <w:bottom w:val="none" w:sz="0" w:space="0" w:color="auto"/>
        <w:right w:val="none" w:sz="0" w:space="0" w:color="auto"/>
      </w:divBdr>
    </w:div>
    <w:div w:id="1279070676">
      <w:bodyDiv w:val="1"/>
      <w:marLeft w:val="0"/>
      <w:marRight w:val="0"/>
      <w:marTop w:val="0"/>
      <w:marBottom w:val="0"/>
      <w:divBdr>
        <w:top w:val="none" w:sz="0" w:space="0" w:color="auto"/>
        <w:left w:val="none" w:sz="0" w:space="0" w:color="auto"/>
        <w:bottom w:val="none" w:sz="0" w:space="0" w:color="auto"/>
        <w:right w:val="none" w:sz="0" w:space="0" w:color="auto"/>
      </w:divBdr>
    </w:div>
    <w:div w:id="148989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Pustonia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ECD03-F814-432A-9F24-B07393A70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5285</Words>
  <Characters>3014</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VygantasK@zum.lt</dc:creator>
  <cp:keywords/>
  <dc:description/>
  <cp:lastModifiedBy>Edvardas Makšeckas</cp:lastModifiedBy>
  <cp:revision>4</cp:revision>
  <cp:lastPrinted>2019-08-29T06:22:00Z</cp:lastPrinted>
  <dcterms:created xsi:type="dcterms:W3CDTF">2020-04-17T12:03:00Z</dcterms:created>
  <dcterms:modified xsi:type="dcterms:W3CDTF">2020-04-21T08:08:00Z</dcterms:modified>
</cp:coreProperties>
</file>