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4D" w:rsidRDefault="00A80BE8" w:rsidP="00151E0C">
      <w:pPr>
        <w:jc w:val="center"/>
        <w:rPr>
          <w:b/>
          <w:bCs/>
          <w:szCs w:val="24"/>
        </w:rPr>
      </w:pPr>
      <w:bookmarkStart w:id="0" w:name="_GoBack"/>
      <w:bookmarkEnd w:id="0"/>
      <w:r w:rsidRPr="008E634D">
        <w:rPr>
          <w:b/>
          <w:bCs/>
          <w:szCs w:val="24"/>
        </w:rPr>
        <w:t>TARYBOS PAMATINIO SPRENDIMO 2009/315/TVR</w:t>
      </w:r>
      <w:r w:rsidR="008E634D" w:rsidRPr="008E634D">
        <w:rPr>
          <w:b/>
          <w:bCs/>
          <w:szCs w:val="24"/>
        </w:rPr>
        <w:t xml:space="preserve"> </w:t>
      </w:r>
    </w:p>
    <w:p w:rsidR="00E70890" w:rsidRPr="008E634D" w:rsidRDefault="008E634D" w:rsidP="00151E0C">
      <w:pPr>
        <w:jc w:val="center"/>
        <w:rPr>
          <w:b/>
          <w:bCs/>
          <w:szCs w:val="24"/>
        </w:rPr>
      </w:pPr>
      <w:r w:rsidRPr="008E634D">
        <w:rPr>
          <w:b/>
          <w:bCs/>
          <w:szCs w:val="24"/>
        </w:rPr>
        <w:t>IR LIETUVOS RESPUBLIKOS VYRIAUSYBĖS NUTARIMO „DĖL LIETUVOS RESPUBLIKOS VYRIAUSYBĖS 2012 M. BALANDŽIO 18 D. NUTARIMO NR. 435 „DĖL ĮTARIAMŲJŲ, KALTINAMŲJŲ IR NUTEISTŲJŲ REGISTRO NUOSTATŲ PATVIRTINIMO IR VEIKLOS PRADŽIOS NUSTATYMO“ PAKEITIMO“ PROJEKTO</w:t>
      </w:r>
    </w:p>
    <w:p w:rsidR="00A80BE8" w:rsidRPr="00151E0C" w:rsidRDefault="00A80BE8" w:rsidP="00151E0C">
      <w:pPr>
        <w:jc w:val="center"/>
        <w:rPr>
          <w:b/>
          <w:bCs/>
          <w:caps/>
        </w:rPr>
      </w:pPr>
      <w:r w:rsidRPr="00151E0C">
        <w:rPr>
          <w:b/>
          <w:bCs/>
        </w:rPr>
        <w:t>ATITIKTIES LENTELĖ</w:t>
      </w:r>
    </w:p>
    <w:p w:rsidR="004C78A8" w:rsidRDefault="004C78A8" w:rsidP="00151E0C">
      <w:pPr>
        <w:jc w:val="cente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6804"/>
        <w:gridCol w:w="2410"/>
      </w:tblGrid>
      <w:tr w:rsidR="005E55F5" w:rsidTr="007C2904">
        <w:trPr>
          <w:trHeight w:val="2995"/>
        </w:trPr>
        <w:tc>
          <w:tcPr>
            <w:tcW w:w="5920" w:type="dxa"/>
          </w:tcPr>
          <w:p w:rsidR="005E55F5" w:rsidRPr="00AB04C2" w:rsidRDefault="00A80BE8" w:rsidP="00F30CE6">
            <w:pPr>
              <w:jc w:val="both"/>
              <w:rPr>
                <w:b/>
                <w:szCs w:val="24"/>
              </w:rPr>
            </w:pPr>
            <w:r w:rsidRPr="00EE27F9">
              <w:rPr>
                <w:b/>
              </w:rPr>
              <w:t>2009 m. vasario 26 d. Tarybos pamatinis sprendimas 2009/315/TVR dėl valstybių narių keitimosi informacija iš nuosprendžių registro organizavimo ir turinio (OL 2009 L 93, p. 23)</w:t>
            </w:r>
            <w:r w:rsidR="00BB057B">
              <w:rPr>
                <w:b/>
              </w:rPr>
              <w:t xml:space="preserve"> (toliau – </w:t>
            </w:r>
            <w:r w:rsidR="00BB057B" w:rsidRPr="00EE27F9">
              <w:rPr>
                <w:b/>
              </w:rPr>
              <w:t>Tarybos pamatinis sprendimas</w:t>
            </w:r>
            <w:r w:rsidR="00BB057B">
              <w:rPr>
                <w:b/>
              </w:rPr>
              <w:t>)</w:t>
            </w:r>
          </w:p>
        </w:tc>
        <w:tc>
          <w:tcPr>
            <w:tcW w:w="6804" w:type="dxa"/>
            <w:tcBorders>
              <w:bottom w:val="single" w:sz="4" w:space="0" w:color="auto"/>
            </w:tcBorders>
          </w:tcPr>
          <w:p w:rsidR="007C2904" w:rsidRPr="007C2904" w:rsidRDefault="008E634D" w:rsidP="00553B5D">
            <w:pPr>
              <w:jc w:val="both"/>
              <w:rPr>
                <w:b/>
              </w:rPr>
            </w:pPr>
            <w:r w:rsidRPr="008E634D">
              <w:rPr>
                <w:b/>
              </w:rPr>
              <w:t>Lietuvos Respublikos Vyriausybės nutarimo „</w:t>
            </w:r>
            <w:r w:rsidRPr="008E634D">
              <w:rPr>
                <w:b/>
                <w:bCs/>
              </w:rPr>
              <w:t>Dėl Lietuvos Respublikos Vyriausybės 2012 m. balandžio 18 d. nutarimo Nr. 435 „Dėl Į</w:t>
            </w:r>
            <w:r w:rsidRPr="008E634D">
              <w:rPr>
                <w:b/>
              </w:rPr>
              <w:t>tariamųjų, kaltinamųjų ir nuteistųjų registro nuostatų patvirtinimo ir veiklos pradžios nustatymo“  pakeitimo“ projektas</w:t>
            </w:r>
            <w:r w:rsidR="007C2904" w:rsidRPr="007C2904">
              <w:rPr>
                <w:b/>
              </w:rPr>
              <w:t xml:space="preserve"> (toliau – Projektas)</w:t>
            </w:r>
          </w:p>
          <w:p w:rsidR="00553B5D" w:rsidRDefault="00553B5D" w:rsidP="00553B5D">
            <w:pPr>
              <w:pStyle w:val="Pagrindinistekstas"/>
              <w:tabs>
                <w:tab w:val="left" w:pos="851"/>
              </w:tabs>
              <w:jc w:val="both"/>
            </w:pPr>
          </w:p>
          <w:p w:rsidR="00553B5D" w:rsidRDefault="00F93B6B" w:rsidP="00553B5D">
            <w:pPr>
              <w:pStyle w:val="Pagrindinistekstas"/>
              <w:tabs>
                <w:tab w:val="left" w:pos="851"/>
              </w:tabs>
              <w:jc w:val="both"/>
              <w:rPr>
                <w:b w:val="0"/>
              </w:rPr>
            </w:pPr>
            <w:r>
              <w:rPr>
                <w:b w:val="0"/>
              </w:rPr>
              <w:t>Lietuvos Respublikos į</w:t>
            </w:r>
            <w:r w:rsidR="00553B5D" w:rsidRPr="00553B5D">
              <w:rPr>
                <w:b w:val="0"/>
              </w:rPr>
              <w:t>tariamųjų, kaltinamųjų ir nuteistųjų registro įstatymas</w:t>
            </w:r>
            <w:r w:rsidR="00553B5D">
              <w:rPr>
                <w:b w:val="0"/>
              </w:rPr>
              <w:t xml:space="preserve"> </w:t>
            </w:r>
            <w:r w:rsidR="006B08CC">
              <w:rPr>
                <w:b w:val="0"/>
              </w:rPr>
              <w:t>(toliau – Įstatymas)</w:t>
            </w:r>
          </w:p>
          <w:p w:rsidR="006B08CC" w:rsidRDefault="006B08CC" w:rsidP="00553B5D">
            <w:pPr>
              <w:pStyle w:val="Pagrindinistekstas"/>
              <w:tabs>
                <w:tab w:val="left" w:pos="851"/>
              </w:tabs>
              <w:jc w:val="both"/>
              <w:rPr>
                <w:b w:val="0"/>
              </w:rPr>
            </w:pPr>
          </w:p>
          <w:p w:rsidR="00BB3391" w:rsidRDefault="006B08CC" w:rsidP="00A46B0F">
            <w:pPr>
              <w:jc w:val="both"/>
            </w:pPr>
            <w:r>
              <w:t xml:space="preserve">Lietuvos Respublikos Vyriausybės 2010 m. sausio 12 d. nutarimas Nr. 27 „Dėl </w:t>
            </w:r>
            <w:r w:rsidRPr="005733B9">
              <w:t>Lietuvos Respublikos</w:t>
            </w:r>
            <w:r>
              <w:t xml:space="preserve"> centrinės institucijos, atsakingos už keitimąsi informacija apie teistumą, paskyrimo“ (toliau – Nutarimas)</w:t>
            </w:r>
          </w:p>
          <w:p w:rsidR="000677E7" w:rsidRDefault="000677E7" w:rsidP="00A46B0F">
            <w:pPr>
              <w:jc w:val="both"/>
            </w:pPr>
          </w:p>
          <w:p w:rsidR="000677E7" w:rsidRPr="000677E7" w:rsidRDefault="000677E7" w:rsidP="000677E7">
            <w:pPr>
              <w:jc w:val="both"/>
              <w:rPr>
                <w:szCs w:val="24"/>
              </w:rPr>
            </w:pPr>
            <w:r w:rsidRPr="000677E7">
              <w:rPr>
                <w:szCs w:val="24"/>
              </w:rPr>
              <w:t>Informatikos ir ryšių departamento prie Lietuvos Respublikos vidaus reikalų ministerijos direktoriaus 2012 m. rugpjūčio 10 d. įsakymas Nr. 5V-67 „Dėl Įtariamųjų, kaltinamųjų ir nuteistųjų registro objektų registravimo ir duomenų teikimo taisyklių patvirtinimo“</w:t>
            </w:r>
            <w:r>
              <w:rPr>
                <w:szCs w:val="24"/>
              </w:rPr>
              <w:t xml:space="preserve"> </w:t>
            </w:r>
            <w:r w:rsidRPr="000677E7">
              <w:rPr>
                <w:szCs w:val="24"/>
              </w:rPr>
              <w:t xml:space="preserve">(toliau – </w:t>
            </w:r>
            <w:r>
              <w:rPr>
                <w:szCs w:val="24"/>
              </w:rPr>
              <w:t>Taisyklės)</w:t>
            </w:r>
          </w:p>
        </w:tc>
        <w:tc>
          <w:tcPr>
            <w:tcW w:w="2410" w:type="dxa"/>
          </w:tcPr>
          <w:p w:rsidR="005E55F5" w:rsidRPr="00AB04C2" w:rsidRDefault="00B534D8" w:rsidP="00F30CE6">
            <w:pPr>
              <w:jc w:val="both"/>
              <w:rPr>
                <w:b/>
                <w:szCs w:val="24"/>
              </w:rPr>
            </w:pPr>
            <w:r>
              <w:rPr>
                <w:b/>
                <w:szCs w:val="24"/>
              </w:rPr>
              <w:t>Tarybos pamatinio sprendimo</w:t>
            </w:r>
            <w:r w:rsidR="005E55F5" w:rsidRPr="00AB04C2">
              <w:rPr>
                <w:b/>
                <w:szCs w:val="24"/>
              </w:rPr>
              <w:t xml:space="preserve"> įgyvendinimo lygis</w:t>
            </w:r>
          </w:p>
        </w:tc>
      </w:tr>
      <w:tr w:rsidR="00553B5D" w:rsidTr="00F14AD5">
        <w:tc>
          <w:tcPr>
            <w:tcW w:w="5920" w:type="dxa"/>
          </w:tcPr>
          <w:p w:rsidR="00553B5D" w:rsidRDefault="00553B5D" w:rsidP="00F30CE6">
            <w:pPr>
              <w:jc w:val="both"/>
              <w:rPr>
                <w:i/>
              </w:rPr>
            </w:pPr>
            <w:r w:rsidRPr="00553B5D">
              <w:rPr>
                <w:i/>
              </w:rPr>
              <w:t>1 straipsnis</w:t>
            </w:r>
          </w:p>
          <w:p w:rsidR="00553B5D" w:rsidRDefault="00553B5D" w:rsidP="00F30CE6">
            <w:pPr>
              <w:jc w:val="both"/>
              <w:rPr>
                <w:b/>
              </w:rPr>
            </w:pPr>
            <w:r w:rsidRPr="00553B5D">
              <w:rPr>
                <w:b/>
              </w:rPr>
              <w:t>Tikslas</w:t>
            </w:r>
          </w:p>
          <w:p w:rsidR="00561373" w:rsidRPr="00561373" w:rsidRDefault="00561373" w:rsidP="00561373">
            <w:pPr>
              <w:autoSpaceDE w:val="0"/>
              <w:autoSpaceDN w:val="0"/>
              <w:adjustRightInd w:val="0"/>
              <w:jc w:val="both"/>
              <w:rPr>
                <w:color w:val="000000"/>
                <w:szCs w:val="24"/>
              </w:rPr>
            </w:pPr>
            <w:r w:rsidRPr="00561373">
              <w:rPr>
                <w:color w:val="000000"/>
                <w:szCs w:val="24"/>
              </w:rPr>
              <w:t xml:space="preserve">Šio pamatinio sprendimo tikslas: </w:t>
            </w:r>
          </w:p>
          <w:p w:rsidR="00561373" w:rsidRDefault="00561373" w:rsidP="00561373">
            <w:pPr>
              <w:autoSpaceDE w:val="0"/>
              <w:autoSpaceDN w:val="0"/>
              <w:adjustRightInd w:val="0"/>
              <w:jc w:val="both"/>
              <w:rPr>
                <w:color w:val="000000"/>
                <w:szCs w:val="24"/>
              </w:rPr>
            </w:pPr>
            <w:r w:rsidRPr="00561373">
              <w:rPr>
                <w:color w:val="000000"/>
                <w:szCs w:val="24"/>
              </w:rPr>
              <w:t xml:space="preserve">a) apibrėžti būdus, kaip valstybė narė, kurioje priimamas apkaltinamasis nuosprendis kitos valstybės narės piliečio atžvilgiu (toliau – apkaltinamąjį nuosprendį priėmusi valstybė narė), perduoda informaciją apie tokį apkaltinamąjį nuosprendį nuteisto asmens pilietybės valstybei narei (toliau – asmens pilietybės valstybė narė); </w:t>
            </w:r>
          </w:p>
          <w:p w:rsidR="00561373" w:rsidRDefault="00561373" w:rsidP="00561373">
            <w:pPr>
              <w:autoSpaceDE w:val="0"/>
              <w:autoSpaceDN w:val="0"/>
              <w:adjustRightInd w:val="0"/>
              <w:jc w:val="both"/>
              <w:rPr>
                <w:color w:val="000000"/>
                <w:szCs w:val="24"/>
              </w:rPr>
            </w:pPr>
            <w:r w:rsidRPr="00561373">
              <w:rPr>
                <w:color w:val="000000"/>
                <w:szCs w:val="24"/>
              </w:rPr>
              <w:t>b) apibrėžti asmens pilietybės valstybės narės pareigas saugoti šią informaciją ir nurodyti būdus, kuriais turi būti atsakoma į prašymą pateikti informaciją iš nuosprendžių registro;</w:t>
            </w:r>
          </w:p>
          <w:p w:rsidR="00561373" w:rsidRPr="00553B5D" w:rsidRDefault="00561373" w:rsidP="00561373">
            <w:pPr>
              <w:autoSpaceDE w:val="0"/>
              <w:autoSpaceDN w:val="0"/>
              <w:adjustRightInd w:val="0"/>
              <w:jc w:val="both"/>
              <w:rPr>
                <w:b/>
              </w:rPr>
            </w:pPr>
            <w:r w:rsidRPr="00561373">
              <w:rPr>
                <w:color w:val="000000"/>
                <w:szCs w:val="24"/>
              </w:rPr>
              <w:t xml:space="preserve">c) nustatyti pagrindą kompiuterinei valstybių narių keitimosi informacija apie apkaltinamuosius nuosprendžius sistemai, kuri bus kuriama ir plėtojama pagal šį pamatinį sprendimą ir vėlesnį sprendimą, nurodytą šio pamatinio sprendimo 11 straipsnio 4 dalyje. </w:t>
            </w:r>
          </w:p>
        </w:tc>
        <w:tc>
          <w:tcPr>
            <w:tcW w:w="6804" w:type="dxa"/>
            <w:tcBorders>
              <w:bottom w:val="single" w:sz="4" w:space="0" w:color="auto"/>
            </w:tcBorders>
          </w:tcPr>
          <w:p w:rsidR="00553B5D" w:rsidRDefault="00553B5D" w:rsidP="00A41C83">
            <w:pPr>
              <w:jc w:val="both"/>
              <w:rPr>
                <w:b/>
                <w:szCs w:val="24"/>
              </w:rPr>
            </w:pPr>
          </w:p>
        </w:tc>
        <w:tc>
          <w:tcPr>
            <w:tcW w:w="2410" w:type="dxa"/>
          </w:tcPr>
          <w:p w:rsidR="00553B5D" w:rsidRPr="00AB04C2" w:rsidRDefault="005D2D76" w:rsidP="00BB057B">
            <w:pPr>
              <w:jc w:val="center"/>
              <w:rPr>
                <w:b/>
                <w:szCs w:val="24"/>
              </w:rPr>
            </w:pPr>
            <w:r w:rsidRPr="005D2D76">
              <w:t>Visiškas.</w:t>
            </w:r>
          </w:p>
        </w:tc>
      </w:tr>
      <w:tr w:rsidR="006B08CC" w:rsidTr="00F14AD5">
        <w:tc>
          <w:tcPr>
            <w:tcW w:w="5920" w:type="dxa"/>
          </w:tcPr>
          <w:p w:rsidR="006B08CC" w:rsidRPr="000F099A" w:rsidRDefault="006B08CC" w:rsidP="006B08CC">
            <w:pPr>
              <w:autoSpaceDE w:val="0"/>
              <w:autoSpaceDN w:val="0"/>
              <w:adjustRightInd w:val="0"/>
              <w:rPr>
                <w:b/>
                <w:bCs/>
                <w:color w:val="000000"/>
              </w:rPr>
            </w:pPr>
            <w:r>
              <w:rPr>
                <w:i/>
                <w:iCs/>
                <w:szCs w:val="24"/>
              </w:rPr>
              <w:t>2</w:t>
            </w:r>
            <w:r w:rsidRPr="00EB5525">
              <w:rPr>
                <w:i/>
                <w:iCs/>
                <w:szCs w:val="24"/>
              </w:rPr>
              <w:t xml:space="preserve"> straipsnis</w:t>
            </w:r>
          </w:p>
          <w:p w:rsidR="006B08CC" w:rsidRPr="000F099A" w:rsidRDefault="006B08CC" w:rsidP="006B08CC">
            <w:pPr>
              <w:pStyle w:val="CM4"/>
              <w:jc w:val="both"/>
              <w:rPr>
                <w:rFonts w:ascii="Times New Roman" w:hAnsi="Times New Roman"/>
                <w:color w:val="000000"/>
              </w:rPr>
            </w:pPr>
            <w:r w:rsidRPr="000F099A">
              <w:rPr>
                <w:rFonts w:ascii="Times New Roman" w:hAnsi="Times New Roman"/>
                <w:b/>
                <w:bCs/>
                <w:color w:val="000000"/>
              </w:rPr>
              <w:t>Sąvokos</w:t>
            </w:r>
          </w:p>
          <w:p w:rsidR="006B08CC" w:rsidRPr="000F099A" w:rsidRDefault="006B08CC" w:rsidP="006B08CC">
            <w:pPr>
              <w:pStyle w:val="CM4"/>
              <w:jc w:val="both"/>
              <w:rPr>
                <w:rFonts w:ascii="Times New Roman" w:hAnsi="Times New Roman"/>
                <w:color w:val="000000"/>
              </w:rPr>
            </w:pPr>
            <w:r w:rsidRPr="000F099A">
              <w:rPr>
                <w:rFonts w:ascii="Times New Roman" w:hAnsi="Times New Roman"/>
                <w:color w:val="000000"/>
              </w:rPr>
              <w:t xml:space="preserve">Šio pamatinio sprendimo tikslais: </w:t>
            </w:r>
          </w:p>
          <w:p w:rsidR="006B08CC" w:rsidRPr="000F099A" w:rsidRDefault="006B08CC" w:rsidP="006B08CC">
            <w:pPr>
              <w:pStyle w:val="CM4"/>
              <w:jc w:val="both"/>
              <w:rPr>
                <w:rFonts w:ascii="Times New Roman" w:hAnsi="Times New Roman"/>
                <w:color w:val="000000"/>
              </w:rPr>
            </w:pPr>
            <w:r w:rsidRPr="000F099A">
              <w:rPr>
                <w:rFonts w:ascii="Times New Roman" w:hAnsi="Times New Roman"/>
                <w:color w:val="000000"/>
              </w:rPr>
              <w:t>a) apkaltinamasis nuosprendis – bet koks galutinis baudžiamojo teismo sprendimas, kuriuo fizinis asmuo nuteisiamas už baudžiamąją veiką, jei šie sprendimai įtraukiami į apkaltinamąjį nuosprendį priėmusios valstybės nuosprendžių registrą;</w:t>
            </w:r>
          </w:p>
          <w:p w:rsidR="006B08CC" w:rsidRPr="000F099A" w:rsidRDefault="006B08CC" w:rsidP="006B08CC">
            <w:pPr>
              <w:pStyle w:val="CM4"/>
              <w:jc w:val="both"/>
              <w:rPr>
                <w:rFonts w:ascii="Times New Roman" w:hAnsi="Times New Roman"/>
                <w:color w:val="000000"/>
              </w:rPr>
            </w:pPr>
            <w:r w:rsidRPr="000F099A">
              <w:rPr>
                <w:rFonts w:ascii="Times New Roman" w:hAnsi="Times New Roman"/>
                <w:color w:val="000000"/>
              </w:rPr>
              <w:t>b) baudžiamoji byla – ikiteisminis tyrimas, pats teisminis nagrinėjimas ir apkaltinamojo nuosprendžio vykdymas;</w:t>
            </w:r>
          </w:p>
          <w:p w:rsidR="006B08CC" w:rsidRPr="00553B5D" w:rsidRDefault="006B08CC" w:rsidP="006B08CC">
            <w:pPr>
              <w:jc w:val="both"/>
              <w:rPr>
                <w:i/>
              </w:rPr>
            </w:pPr>
            <w:r w:rsidRPr="000F099A">
              <w:rPr>
                <w:color w:val="000000"/>
              </w:rPr>
              <w:t>c) nuosprendžių registras – nacionalinis registras ar registrai, kuriuose pagal nacionalinę teisę registruojami apkaltinamieji nuosprendžiai.</w:t>
            </w:r>
          </w:p>
        </w:tc>
        <w:tc>
          <w:tcPr>
            <w:tcW w:w="6804" w:type="dxa"/>
            <w:tcBorders>
              <w:bottom w:val="single" w:sz="4" w:space="0" w:color="auto"/>
            </w:tcBorders>
          </w:tcPr>
          <w:p w:rsidR="006B08CC" w:rsidRPr="0012321D" w:rsidRDefault="006B08CC" w:rsidP="006B08CC">
            <w:pPr>
              <w:pStyle w:val="Pagrindinistekstas"/>
              <w:tabs>
                <w:tab w:val="left" w:pos="851"/>
              </w:tabs>
              <w:jc w:val="both"/>
              <w:rPr>
                <w:lang w:eastAsia="ar-SA"/>
              </w:rPr>
            </w:pPr>
            <w:r w:rsidRPr="006B08CC">
              <w:rPr>
                <w:b w:val="0"/>
              </w:rPr>
              <w:t>Įstatymas</w:t>
            </w:r>
          </w:p>
          <w:p w:rsidR="006E460B" w:rsidRDefault="006E460B" w:rsidP="006E460B">
            <w:pPr>
              <w:tabs>
                <w:tab w:val="left" w:pos="1134"/>
              </w:tabs>
              <w:jc w:val="both"/>
              <w:rPr>
                <w:b/>
                <w:szCs w:val="24"/>
              </w:rPr>
            </w:pPr>
            <w:r>
              <w:rPr>
                <w:b/>
                <w:szCs w:val="24"/>
              </w:rPr>
              <w:t>1 straipsnis. Įstatymo paskirtis</w:t>
            </w:r>
          </w:p>
          <w:p w:rsidR="006E460B" w:rsidRPr="00313ABD" w:rsidRDefault="006E460B" w:rsidP="006E460B">
            <w:pPr>
              <w:ind w:firstLine="34"/>
              <w:jc w:val="both"/>
            </w:pPr>
            <w:r w:rsidRPr="00313ABD">
              <w:t xml:space="preserve">1. Šis įstatymas nustato Įtariamųjų, kaltinamųjų ir nuteistųjų registro (toliau – Registras) statusą, Registro steigimo tvarką, Registro objektus, Registro duomenų teikėjus ir šių duomenų tvarkymą, Registro finansavimą, reorganizavimą ir likvidavimą. </w:t>
            </w:r>
          </w:p>
          <w:p w:rsidR="006E460B" w:rsidRPr="00313ABD" w:rsidRDefault="006E460B" w:rsidP="006E460B">
            <w:pPr>
              <w:jc w:val="both"/>
            </w:pPr>
            <w:r w:rsidRPr="00313ABD">
              <w:t>2. Registro objektų registravimo tvarką nustato Lietuvos Respublikos Vyriausybė (toliau – Vyriausybė).</w:t>
            </w:r>
          </w:p>
          <w:p w:rsidR="006E460B" w:rsidRPr="00313ABD" w:rsidRDefault="006E460B" w:rsidP="006E460B">
            <w:pPr>
              <w:ind w:firstLine="34"/>
              <w:jc w:val="both"/>
            </w:pPr>
            <w:r w:rsidRPr="00313ABD">
              <w:t>3. Šio įstatymo nuostatos suderintos su Europos Sąjungos teisės aktais, nurodytais šio įstatymo priede.</w:t>
            </w:r>
          </w:p>
          <w:p w:rsidR="006E460B" w:rsidRDefault="006E460B" w:rsidP="006B08CC">
            <w:pPr>
              <w:tabs>
                <w:tab w:val="left" w:pos="1134"/>
              </w:tabs>
              <w:jc w:val="both"/>
              <w:rPr>
                <w:b/>
                <w:szCs w:val="24"/>
              </w:rPr>
            </w:pPr>
          </w:p>
          <w:p w:rsidR="006B08CC" w:rsidRDefault="006B08CC" w:rsidP="006E460B">
            <w:pPr>
              <w:tabs>
                <w:tab w:val="left" w:pos="1134"/>
              </w:tabs>
              <w:jc w:val="both"/>
              <w:rPr>
                <w:szCs w:val="24"/>
              </w:rPr>
            </w:pPr>
            <w:r>
              <w:rPr>
                <w:b/>
                <w:szCs w:val="24"/>
              </w:rPr>
              <w:t>4 straipsnis. Registro objektai</w:t>
            </w:r>
            <w:r w:rsidRPr="001442B7">
              <w:rPr>
                <w:b/>
                <w:szCs w:val="24"/>
              </w:rPr>
              <w:t xml:space="preserve"> ir duomenys</w:t>
            </w:r>
          </w:p>
          <w:p w:rsidR="006B08CC" w:rsidRDefault="006B08CC" w:rsidP="006B08CC">
            <w:pPr>
              <w:tabs>
                <w:tab w:val="left" w:pos="709"/>
              </w:tabs>
              <w:jc w:val="both"/>
              <w:rPr>
                <w:szCs w:val="24"/>
              </w:rPr>
            </w:pPr>
            <w:r w:rsidRPr="00C24A35">
              <w:rPr>
                <w:szCs w:val="24"/>
              </w:rPr>
              <w:t>1. Registro objektai yra įtariamieji, kaltinamieji ir nuteistieji fiziniai bei juridiniai asmenys.</w:t>
            </w:r>
          </w:p>
          <w:p w:rsidR="006B08CC" w:rsidRDefault="006B08CC" w:rsidP="006E460B">
            <w:pPr>
              <w:tabs>
                <w:tab w:val="left" w:pos="709"/>
              </w:tabs>
              <w:jc w:val="both"/>
            </w:pPr>
            <w:r w:rsidRPr="00C24A35">
              <w:rPr>
                <w:szCs w:val="24"/>
              </w:rPr>
              <w:t>2.</w:t>
            </w:r>
            <w:r w:rsidRPr="00C24A35">
              <w:rPr>
                <w:color w:val="FF0000"/>
                <w:szCs w:val="24"/>
              </w:rPr>
              <w:t xml:space="preserve"> </w:t>
            </w:r>
            <w:r w:rsidRPr="00C24A35">
              <w:rPr>
                <w:szCs w:val="24"/>
              </w:rPr>
              <w:t>Registre tvarkomi Registro objektų atžvilgiu ikiteisminio tyrimo metu priimtų</w:t>
            </w:r>
            <w:r>
              <w:rPr>
                <w:szCs w:val="24"/>
              </w:rPr>
              <w:t xml:space="preserve"> nutarimų ir nutarčių bei teisminio nagrinėjimo metu priimtų nutarčių ir nuosprendžių duomenys, duomenys apie jiems paskirtų bausmių vykdymą ir atlikimą bei duomenys apie jų teistumą, teistumo laiko sutrumpinimą, teistumo panaikinimą ir išnykimą. </w:t>
            </w:r>
          </w:p>
        </w:tc>
        <w:tc>
          <w:tcPr>
            <w:tcW w:w="2410" w:type="dxa"/>
          </w:tcPr>
          <w:p w:rsidR="006B08CC" w:rsidRPr="005E370D" w:rsidRDefault="006B08CC" w:rsidP="006B08CC">
            <w:pPr>
              <w:keepNext/>
              <w:jc w:val="center"/>
              <w:outlineLvl w:val="1"/>
              <w:rPr>
                <w:bCs/>
                <w:caps/>
                <w:szCs w:val="24"/>
              </w:rPr>
            </w:pPr>
            <w:r w:rsidRPr="005E370D">
              <w:rPr>
                <w:bCs/>
              </w:rPr>
              <w:t>Visiškas.</w:t>
            </w:r>
          </w:p>
          <w:p w:rsidR="006B08CC" w:rsidRPr="00AB04C2" w:rsidRDefault="006B08CC" w:rsidP="00F30CE6">
            <w:pPr>
              <w:jc w:val="both"/>
              <w:rPr>
                <w:b/>
                <w:szCs w:val="24"/>
              </w:rPr>
            </w:pPr>
          </w:p>
        </w:tc>
      </w:tr>
      <w:tr w:rsidR="006C6EA6" w:rsidTr="00F14AD5">
        <w:tc>
          <w:tcPr>
            <w:tcW w:w="5920" w:type="dxa"/>
          </w:tcPr>
          <w:p w:rsidR="006C6EA6" w:rsidRPr="006B08CC" w:rsidRDefault="006C6EA6" w:rsidP="006C6EA6">
            <w:pPr>
              <w:pStyle w:val="CM4"/>
              <w:jc w:val="both"/>
              <w:rPr>
                <w:rFonts w:ascii="Times New Roman" w:hAnsi="Times New Roman"/>
                <w:i/>
                <w:color w:val="000000"/>
              </w:rPr>
            </w:pPr>
            <w:r w:rsidRPr="006B08CC">
              <w:rPr>
                <w:rFonts w:ascii="Times New Roman" w:hAnsi="Times New Roman"/>
                <w:i/>
                <w:color w:val="000000"/>
              </w:rPr>
              <w:t>3 straipsnis</w:t>
            </w:r>
          </w:p>
          <w:p w:rsidR="006C6EA6" w:rsidRPr="00D166D0" w:rsidRDefault="006C6EA6" w:rsidP="006C6EA6">
            <w:pPr>
              <w:pStyle w:val="CM4"/>
              <w:jc w:val="both"/>
              <w:rPr>
                <w:rFonts w:ascii="Times New Roman" w:hAnsi="Times New Roman"/>
                <w:color w:val="000000"/>
              </w:rPr>
            </w:pPr>
            <w:r w:rsidRPr="00D166D0">
              <w:rPr>
                <w:rFonts w:ascii="Times New Roman" w:hAnsi="Times New Roman"/>
                <w:b/>
                <w:bCs/>
                <w:color w:val="000000"/>
              </w:rPr>
              <w:t xml:space="preserve">Centrinė institucija </w:t>
            </w:r>
          </w:p>
          <w:p w:rsidR="006C6EA6" w:rsidRDefault="006C6EA6" w:rsidP="006C6EA6">
            <w:pPr>
              <w:pStyle w:val="CM4"/>
              <w:jc w:val="both"/>
              <w:rPr>
                <w:rFonts w:ascii="Times New Roman" w:hAnsi="Times New Roman"/>
                <w:color w:val="000000"/>
              </w:rPr>
            </w:pPr>
            <w:r w:rsidRPr="00D166D0">
              <w:rPr>
                <w:rFonts w:ascii="Times New Roman" w:hAnsi="Times New Roman"/>
                <w:color w:val="000000"/>
              </w:rPr>
              <w:t xml:space="preserve">1. Šio pamatinio sprendimo tikslais kiekviena valstybė narė turi paskirti centrinę instituciją. Tačiau informacijai perduoti pagal 4 straipsnį ir atsakymams pagal 7 straipsnį į 6 straipsnyje nurodytus prašymus pateikti valstybės narės gali paskirti vieną ar daugiau centrinių institucijų. </w:t>
            </w:r>
          </w:p>
          <w:p w:rsidR="00151E0C" w:rsidRDefault="00151E0C" w:rsidP="00151E0C">
            <w:pPr>
              <w:rPr>
                <w:lang w:eastAsia="en-US"/>
              </w:rPr>
            </w:pPr>
          </w:p>
          <w:p w:rsidR="00151E0C" w:rsidRDefault="00151E0C" w:rsidP="00151E0C">
            <w:pPr>
              <w:rPr>
                <w:lang w:eastAsia="en-US"/>
              </w:rPr>
            </w:pPr>
          </w:p>
          <w:p w:rsidR="00151E0C" w:rsidRDefault="00151E0C" w:rsidP="00151E0C">
            <w:pPr>
              <w:rPr>
                <w:lang w:eastAsia="en-US"/>
              </w:rPr>
            </w:pPr>
          </w:p>
          <w:p w:rsidR="00151E0C" w:rsidRDefault="00151E0C" w:rsidP="00151E0C">
            <w:pPr>
              <w:rPr>
                <w:lang w:eastAsia="en-US"/>
              </w:rPr>
            </w:pPr>
          </w:p>
          <w:p w:rsidR="00151E0C" w:rsidRPr="00151E0C" w:rsidRDefault="00151E0C" w:rsidP="00151E0C">
            <w:pPr>
              <w:rPr>
                <w:lang w:eastAsia="en-US"/>
              </w:rPr>
            </w:pPr>
          </w:p>
          <w:p w:rsidR="006C6EA6" w:rsidRDefault="006C6EA6" w:rsidP="006C6EA6">
            <w:pPr>
              <w:autoSpaceDE w:val="0"/>
              <w:autoSpaceDN w:val="0"/>
              <w:adjustRightInd w:val="0"/>
              <w:jc w:val="both"/>
              <w:rPr>
                <w:i/>
                <w:iCs/>
                <w:szCs w:val="24"/>
              </w:rPr>
            </w:pPr>
            <w:r w:rsidRPr="00D166D0">
              <w:rPr>
                <w:color w:val="000000"/>
                <w:szCs w:val="24"/>
              </w:rPr>
              <w:t xml:space="preserve">2. Kiekviena valstybė narė turi pranešti Tarybos generaliniam sekretoriatui ir Komisijai apie centrinę instituciją ar institucijas, paskirtas pagal 1 dalį. Tarybos generalinis sekretoriatas šią informaciją turi perduoti valstybėms narėms ir </w:t>
            </w:r>
            <w:r w:rsidRPr="00D166D0">
              <w:rPr>
                <w:i/>
                <w:iCs/>
                <w:color w:val="000000"/>
                <w:szCs w:val="24"/>
              </w:rPr>
              <w:t>Eurojust</w:t>
            </w:r>
            <w:r w:rsidRPr="00D166D0">
              <w:rPr>
                <w:color w:val="000000"/>
                <w:szCs w:val="24"/>
              </w:rPr>
              <w:t>.</w:t>
            </w:r>
          </w:p>
        </w:tc>
        <w:tc>
          <w:tcPr>
            <w:tcW w:w="6804" w:type="dxa"/>
            <w:tcBorders>
              <w:bottom w:val="single" w:sz="4" w:space="0" w:color="auto"/>
            </w:tcBorders>
          </w:tcPr>
          <w:p w:rsidR="00151E0C" w:rsidRDefault="006C6EA6" w:rsidP="009911DD">
            <w:pPr>
              <w:jc w:val="both"/>
              <w:rPr>
                <w:b/>
              </w:rPr>
            </w:pPr>
            <w:r w:rsidRPr="006C6EA6">
              <w:rPr>
                <w:szCs w:val="24"/>
              </w:rPr>
              <w:t>Nutarimas</w:t>
            </w:r>
          </w:p>
          <w:p w:rsidR="006C6EA6" w:rsidRPr="006C6EA6" w:rsidRDefault="006C6EA6" w:rsidP="006C6EA6">
            <w:pPr>
              <w:pStyle w:val="Pagrindinistekstas"/>
              <w:jc w:val="both"/>
              <w:rPr>
                <w:b w:val="0"/>
              </w:rPr>
            </w:pPr>
            <w:r w:rsidRPr="006C6EA6">
              <w:rPr>
                <w:b w:val="0"/>
              </w:rPr>
              <w:t>Įgyvendindama 2009 m. vasario 26 d. Tarybos pamatinio sprendimo 2009/315/TVR dėl valstybių narių keitimosi informacija iš nuosprendžių registro organizavimo ir turinio (OL 2009 L 93, p. 23) (toliau – sprendimas 2009/315/TVR) 3 straipsnį ir 13 straipsnio 2 dalį, Lietuvos Respublikos Vyriausybė</w:t>
            </w:r>
            <w:r w:rsidRPr="006C6EA6">
              <w:rPr>
                <w:b w:val="0"/>
                <w:spacing w:val="80"/>
              </w:rPr>
              <w:t xml:space="preserve"> </w:t>
            </w:r>
            <w:r w:rsidRPr="006C6EA6">
              <w:rPr>
                <w:b w:val="0"/>
                <w:spacing w:val="100"/>
              </w:rPr>
              <w:t>nutaria:</w:t>
            </w:r>
          </w:p>
          <w:p w:rsidR="006C6EA6" w:rsidRDefault="006C6EA6" w:rsidP="006C6EA6">
            <w:pPr>
              <w:jc w:val="both"/>
            </w:pPr>
            <w:r>
              <w:t>1. Paskirti Informatikos ir ryšių departamentą prie Lietuvos Respublikos vidaus reikalų ministerijos Lietuvos Respublikos centrine institucija, atsakinga už sprendimo 2009/315/TVR įgyvendinimą.</w:t>
            </w:r>
          </w:p>
          <w:p w:rsidR="00151E0C" w:rsidRDefault="00151E0C" w:rsidP="006C6EA6">
            <w:pPr>
              <w:pStyle w:val="Pagrindinistekstas"/>
              <w:tabs>
                <w:tab w:val="left" w:pos="851"/>
              </w:tabs>
              <w:jc w:val="both"/>
              <w:rPr>
                <w:b w:val="0"/>
              </w:rPr>
            </w:pPr>
          </w:p>
          <w:p w:rsidR="009911DD" w:rsidRDefault="009911DD" w:rsidP="006C6EA6">
            <w:pPr>
              <w:pStyle w:val="Pagrindinistekstas"/>
              <w:tabs>
                <w:tab w:val="left" w:pos="851"/>
              </w:tabs>
              <w:jc w:val="both"/>
              <w:rPr>
                <w:b w:val="0"/>
              </w:rPr>
            </w:pPr>
          </w:p>
          <w:p w:rsidR="006C6EA6" w:rsidRPr="006C6EA6" w:rsidRDefault="006C6EA6" w:rsidP="006C6EA6">
            <w:pPr>
              <w:pStyle w:val="Pagrindinistekstas"/>
              <w:tabs>
                <w:tab w:val="left" w:pos="851"/>
              </w:tabs>
              <w:jc w:val="both"/>
              <w:rPr>
                <w:b w:val="0"/>
              </w:rPr>
            </w:pPr>
            <w:r w:rsidRPr="006C6EA6">
              <w:rPr>
                <w:b w:val="0"/>
              </w:rPr>
              <w:t>2. Pavesti Informatikos ir ryšių departamentui prie Lietuvos Respublikos vidaus reikalų ministerijos informuoti Europos Sąjungos Tarybos generalinį sekretoriatą ir Europos Komisiją apie paskirtą Lietuvos Respublikos centrinę instituciją ir pateikti jiems šio nutarimo ir kitų teisės aktų, perkeliančių į nacionalinę teisę sprendimą 2009/315/TVR, tekstus.</w:t>
            </w:r>
          </w:p>
        </w:tc>
        <w:tc>
          <w:tcPr>
            <w:tcW w:w="2410" w:type="dxa"/>
          </w:tcPr>
          <w:p w:rsidR="006C6EA6" w:rsidRPr="005E370D" w:rsidRDefault="0099017F" w:rsidP="006B08CC">
            <w:pPr>
              <w:keepNext/>
              <w:jc w:val="center"/>
              <w:outlineLvl w:val="1"/>
              <w:rPr>
                <w:bCs/>
              </w:rPr>
            </w:pPr>
            <w:r>
              <w:rPr>
                <w:bCs/>
              </w:rPr>
              <w:t>Visiškas.</w:t>
            </w:r>
          </w:p>
        </w:tc>
      </w:tr>
      <w:tr w:rsidR="006C6EA6" w:rsidTr="00F14AD5">
        <w:tc>
          <w:tcPr>
            <w:tcW w:w="5920" w:type="dxa"/>
          </w:tcPr>
          <w:p w:rsidR="0099017F" w:rsidRPr="0099017F" w:rsidRDefault="0099017F" w:rsidP="0099017F">
            <w:pPr>
              <w:autoSpaceDE w:val="0"/>
              <w:autoSpaceDN w:val="0"/>
              <w:adjustRightInd w:val="0"/>
              <w:jc w:val="both"/>
              <w:rPr>
                <w:bCs/>
                <w:i/>
                <w:color w:val="000000"/>
                <w:szCs w:val="24"/>
              </w:rPr>
            </w:pPr>
            <w:r w:rsidRPr="0099017F">
              <w:rPr>
                <w:bCs/>
                <w:i/>
                <w:color w:val="000000"/>
                <w:szCs w:val="24"/>
              </w:rPr>
              <w:t>4 straipsnis</w:t>
            </w:r>
          </w:p>
          <w:p w:rsidR="0099017F" w:rsidRDefault="0099017F" w:rsidP="0099017F">
            <w:pPr>
              <w:autoSpaceDE w:val="0"/>
              <w:autoSpaceDN w:val="0"/>
              <w:adjustRightInd w:val="0"/>
              <w:jc w:val="both"/>
              <w:rPr>
                <w:b/>
                <w:bCs/>
                <w:color w:val="000000"/>
                <w:szCs w:val="24"/>
              </w:rPr>
            </w:pPr>
            <w:r w:rsidRPr="0099017F">
              <w:rPr>
                <w:b/>
                <w:bCs/>
                <w:color w:val="000000"/>
                <w:szCs w:val="24"/>
              </w:rPr>
              <w:t xml:space="preserve">Apkaltinamąjį nuosprendį priėmusios valstybės narės pareigos </w:t>
            </w:r>
          </w:p>
          <w:p w:rsidR="00151E0C" w:rsidRPr="0099017F" w:rsidRDefault="00151E0C" w:rsidP="0099017F">
            <w:pPr>
              <w:autoSpaceDE w:val="0"/>
              <w:autoSpaceDN w:val="0"/>
              <w:adjustRightInd w:val="0"/>
              <w:jc w:val="both"/>
              <w:rPr>
                <w:color w:val="000000"/>
                <w:szCs w:val="24"/>
              </w:rPr>
            </w:pPr>
          </w:p>
          <w:p w:rsidR="0099017F" w:rsidRDefault="0099017F" w:rsidP="0099017F">
            <w:pPr>
              <w:autoSpaceDE w:val="0"/>
              <w:autoSpaceDN w:val="0"/>
              <w:adjustRightInd w:val="0"/>
              <w:jc w:val="both"/>
              <w:rPr>
                <w:color w:val="000000"/>
                <w:szCs w:val="24"/>
              </w:rPr>
            </w:pPr>
            <w:r w:rsidRPr="0099017F">
              <w:rPr>
                <w:color w:val="000000"/>
                <w:szCs w:val="24"/>
              </w:rPr>
              <w:t xml:space="preserve">1. Kiekviena valstybė narė turi imtis būtinų priemonių, kad užtikrintų, jog visus jos teritorijoje priimtus apkaltinamuosius nuosprendžius, kurie perduoti nacionalinį nuosprendžių registrą, būtų įrašyta informacija apie nuteisto asmens pilietybę ar pilietybes, jei nuteistasis yra kitos valstybės narės pilietis. </w:t>
            </w:r>
          </w:p>
          <w:p w:rsidR="00151E0C" w:rsidRPr="0099017F" w:rsidRDefault="00151E0C" w:rsidP="0099017F">
            <w:pPr>
              <w:autoSpaceDE w:val="0"/>
              <w:autoSpaceDN w:val="0"/>
              <w:adjustRightInd w:val="0"/>
              <w:jc w:val="both"/>
              <w:rPr>
                <w:color w:val="000000"/>
                <w:szCs w:val="24"/>
              </w:rPr>
            </w:pPr>
          </w:p>
          <w:p w:rsidR="00A203E6" w:rsidRDefault="0099017F" w:rsidP="0099017F">
            <w:pPr>
              <w:pageBreakBefore/>
              <w:autoSpaceDE w:val="0"/>
              <w:autoSpaceDN w:val="0"/>
              <w:adjustRightInd w:val="0"/>
              <w:jc w:val="both"/>
              <w:rPr>
                <w:color w:val="000000"/>
                <w:szCs w:val="24"/>
              </w:rPr>
            </w:pPr>
            <w:r w:rsidRPr="0099017F">
              <w:rPr>
                <w:color w:val="000000"/>
                <w:szCs w:val="24"/>
              </w:rPr>
              <w:t xml:space="preserve">2. Apkaltinamąjį nuosprendį priėmusios valstybės narės centrinė institucija turi kuo greičiau pranešti kitų valstybių narių centrinėms institucijoms apie jos teritorijoje tų kitų valstybių narių piliečių atžvilgiu priimtus </w:t>
            </w:r>
            <w:r w:rsidRPr="0099017F">
              <w:rPr>
                <w:color w:val="000000"/>
                <w:szCs w:val="24"/>
              </w:rPr>
              <w:lastRenderedPageBreak/>
              <w:t>apkaltinamuosius nuosprendžius, įregistruotus nuosprendžių registre.</w:t>
            </w:r>
          </w:p>
          <w:p w:rsidR="0099017F" w:rsidRDefault="0099017F" w:rsidP="0099017F">
            <w:pPr>
              <w:pageBreakBefore/>
              <w:autoSpaceDE w:val="0"/>
              <w:autoSpaceDN w:val="0"/>
              <w:adjustRightInd w:val="0"/>
              <w:jc w:val="both"/>
              <w:rPr>
                <w:color w:val="000000"/>
                <w:szCs w:val="24"/>
              </w:rPr>
            </w:pPr>
            <w:r w:rsidRPr="0099017F">
              <w:rPr>
                <w:color w:val="000000"/>
                <w:szCs w:val="24"/>
              </w:rPr>
              <w:t>Jei žinoma, kad nuteistasis yra kelių valstybių narių pilietis, atitinkama informacija perduodama kiekvienai iš šių valstybių narių, net jei nuteistasis yra tos valstybės narės, kurioje jo atžvilgiu buvo priimtas nuosprendis, pilietis.</w:t>
            </w:r>
          </w:p>
          <w:p w:rsidR="00151E0C" w:rsidRDefault="00151E0C" w:rsidP="0099017F">
            <w:pPr>
              <w:pageBreakBefore/>
              <w:autoSpaceDE w:val="0"/>
              <w:autoSpaceDN w:val="0"/>
              <w:adjustRightInd w:val="0"/>
              <w:jc w:val="both"/>
              <w:rPr>
                <w:color w:val="000000"/>
                <w:szCs w:val="24"/>
              </w:rPr>
            </w:pPr>
          </w:p>
          <w:p w:rsidR="0099017F" w:rsidRDefault="0099017F" w:rsidP="0099017F">
            <w:pPr>
              <w:pageBreakBefore/>
              <w:autoSpaceDE w:val="0"/>
              <w:autoSpaceDN w:val="0"/>
              <w:adjustRightInd w:val="0"/>
              <w:jc w:val="both"/>
              <w:rPr>
                <w:color w:val="000000"/>
                <w:szCs w:val="24"/>
              </w:rPr>
            </w:pPr>
            <w:r w:rsidRPr="0099017F">
              <w:rPr>
                <w:color w:val="000000"/>
                <w:szCs w:val="24"/>
              </w:rPr>
              <w:t>3. Apkaltinamąjį nuosprendį priėmusios valstybės narės centrinė institucija asmens pilietybės valstybės narės centrinei institucijai nedelsdama turi perduoti informaciją apie vėlesnius nuosprendžių registre esančios informacijos pakeitimus ar išbraukimus.</w:t>
            </w:r>
          </w:p>
          <w:p w:rsidR="00151E0C" w:rsidRDefault="00151E0C" w:rsidP="0099017F">
            <w:pPr>
              <w:pageBreakBefore/>
              <w:autoSpaceDE w:val="0"/>
              <w:autoSpaceDN w:val="0"/>
              <w:adjustRightInd w:val="0"/>
              <w:jc w:val="both"/>
              <w:rPr>
                <w:color w:val="000000"/>
                <w:szCs w:val="24"/>
              </w:rPr>
            </w:pPr>
          </w:p>
          <w:p w:rsidR="006C6EA6" w:rsidRPr="0099017F" w:rsidRDefault="0099017F" w:rsidP="0099017F">
            <w:pPr>
              <w:pageBreakBefore/>
              <w:autoSpaceDE w:val="0"/>
              <w:autoSpaceDN w:val="0"/>
              <w:adjustRightInd w:val="0"/>
              <w:jc w:val="both"/>
              <w:rPr>
                <w:iCs/>
                <w:szCs w:val="24"/>
              </w:rPr>
            </w:pPr>
            <w:r w:rsidRPr="0099017F">
              <w:rPr>
                <w:color w:val="000000"/>
                <w:szCs w:val="24"/>
              </w:rPr>
              <w:t xml:space="preserve">4. Valstybė narė, pateikusi informaciją pagal 2 ir 3 dalis, atskirais atvejais asmens pilietybės valstybės narės centrinės institucijos prašymu pateikia jai apkaltinamųjų nuosprendžių ir tolesnių priemonių kopiją bei kitą su tuo susijusią informaciją, kad ji galėtų įvertinti, ar dėl tų nuosprendžių ir priemonių reikia imtis priemonių nacionaliniu lygiu. </w:t>
            </w:r>
          </w:p>
        </w:tc>
        <w:tc>
          <w:tcPr>
            <w:tcW w:w="6804" w:type="dxa"/>
            <w:tcBorders>
              <w:bottom w:val="single" w:sz="4" w:space="0" w:color="auto"/>
            </w:tcBorders>
          </w:tcPr>
          <w:p w:rsidR="006E460B" w:rsidRDefault="006E460B" w:rsidP="009911DD">
            <w:pPr>
              <w:pStyle w:val="Pagrindinistekstas"/>
              <w:tabs>
                <w:tab w:val="left" w:pos="851"/>
              </w:tabs>
              <w:jc w:val="both"/>
            </w:pPr>
            <w:r w:rsidRPr="002C4618">
              <w:lastRenderedPageBreak/>
              <w:t>Projektas</w:t>
            </w:r>
          </w:p>
          <w:p w:rsidR="00B534D8" w:rsidRDefault="003E3726" w:rsidP="003E3726">
            <w:pPr>
              <w:pStyle w:val="tajtip"/>
              <w:spacing w:before="0" w:beforeAutospacing="0" w:after="0" w:afterAutospacing="0"/>
              <w:jc w:val="center"/>
              <w:rPr>
                <w:b/>
              </w:rPr>
            </w:pPr>
            <w:r w:rsidRPr="00B020BB">
              <w:rPr>
                <w:b/>
              </w:rPr>
              <w:t xml:space="preserve">III. REGISTRO </w:t>
            </w:r>
            <w:r w:rsidR="00B534D8">
              <w:rPr>
                <w:b/>
              </w:rPr>
              <w:t>OBJEKTAI, JŲ DUO</w:t>
            </w:r>
            <w:r w:rsidRPr="00B020BB">
              <w:rPr>
                <w:b/>
              </w:rPr>
              <w:t>MENYS</w:t>
            </w:r>
            <w:r w:rsidR="00B534D8">
              <w:rPr>
                <w:b/>
              </w:rPr>
              <w:t>, INFORMACIJA IR DOKUMENTAI</w:t>
            </w:r>
          </w:p>
          <w:p w:rsidR="00B534D8" w:rsidRDefault="00B534D8" w:rsidP="003E3726">
            <w:pPr>
              <w:pStyle w:val="tajtip"/>
              <w:spacing w:before="0" w:beforeAutospacing="0" w:after="0" w:afterAutospacing="0"/>
              <w:jc w:val="center"/>
              <w:rPr>
                <w:b/>
              </w:rPr>
            </w:pPr>
            <w:r>
              <w:rPr>
                <w:b/>
              </w:rPr>
              <w:t>ANTRASIS SKIRSNIS</w:t>
            </w:r>
          </w:p>
          <w:p w:rsidR="002A7018" w:rsidRPr="00E24775" w:rsidRDefault="002A7018" w:rsidP="003E3726">
            <w:pPr>
              <w:pStyle w:val="tajtip"/>
              <w:spacing w:before="0" w:beforeAutospacing="0" w:after="0" w:afterAutospacing="0"/>
              <w:jc w:val="center"/>
              <w:rPr>
                <w:b/>
              </w:rPr>
            </w:pPr>
            <w:r w:rsidRPr="00E24775">
              <w:rPr>
                <w:b/>
              </w:rPr>
              <w:t>BENDRIEJI REGISTRO OBJEKTŲ DUOMENYS</w:t>
            </w:r>
            <w:r w:rsidR="003E3726">
              <w:rPr>
                <w:b/>
              </w:rPr>
              <w:t xml:space="preserve"> </w:t>
            </w:r>
          </w:p>
          <w:p w:rsidR="002A7018" w:rsidRDefault="002A7018" w:rsidP="002A7018">
            <w:pPr>
              <w:pStyle w:val="tajtip"/>
              <w:spacing w:before="0" w:beforeAutospacing="0" w:after="0" w:afterAutospacing="0"/>
              <w:jc w:val="both"/>
            </w:pPr>
          </w:p>
          <w:p w:rsidR="002A7018" w:rsidRPr="002A7018" w:rsidRDefault="002A7018" w:rsidP="00521131">
            <w:pPr>
              <w:pStyle w:val="tajtip"/>
              <w:spacing w:before="0" w:beforeAutospacing="0" w:after="0" w:afterAutospacing="0"/>
              <w:jc w:val="both"/>
              <w:rPr>
                <w:b/>
              </w:rPr>
            </w:pPr>
            <w:r w:rsidRPr="002A7018">
              <w:rPr>
                <w:b/>
              </w:rPr>
              <w:t>1</w:t>
            </w:r>
            <w:r w:rsidR="00B534D8">
              <w:rPr>
                <w:b/>
              </w:rPr>
              <w:t>1</w:t>
            </w:r>
            <w:r w:rsidRPr="002A7018">
              <w:rPr>
                <w:b/>
              </w:rPr>
              <w:t>. Registre tvarkomi šie bendrieji duomenys apie fizinius asmenis, nurodytus Nuostatų 3 punkte:</w:t>
            </w:r>
          </w:p>
          <w:p w:rsidR="002A7018" w:rsidRPr="002A7018" w:rsidRDefault="002A7018" w:rsidP="00521131">
            <w:pPr>
              <w:pStyle w:val="tajtip"/>
              <w:spacing w:before="0" w:beforeAutospacing="0" w:after="0" w:afterAutospacing="0"/>
              <w:jc w:val="both"/>
              <w:rPr>
                <w:b/>
              </w:rPr>
            </w:pPr>
            <w:r w:rsidRPr="002A7018">
              <w:rPr>
                <w:b/>
              </w:rPr>
              <w:t>1</w:t>
            </w:r>
            <w:r w:rsidR="00765B7D">
              <w:rPr>
                <w:b/>
              </w:rPr>
              <w:t>1</w:t>
            </w:r>
            <w:r w:rsidRPr="002A7018">
              <w:rPr>
                <w:b/>
              </w:rPr>
              <w:t>.8. pilietybė (pilietybės);</w:t>
            </w:r>
          </w:p>
          <w:p w:rsidR="006E460B" w:rsidRDefault="006E460B" w:rsidP="002A7018">
            <w:pPr>
              <w:pStyle w:val="Pagrindinistekstas"/>
              <w:tabs>
                <w:tab w:val="left" w:pos="851"/>
              </w:tabs>
              <w:jc w:val="both"/>
              <w:rPr>
                <w:b w:val="0"/>
              </w:rPr>
            </w:pPr>
          </w:p>
          <w:p w:rsidR="00151E0C" w:rsidRDefault="00475D4D" w:rsidP="006E460B">
            <w:pPr>
              <w:pStyle w:val="tajtip"/>
              <w:spacing w:before="0" w:beforeAutospacing="0" w:after="0" w:afterAutospacing="0"/>
              <w:ind w:firstLine="34"/>
              <w:jc w:val="both"/>
            </w:pPr>
            <w:r>
              <w:t>Taisyklės</w:t>
            </w:r>
          </w:p>
          <w:p w:rsidR="00475D4D" w:rsidRDefault="00475D4D" w:rsidP="006E460B">
            <w:pPr>
              <w:pStyle w:val="tajtip"/>
              <w:spacing w:before="0" w:beforeAutospacing="0" w:after="0" w:afterAutospacing="0"/>
              <w:ind w:firstLine="34"/>
              <w:jc w:val="both"/>
            </w:pPr>
            <w:r w:rsidRPr="00475D4D">
              <w:t xml:space="preserve">65. Įrašius į Registro duomenų bazę duomenis apie Europos Sąjungos valstybės narės piliečiui Lietuvos Respublikos teismo priimtą apkaltinamąjį nuosprendį, vėlesnius su nuosprendžiu susijusius sprendimus, keičiančius paskirtą bausmę ar jos vykdymo </w:t>
            </w:r>
            <w:r w:rsidRPr="00475D4D">
              <w:lastRenderedPageBreak/>
              <w:t>sąlygas, teistumo išnykimo termino sutrumpinimą ar teistumo panaikinimą, taip pat suėjus Baudžiamajame kodekse nustatytam teistumo išnykimo terminui, Registro valdytojas ne vėliau kaip kitą darbo dieną išsiunčia pranešimą, kurio forma nustatyta Taisyklių 33 priede, šio piliečio valstybės centrinei institucijai paštu arba elektroninių ryšių priemonėmis. Jei minėtas asmuo turi kelias pilietybes, pranešimai išsiunčiami atitinkamai šių valstybių centrinėms institucijoms.</w:t>
            </w:r>
          </w:p>
          <w:p w:rsidR="00151E0C" w:rsidRDefault="00151E0C" w:rsidP="006E460B">
            <w:pPr>
              <w:pStyle w:val="tajtip"/>
              <w:spacing w:before="0" w:beforeAutospacing="0" w:after="0" w:afterAutospacing="0"/>
              <w:ind w:firstLine="34"/>
              <w:jc w:val="both"/>
            </w:pPr>
          </w:p>
          <w:p w:rsidR="006E460B" w:rsidRDefault="006E460B" w:rsidP="00A421D1">
            <w:pPr>
              <w:pStyle w:val="tajtip"/>
              <w:spacing w:before="0" w:beforeAutospacing="0" w:after="0" w:afterAutospacing="0"/>
              <w:ind w:firstLine="34"/>
              <w:jc w:val="both"/>
              <w:rPr>
                <w:b/>
              </w:rPr>
            </w:pPr>
          </w:p>
          <w:p w:rsidR="00475D4D" w:rsidRDefault="00475D4D" w:rsidP="00A421D1">
            <w:pPr>
              <w:pStyle w:val="tajtip"/>
              <w:spacing w:before="0" w:beforeAutospacing="0" w:after="0" w:afterAutospacing="0"/>
              <w:ind w:firstLine="34"/>
              <w:jc w:val="both"/>
              <w:rPr>
                <w:b/>
              </w:rPr>
            </w:pPr>
          </w:p>
          <w:p w:rsidR="00475D4D" w:rsidRDefault="00475D4D" w:rsidP="00A421D1">
            <w:pPr>
              <w:pStyle w:val="tajtip"/>
              <w:spacing w:before="0" w:beforeAutospacing="0" w:after="0" w:afterAutospacing="0"/>
              <w:ind w:firstLine="34"/>
              <w:jc w:val="both"/>
              <w:rPr>
                <w:b/>
              </w:rPr>
            </w:pPr>
          </w:p>
          <w:p w:rsidR="00475D4D" w:rsidRDefault="00475D4D" w:rsidP="00A421D1">
            <w:pPr>
              <w:pStyle w:val="tajtip"/>
              <w:spacing w:before="0" w:beforeAutospacing="0" w:after="0" w:afterAutospacing="0"/>
              <w:ind w:firstLine="34"/>
              <w:jc w:val="both"/>
              <w:rPr>
                <w:b/>
              </w:rPr>
            </w:pPr>
          </w:p>
          <w:p w:rsidR="009911DD" w:rsidRDefault="009911DD" w:rsidP="00475D4D">
            <w:pPr>
              <w:pStyle w:val="tajtip"/>
              <w:spacing w:before="0" w:beforeAutospacing="0" w:after="0" w:afterAutospacing="0"/>
              <w:ind w:firstLine="34"/>
              <w:jc w:val="both"/>
            </w:pPr>
          </w:p>
          <w:p w:rsidR="00475D4D" w:rsidRPr="00475D4D" w:rsidRDefault="00475D4D" w:rsidP="00475D4D">
            <w:pPr>
              <w:pStyle w:val="tajtip"/>
              <w:spacing w:before="0" w:beforeAutospacing="0" w:after="0" w:afterAutospacing="0"/>
              <w:ind w:firstLine="34"/>
              <w:jc w:val="both"/>
            </w:pPr>
            <w:r w:rsidRPr="00475D4D">
              <w:t>Taisyklės.</w:t>
            </w:r>
          </w:p>
          <w:p w:rsidR="00475D4D" w:rsidRPr="00475D4D" w:rsidRDefault="00475D4D" w:rsidP="00475D4D">
            <w:pPr>
              <w:pStyle w:val="tajtip"/>
              <w:spacing w:before="0" w:beforeAutospacing="0" w:after="0" w:afterAutospacing="0"/>
              <w:ind w:firstLine="34"/>
              <w:jc w:val="both"/>
            </w:pPr>
            <w:r w:rsidRPr="00475D4D">
              <w:t>68. Registro valdytojas, gavęs Europos Sąjungos valstybės narės centrinės institucijos prašymą pateikti Lietuvos Respublikos teismo priimto apkaltinamojo nuosprendžio ar kito procesinio sprendimo baudžiamojoje byloje kopiją, prašomo dokumento kopiją išsiunčia elektroninių ryšių priemonėmis arba paštu, jeigu Registro duomenų teikėjai, vadovaudamiesi Registro nuostatais, yra įpareigoti Registro valdytojui teikti prašomų dokumentų kopijas ir prašymas pateiktas baudžiamosios bylos tikslais.</w:t>
            </w:r>
          </w:p>
          <w:p w:rsidR="00475D4D" w:rsidRPr="006B08CC" w:rsidRDefault="00475D4D" w:rsidP="00475D4D">
            <w:pPr>
              <w:pStyle w:val="tajtip"/>
              <w:spacing w:before="0" w:beforeAutospacing="0" w:after="0" w:afterAutospacing="0"/>
              <w:ind w:firstLine="34"/>
              <w:jc w:val="both"/>
              <w:rPr>
                <w:b/>
              </w:rPr>
            </w:pPr>
            <w:r w:rsidRPr="00475D4D">
              <w:t>69. Jeigu Europos Sąjungos valstybės narės centrinė institucija prašo pateikti Lietuvos Respublikos kompetentingų institucijų priimto sprendimo kopiją ne baudžiamosios bylos tikslais arba Registro duomenų teikėjai prašomų dokumentų kopijų Registro valdytojui neteikia, Informatikos ir ryšių departamentas tokį Europos Sąjungos valstybės narės centrinės institucijos prašymą persiunčia Lietuvos Respublikos teisingumo ministerijai.</w:t>
            </w:r>
          </w:p>
        </w:tc>
        <w:tc>
          <w:tcPr>
            <w:tcW w:w="2410" w:type="dxa"/>
          </w:tcPr>
          <w:p w:rsidR="006C6EA6" w:rsidRPr="005E370D" w:rsidRDefault="00475D4D" w:rsidP="00475D4D">
            <w:pPr>
              <w:keepNext/>
              <w:jc w:val="center"/>
              <w:outlineLvl w:val="1"/>
              <w:rPr>
                <w:bCs/>
              </w:rPr>
            </w:pPr>
            <w:r>
              <w:rPr>
                <w:bCs/>
              </w:rPr>
              <w:lastRenderedPageBreak/>
              <w:t>Visiškas.</w:t>
            </w:r>
          </w:p>
        </w:tc>
      </w:tr>
      <w:tr w:rsidR="006C6EA6" w:rsidTr="00F14AD5">
        <w:tc>
          <w:tcPr>
            <w:tcW w:w="5920" w:type="dxa"/>
          </w:tcPr>
          <w:p w:rsidR="0099017F" w:rsidRPr="0099017F" w:rsidRDefault="0099017F" w:rsidP="0099017F">
            <w:pPr>
              <w:autoSpaceDE w:val="0"/>
              <w:autoSpaceDN w:val="0"/>
              <w:adjustRightInd w:val="0"/>
              <w:jc w:val="both"/>
              <w:rPr>
                <w:bCs/>
                <w:i/>
                <w:color w:val="000000"/>
                <w:szCs w:val="24"/>
              </w:rPr>
            </w:pPr>
            <w:r w:rsidRPr="0099017F">
              <w:rPr>
                <w:bCs/>
                <w:i/>
                <w:color w:val="000000"/>
                <w:szCs w:val="24"/>
              </w:rPr>
              <w:t>5 straipsnis</w:t>
            </w:r>
          </w:p>
          <w:p w:rsidR="0099017F" w:rsidRPr="0099017F" w:rsidRDefault="0099017F" w:rsidP="0099017F">
            <w:pPr>
              <w:autoSpaceDE w:val="0"/>
              <w:autoSpaceDN w:val="0"/>
              <w:adjustRightInd w:val="0"/>
              <w:jc w:val="both"/>
              <w:rPr>
                <w:color w:val="000000"/>
                <w:szCs w:val="24"/>
              </w:rPr>
            </w:pPr>
            <w:r w:rsidRPr="0099017F">
              <w:rPr>
                <w:b/>
                <w:bCs/>
                <w:color w:val="000000"/>
                <w:szCs w:val="24"/>
              </w:rPr>
              <w:t xml:space="preserve">Asmens pilietybės valstybės narės pareigos </w:t>
            </w:r>
          </w:p>
          <w:p w:rsidR="0099017F" w:rsidRDefault="0099017F" w:rsidP="0099017F">
            <w:pPr>
              <w:autoSpaceDE w:val="0"/>
              <w:autoSpaceDN w:val="0"/>
              <w:adjustRightInd w:val="0"/>
              <w:jc w:val="both"/>
              <w:rPr>
                <w:color w:val="000000"/>
                <w:szCs w:val="24"/>
              </w:rPr>
            </w:pPr>
            <w:r w:rsidRPr="0099017F">
              <w:rPr>
                <w:color w:val="000000"/>
                <w:szCs w:val="24"/>
              </w:rPr>
              <w:t xml:space="preserve">1. Asmens pilietybės valstybės narės centrinė institucija turi saugoti visą pagal 4 straipsnio 2 ir 3 dalis perduotą 11 straipsnio 1 ir 2 dalyse nurodytą informaciją, kad ją būtų galima toliau perduoti pagal 7 straipsnį. </w:t>
            </w:r>
          </w:p>
          <w:p w:rsidR="002C4618" w:rsidRPr="0099017F" w:rsidRDefault="002C4618"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420CC0" w:rsidRDefault="00420CC0"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AD0FD6" w:rsidRDefault="00AD0FD6" w:rsidP="0099017F">
            <w:pPr>
              <w:autoSpaceDE w:val="0"/>
              <w:autoSpaceDN w:val="0"/>
              <w:adjustRightInd w:val="0"/>
              <w:jc w:val="both"/>
              <w:rPr>
                <w:color w:val="000000"/>
                <w:szCs w:val="24"/>
              </w:rPr>
            </w:pPr>
          </w:p>
          <w:p w:rsidR="0099017F" w:rsidRDefault="0099017F" w:rsidP="0099017F">
            <w:pPr>
              <w:autoSpaceDE w:val="0"/>
              <w:autoSpaceDN w:val="0"/>
              <w:adjustRightInd w:val="0"/>
              <w:jc w:val="both"/>
              <w:rPr>
                <w:color w:val="000000"/>
                <w:szCs w:val="24"/>
              </w:rPr>
            </w:pPr>
            <w:r w:rsidRPr="0099017F">
              <w:rPr>
                <w:color w:val="000000"/>
                <w:szCs w:val="24"/>
              </w:rPr>
              <w:t xml:space="preserve">2. Pakeitus arba išbraukus pagal 4 straipsnio 3 dalį perduotą informaciją, asmens pilietybės valstybė narė atitinkamai pakeičia arba išbraukia informaciją, saugomą pagal šio straipsnio 1 dalį ir skirtą toliau perduoti pagal 7 straipsnį. </w:t>
            </w:r>
          </w:p>
          <w:p w:rsidR="002C4618" w:rsidRPr="0099017F" w:rsidRDefault="002C4618"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475D4D" w:rsidRDefault="00475D4D" w:rsidP="0099017F">
            <w:pPr>
              <w:autoSpaceDE w:val="0"/>
              <w:autoSpaceDN w:val="0"/>
              <w:adjustRightInd w:val="0"/>
              <w:jc w:val="both"/>
              <w:rPr>
                <w:color w:val="000000"/>
                <w:szCs w:val="24"/>
              </w:rPr>
            </w:pPr>
          </w:p>
          <w:p w:rsidR="005D2D76" w:rsidRDefault="005D2D76" w:rsidP="0099017F">
            <w:pPr>
              <w:autoSpaceDE w:val="0"/>
              <w:autoSpaceDN w:val="0"/>
              <w:adjustRightInd w:val="0"/>
              <w:jc w:val="both"/>
              <w:rPr>
                <w:color w:val="000000"/>
                <w:szCs w:val="24"/>
              </w:rPr>
            </w:pPr>
          </w:p>
          <w:p w:rsidR="005D2D76" w:rsidRDefault="005D2D76" w:rsidP="0099017F">
            <w:pPr>
              <w:autoSpaceDE w:val="0"/>
              <w:autoSpaceDN w:val="0"/>
              <w:adjustRightInd w:val="0"/>
              <w:jc w:val="both"/>
              <w:rPr>
                <w:color w:val="000000"/>
                <w:szCs w:val="24"/>
              </w:rPr>
            </w:pPr>
          </w:p>
          <w:p w:rsidR="005D2D76" w:rsidRDefault="005D2D76" w:rsidP="0099017F">
            <w:pPr>
              <w:autoSpaceDE w:val="0"/>
              <w:autoSpaceDN w:val="0"/>
              <w:adjustRightInd w:val="0"/>
              <w:jc w:val="both"/>
              <w:rPr>
                <w:color w:val="000000"/>
                <w:szCs w:val="24"/>
              </w:rPr>
            </w:pPr>
          </w:p>
          <w:p w:rsidR="005D2D76" w:rsidRDefault="005D2D76" w:rsidP="0099017F">
            <w:pPr>
              <w:autoSpaceDE w:val="0"/>
              <w:autoSpaceDN w:val="0"/>
              <w:adjustRightInd w:val="0"/>
              <w:jc w:val="both"/>
              <w:rPr>
                <w:color w:val="000000"/>
                <w:szCs w:val="24"/>
              </w:rPr>
            </w:pPr>
          </w:p>
          <w:p w:rsidR="005D2D76" w:rsidRDefault="005D2D76" w:rsidP="0099017F">
            <w:pPr>
              <w:autoSpaceDE w:val="0"/>
              <w:autoSpaceDN w:val="0"/>
              <w:adjustRightInd w:val="0"/>
              <w:jc w:val="both"/>
              <w:rPr>
                <w:color w:val="000000"/>
                <w:szCs w:val="24"/>
              </w:rPr>
            </w:pPr>
          </w:p>
          <w:p w:rsidR="005D2D76" w:rsidRDefault="005D2D76" w:rsidP="0099017F">
            <w:pPr>
              <w:autoSpaceDE w:val="0"/>
              <w:autoSpaceDN w:val="0"/>
              <w:adjustRightInd w:val="0"/>
              <w:jc w:val="both"/>
              <w:rPr>
                <w:color w:val="000000"/>
                <w:szCs w:val="24"/>
              </w:rPr>
            </w:pPr>
          </w:p>
          <w:p w:rsidR="006C6EA6" w:rsidRDefault="0099017F" w:rsidP="0099017F">
            <w:pPr>
              <w:autoSpaceDE w:val="0"/>
              <w:autoSpaceDN w:val="0"/>
              <w:adjustRightInd w:val="0"/>
              <w:jc w:val="both"/>
              <w:rPr>
                <w:i/>
                <w:iCs/>
                <w:szCs w:val="24"/>
              </w:rPr>
            </w:pPr>
            <w:r w:rsidRPr="0099017F">
              <w:rPr>
                <w:color w:val="000000"/>
                <w:szCs w:val="24"/>
              </w:rPr>
              <w:t>3. Tolesniam perdavimui pagal 7 straipsnį asmens pilietybės valstybė narė gali naudoti tik pagal šio straipsnio 2 dalį atnaujintą informaciją.</w:t>
            </w:r>
          </w:p>
        </w:tc>
        <w:tc>
          <w:tcPr>
            <w:tcW w:w="6804" w:type="dxa"/>
            <w:tcBorders>
              <w:bottom w:val="single" w:sz="4" w:space="0" w:color="auto"/>
            </w:tcBorders>
          </w:tcPr>
          <w:p w:rsidR="00A421D1" w:rsidRDefault="00A421D1" w:rsidP="002830D5">
            <w:pPr>
              <w:pStyle w:val="tajtip"/>
              <w:spacing w:before="0" w:beforeAutospacing="0" w:after="0" w:afterAutospacing="0"/>
              <w:jc w:val="both"/>
            </w:pPr>
            <w:r w:rsidRPr="002C4618">
              <w:rPr>
                <w:b/>
                <w:bCs/>
              </w:rPr>
              <w:lastRenderedPageBreak/>
              <w:t>Projektas</w:t>
            </w:r>
            <w:r w:rsidR="00420CC0">
              <w:tab/>
            </w:r>
          </w:p>
          <w:p w:rsidR="00765B7D" w:rsidRPr="00765B7D" w:rsidRDefault="00765B7D" w:rsidP="002830D5">
            <w:pPr>
              <w:pStyle w:val="tajtip"/>
              <w:tabs>
                <w:tab w:val="left" w:pos="1088"/>
              </w:tabs>
              <w:spacing w:before="0" w:beforeAutospacing="0" w:after="0" w:afterAutospacing="0"/>
              <w:ind w:firstLine="34"/>
              <w:jc w:val="center"/>
              <w:rPr>
                <w:b/>
              </w:rPr>
            </w:pPr>
            <w:r w:rsidRPr="00765B7D">
              <w:rPr>
                <w:b/>
              </w:rPr>
              <w:t>III. REGISTRO OBJEKTAI, JŲ DUOMENYS, INFORMACIJA IR DOKUMENTAI</w:t>
            </w:r>
          </w:p>
          <w:p w:rsidR="00765B7D" w:rsidRPr="00765B7D" w:rsidRDefault="00765B7D" w:rsidP="002830D5">
            <w:pPr>
              <w:pStyle w:val="tajtip"/>
              <w:tabs>
                <w:tab w:val="left" w:pos="1088"/>
              </w:tabs>
              <w:spacing w:before="0" w:beforeAutospacing="0" w:after="0" w:afterAutospacing="0"/>
              <w:ind w:firstLine="34"/>
              <w:jc w:val="center"/>
              <w:rPr>
                <w:b/>
              </w:rPr>
            </w:pPr>
            <w:r w:rsidRPr="00765B7D">
              <w:rPr>
                <w:b/>
              </w:rPr>
              <w:t>ANTRASIS SKIRSNIS</w:t>
            </w:r>
          </w:p>
          <w:p w:rsidR="00420CC0" w:rsidRDefault="00765B7D" w:rsidP="002830D5">
            <w:pPr>
              <w:pStyle w:val="tajtip"/>
              <w:tabs>
                <w:tab w:val="left" w:pos="1088"/>
              </w:tabs>
              <w:spacing w:before="0" w:beforeAutospacing="0" w:after="0" w:afterAutospacing="0"/>
              <w:ind w:firstLine="34"/>
              <w:jc w:val="center"/>
              <w:rPr>
                <w:b/>
              </w:rPr>
            </w:pPr>
            <w:r w:rsidRPr="00765B7D">
              <w:rPr>
                <w:b/>
              </w:rPr>
              <w:t>BENDRIEJI REGISTRO OBJEKTŲ DUOMENYS</w:t>
            </w:r>
          </w:p>
          <w:p w:rsidR="003E3726" w:rsidRPr="00420CC0" w:rsidRDefault="003E3726" w:rsidP="002830D5">
            <w:pPr>
              <w:pStyle w:val="tajtip"/>
              <w:tabs>
                <w:tab w:val="left" w:pos="1088"/>
              </w:tabs>
              <w:spacing w:before="0" w:beforeAutospacing="0" w:after="0" w:afterAutospacing="0"/>
              <w:ind w:firstLine="34"/>
              <w:rPr>
                <w:b/>
              </w:rPr>
            </w:pPr>
          </w:p>
          <w:p w:rsidR="00765B7D" w:rsidRPr="00765B7D" w:rsidRDefault="00765B7D" w:rsidP="002830D5">
            <w:pPr>
              <w:pStyle w:val="tajtip"/>
              <w:spacing w:before="0" w:beforeAutospacing="0" w:after="0" w:afterAutospacing="0"/>
              <w:jc w:val="both"/>
              <w:rPr>
                <w:b/>
              </w:rPr>
            </w:pPr>
            <w:r w:rsidRPr="00765B7D">
              <w:rPr>
                <w:b/>
              </w:rPr>
              <w:t>11.</w:t>
            </w:r>
            <w:r w:rsidRPr="00765B7D">
              <w:rPr>
                <w:b/>
              </w:rPr>
              <w:tab/>
              <w:t>Registre tvarkomi šie bendrieji duomenys apie fizinius asmenis, nurodytus Nuostatų 10 punkte:</w:t>
            </w:r>
          </w:p>
          <w:p w:rsidR="00765B7D" w:rsidRPr="00765B7D" w:rsidRDefault="00765B7D" w:rsidP="00547A4F">
            <w:pPr>
              <w:pStyle w:val="tajtip"/>
              <w:spacing w:before="0" w:beforeAutospacing="0" w:after="0" w:afterAutospacing="0"/>
              <w:jc w:val="both"/>
              <w:rPr>
                <w:b/>
              </w:rPr>
            </w:pPr>
            <w:r w:rsidRPr="00765B7D">
              <w:rPr>
                <w:b/>
              </w:rPr>
              <w:t>11.2.</w:t>
            </w:r>
            <w:r w:rsidRPr="00765B7D">
              <w:rPr>
                <w:b/>
              </w:rPr>
              <w:tab/>
              <w:t>asmens kodas (įrašomas, jeigu jis suteiktas Lietuvos Respublikos gyventojų registro įstatymo nustatyta tvarka);</w:t>
            </w:r>
          </w:p>
          <w:p w:rsidR="00765B7D" w:rsidRPr="00765B7D" w:rsidRDefault="00765B7D" w:rsidP="00547A4F">
            <w:pPr>
              <w:pStyle w:val="tajtip"/>
              <w:spacing w:before="0" w:beforeAutospacing="0" w:after="0" w:afterAutospacing="0"/>
              <w:jc w:val="both"/>
              <w:rPr>
                <w:b/>
              </w:rPr>
            </w:pPr>
            <w:r w:rsidRPr="00765B7D">
              <w:rPr>
                <w:b/>
              </w:rPr>
              <w:t>11.3.</w:t>
            </w:r>
            <w:r w:rsidRPr="00765B7D">
              <w:rPr>
                <w:b/>
              </w:rPr>
              <w:tab/>
              <w:t>vardas (vardai);</w:t>
            </w:r>
          </w:p>
          <w:p w:rsidR="00765B7D" w:rsidRPr="00765B7D" w:rsidRDefault="00765B7D" w:rsidP="00547A4F">
            <w:pPr>
              <w:pStyle w:val="tajtip"/>
              <w:spacing w:before="0" w:beforeAutospacing="0" w:after="0" w:afterAutospacing="0"/>
              <w:jc w:val="both"/>
              <w:rPr>
                <w:b/>
              </w:rPr>
            </w:pPr>
            <w:r w:rsidRPr="00765B7D">
              <w:rPr>
                <w:b/>
              </w:rPr>
              <w:t>11.4.</w:t>
            </w:r>
            <w:r w:rsidRPr="00765B7D">
              <w:rPr>
                <w:b/>
              </w:rPr>
              <w:tab/>
              <w:t>pavardė (pavardės);</w:t>
            </w:r>
          </w:p>
          <w:p w:rsidR="00765B7D" w:rsidRPr="00765B7D" w:rsidRDefault="00765B7D" w:rsidP="00547A4F">
            <w:pPr>
              <w:pStyle w:val="tajtip"/>
              <w:spacing w:before="0" w:beforeAutospacing="0" w:after="0" w:afterAutospacing="0"/>
              <w:jc w:val="both"/>
              <w:rPr>
                <w:b/>
              </w:rPr>
            </w:pPr>
            <w:r w:rsidRPr="00765B7D">
              <w:rPr>
                <w:b/>
              </w:rPr>
              <w:t>11.5.</w:t>
            </w:r>
            <w:r w:rsidRPr="00765B7D">
              <w:rPr>
                <w:b/>
              </w:rPr>
              <w:tab/>
              <w:t>gimimo data;</w:t>
            </w:r>
          </w:p>
          <w:p w:rsidR="00765B7D" w:rsidRPr="00765B7D" w:rsidRDefault="00765B7D" w:rsidP="00547A4F">
            <w:pPr>
              <w:pStyle w:val="tajtip"/>
              <w:spacing w:before="0" w:beforeAutospacing="0" w:after="0" w:afterAutospacing="0"/>
              <w:jc w:val="both"/>
              <w:rPr>
                <w:b/>
              </w:rPr>
            </w:pPr>
            <w:r w:rsidRPr="00765B7D">
              <w:rPr>
                <w:b/>
              </w:rPr>
              <w:t>11.6.</w:t>
            </w:r>
            <w:r w:rsidRPr="00765B7D">
              <w:rPr>
                <w:b/>
              </w:rPr>
              <w:tab/>
              <w:t>gimimo vieta;</w:t>
            </w:r>
          </w:p>
          <w:p w:rsidR="00765B7D" w:rsidRPr="00765B7D" w:rsidRDefault="00765B7D" w:rsidP="00547A4F">
            <w:pPr>
              <w:pStyle w:val="tajtip"/>
              <w:spacing w:before="0" w:beforeAutospacing="0" w:after="0" w:afterAutospacing="0"/>
              <w:jc w:val="both"/>
              <w:rPr>
                <w:b/>
              </w:rPr>
            </w:pPr>
            <w:r w:rsidRPr="00765B7D">
              <w:rPr>
                <w:b/>
              </w:rPr>
              <w:t>11.7.</w:t>
            </w:r>
            <w:r w:rsidRPr="00765B7D">
              <w:rPr>
                <w:b/>
              </w:rPr>
              <w:tab/>
              <w:t>lytis;</w:t>
            </w:r>
          </w:p>
          <w:p w:rsidR="00765B7D" w:rsidRPr="00765B7D" w:rsidRDefault="00765B7D" w:rsidP="00547A4F">
            <w:pPr>
              <w:pStyle w:val="tajtip"/>
              <w:spacing w:before="0" w:beforeAutospacing="0" w:after="0" w:afterAutospacing="0"/>
              <w:jc w:val="both"/>
              <w:rPr>
                <w:b/>
              </w:rPr>
            </w:pPr>
            <w:r w:rsidRPr="00765B7D">
              <w:rPr>
                <w:b/>
              </w:rPr>
              <w:t>11.8.</w:t>
            </w:r>
            <w:r w:rsidRPr="00765B7D">
              <w:rPr>
                <w:b/>
              </w:rPr>
              <w:tab/>
              <w:t>pilietybė (pilietybės);</w:t>
            </w:r>
          </w:p>
          <w:p w:rsidR="00765B7D" w:rsidRPr="00765B7D" w:rsidRDefault="00765B7D" w:rsidP="00547A4F">
            <w:pPr>
              <w:pStyle w:val="tajtip"/>
              <w:spacing w:before="0" w:beforeAutospacing="0" w:after="0" w:afterAutospacing="0"/>
              <w:jc w:val="both"/>
              <w:rPr>
                <w:b/>
              </w:rPr>
            </w:pPr>
            <w:r w:rsidRPr="00765B7D">
              <w:rPr>
                <w:b/>
              </w:rPr>
              <w:t>11.9.</w:t>
            </w:r>
            <w:r w:rsidRPr="00765B7D">
              <w:rPr>
                <w:b/>
              </w:rPr>
              <w:tab/>
              <w:t>gyvenamoji vieta;</w:t>
            </w:r>
          </w:p>
          <w:p w:rsidR="00765B7D" w:rsidRPr="00765B7D" w:rsidRDefault="00765B7D" w:rsidP="00547A4F">
            <w:pPr>
              <w:pStyle w:val="tajtip"/>
              <w:spacing w:before="0" w:beforeAutospacing="0" w:after="0" w:afterAutospacing="0"/>
              <w:jc w:val="both"/>
              <w:rPr>
                <w:b/>
              </w:rPr>
            </w:pPr>
            <w:r w:rsidRPr="00765B7D">
              <w:rPr>
                <w:b/>
              </w:rPr>
              <w:t>11.11.</w:t>
            </w:r>
            <w:r w:rsidRPr="00765B7D">
              <w:rPr>
                <w:b/>
              </w:rPr>
              <w:tab/>
              <w:t>slapyvardis (pravardė);</w:t>
            </w:r>
          </w:p>
          <w:p w:rsidR="00765B7D" w:rsidRPr="00765B7D" w:rsidRDefault="00765B7D" w:rsidP="00547A4F">
            <w:pPr>
              <w:pStyle w:val="tajtip"/>
              <w:spacing w:before="0" w:beforeAutospacing="0" w:after="0" w:afterAutospacing="0"/>
              <w:jc w:val="both"/>
              <w:rPr>
                <w:b/>
              </w:rPr>
            </w:pPr>
            <w:r w:rsidRPr="00765B7D">
              <w:rPr>
                <w:b/>
              </w:rPr>
              <w:t>11.12.</w:t>
            </w:r>
            <w:r w:rsidRPr="00765B7D">
              <w:rPr>
                <w:b/>
              </w:rPr>
              <w:tab/>
              <w:t>tėvo vardas;</w:t>
            </w:r>
          </w:p>
          <w:p w:rsidR="00765B7D" w:rsidRPr="00765B7D" w:rsidRDefault="00765B7D" w:rsidP="00547A4F">
            <w:pPr>
              <w:pStyle w:val="tajtip"/>
              <w:spacing w:before="0" w:beforeAutospacing="0" w:after="0" w:afterAutospacing="0"/>
              <w:jc w:val="both"/>
              <w:rPr>
                <w:b/>
              </w:rPr>
            </w:pPr>
            <w:r w:rsidRPr="00765B7D">
              <w:rPr>
                <w:b/>
              </w:rPr>
              <w:t>11.13.</w:t>
            </w:r>
            <w:r w:rsidRPr="00765B7D">
              <w:rPr>
                <w:b/>
              </w:rPr>
              <w:tab/>
              <w:t>tėvo pavardė;</w:t>
            </w:r>
          </w:p>
          <w:p w:rsidR="00765B7D" w:rsidRPr="00765B7D" w:rsidRDefault="00765B7D" w:rsidP="00547A4F">
            <w:pPr>
              <w:pStyle w:val="tajtip"/>
              <w:spacing w:before="0" w:beforeAutospacing="0" w:after="0" w:afterAutospacing="0"/>
              <w:jc w:val="both"/>
              <w:rPr>
                <w:b/>
              </w:rPr>
            </w:pPr>
            <w:r w:rsidRPr="00765B7D">
              <w:rPr>
                <w:b/>
              </w:rPr>
              <w:t>11.14.</w:t>
            </w:r>
            <w:r w:rsidRPr="00765B7D">
              <w:rPr>
                <w:b/>
              </w:rPr>
              <w:tab/>
              <w:t>motinos vardas;</w:t>
            </w:r>
          </w:p>
          <w:p w:rsidR="00765B7D" w:rsidRPr="00765B7D" w:rsidRDefault="00765B7D" w:rsidP="00547A4F">
            <w:pPr>
              <w:pStyle w:val="tajtip"/>
              <w:spacing w:before="0" w:beforeAutospacing="0" w:after="0" w:afterAutospacing="0"/>
              <w:jc w:val="both"/>
              <w:rPr>
                <w:b/>
              </w:rPr>
            </w:pPr>
            <w:r w:rsidRPr="00765B7D">
              <w:rPr>
                <w:b/>
              </w:rPr>
              <w:t>11.15.</w:t>
            </w:r>
            <w:r w:rsidRPr="00765B7D">
              <w:rPr>
                <w:b/>
              </w:rPr>
              <w:tab/>
              <w:t>motinos pavardė;</w:t>
            </w:r>
          </w:p>
          <w:p w:rsidR="00765B7D" w:rsidRPr="00765B7D" w:rsidRDefault="00765B7D" w:rsidP="00547A4F">
            <w:pPr>
              <w:pStyle w:val="tajtip"/>
              <w:spacing w:before="0" w:beforeAutospacing="0" w:after="0" w:afterAutospacing="0"/>
              <w:jc w:val="both"/>
              <w:rPr>
                <w:b/>
              </w:rPr>
            </w:pPr>
            <w:r w:rsidRPr="00765B7D">
              <w:rPr>
                <w:b/>
              </w:rPr>
              <w:t>11.16.</w:t>
            </w:r>
            <w:r w:rsidRPr="00765B7D">
              <w:rPr>
                <w:b/>
              </w:rPr>
              <w:tab/>
              <w:t>asmens tapatybę patvirtinančio dokumento tipas ir numeris;</w:t>
            </w:r>
          </w:p>
          <w:p w:rsidR="00765B7D" w:rsidRPr="00765B7D" w:rsidRDefault="00765B7D" w:rsidP="00547A4F">
            <w:pPr>
              <w:pStyle w:val="tajtip"/>
              <w:tabs>
                <w:tab w:val="left" w:pos="1088"/>
              </w:tabs>
              <w:spacing w:before="0" w:beforeAutospacing="0" w:after="0" w:afterAutospacing="0"/>
              <w:ind w:firstLine="34"/>
              <w:jc w:val="both"/>
              <w:rPr>
                <w:b/>
              </w:rPr>
            </w:pPr>
            <w:r w:rsidRPr="00765B7D">
              <w:rPr>
                <w:b/>
              </w:rPr>
              <w:t>13.</w:t>
            </w:r>
            <w:r w:rsidRPr="00765B7D">
              <w:rPr>
                <w:b/>
              </w:rPr>
              <w:tab/>
              <w:t>Bendrieji Registro duomenys, nurodyti Nuostatų 11.11, 11.13–11.16 papunkčiuose, Registre tvarkomi nuo 2012 m. balandžio 27 d. ir tik tais atvejais, kai juos perduoda Europos Sąjungos valstybių narių centrinės institucijos, paskirtos vadovaujantis Pamatiniu sprendimu (toliau – Europos Sąjungos valstybių narių centrinės institucijos).</w:t>
            </w:r>
          </w:p>
          <w:p w:rsidR="00420CC0" w:rsidRDefault="00420CC0" w:rsidP="00420CC0">
            <w:pPr>
              <w:pStyle w:val="tajtip"/>
              <w:tabs>
                <w:tab w:val="left" w:pos="1088"/>
              </w:tabs>
              <w:spacing w:before="0" w:beforeAutospacing="0" w:after="0" w:afterAutospacing="0"/>
              <w:ind w:firstLine="34"/>
              <w:jc w:val="both"/>
            </w:pPr>
          </w:p>
          <w:p w:rsidR="00CE35FE" w:rsidRDefault="00CE35FE" w:rsidP="002A7018">
            <w:pPr>
              <w:pStyle w:val="tactin"/>
              <w:spacing w:before="0" w:beforeAutospacing="0" w:after="0" w:afterAutospacing="0"/>
              <w:jc w:val="center"/>
              <w:rPr>
                <w:b/>
              </w:rPr>
            </w:pPr>
            <w:r>
              <w:rPr>
                <w:b/>
              </w:rPr>
              <w:t>TREČIASIS SKIRSNIS</w:t>
            </w:r>
          </w:p>
          <w:p w:rsidR="002A7018" w:rsidRDefault="00CE35FE" w:rsidP="002830D5">
            <w:pPr>
              <w:pStyle w:val="tactin"/>
              <w:spacing w:before="0" w:beforeAutospacing="0" w:after="0" w:afterAutospacing="0"/>
              <w:jc w:val="center"/>
              <w:rPr>
                <w:b/>
                <w:color w:val="FF0000"/>
              </w:rPr>
            </w:pPr>
            <w:r w:rsidRPr="00E24775">
              <w:rPr>
                <w:b/>
              </w:rPr>
              <w:t xml:space="preserve">Išnagrinėjus baudžiamąsias bylas priimtų teismų sprendimų ir juos keičiančių sprendimų duomenys </w:t>
            </w:r>
          </w:p>
          <w:p w:rsidR="00CE35FE" w:rsidRDefault="00CE35FE" w:rsidP="002830D5">
            <w:pPr>
              <w:pStyle w:val="tajtip"/>
              <w:spacing w:before="0" w:beforeAutospacing="0" w:after="0" w:afterAutospacing="0"/>
              <w:jc w:val="both"/>
              <w:rPr>
                <w:b/>
              </w:rPr>
            </w:pPr>
          </w:p>
          <w:p w:rsidR="00CE35FE" w:rsidRPr="00CE35FE" w:rsidRDefault="00CE35FE" w:rsidP="002830D5">
            <w:pPr>
              <w:pStyle w:val="tajtip"/>
              <w:spacing w:before="0" w:beforeAutospacing="0" w:after="0" w:afterAutospacing="0"/>
              <w:jc w:val="both"/>
              <w:rPr>
                <w:b/>
              </w:rPr>
            </w:pPr>
            <w:r w:rsidRPr="00CE35FE">
              <w:rPr>
                <w:b/>
              </w:rPr>
              <w:t>25.</w:t>
            </w:r>
            <w:r w:rsidRPr="00CE35FE">
              <w:rPr>
                <w:b/>
              </w:rPr>
              <w:tab/>
              <w:t>Europos Sąjungos valstybių narių centrinių institucijų pateiktų pranešimų apie Lietuvos Respublikos piliečiams šių šalių teritorijoje priimtus, įsiteisėjusius ir į nacionalinius nuosprendžių registrus įtrauktus teismų apkaltinamuosius nuosprendžius skaitmeninės kopijos ir trečiųjų šalių kompetentingų institucijų, nurodytų 1959 m. balandžio 20 d. Europos konvencijoje dėl savitarpio pagalbos baudžiamosiose bylose arba Lietuvos Respublikos tarptautinėse sutartyse (toliau – trečiųjų šalių kompetentingos institucijos), pateiktų pranešimų apie Lietuvos Respublikos piliečiams šių šalių teritorijoje priimtus ir įsiteisėjusius teismų apkaltinamuosius nuosprendžius arba šių nuosprendžių skaitmeninės kopijos.</w:t>
            </w:r>
          </w:p>
          <w:p w:rsidR="00CE35FE" w:rsidRPr="00CE35FE" w:rsidRDefault="00CE35FE" w:rsidP="002830D5">
            <w:pPr>
              <w:pStyle w:val="tajtip"/>
              <w:spacing w:before="0" w:beforeAutospacing="0" w:after="0" w:afterAutospacing="0"/>
              <w:jc w:val="both"/>
              <w:rPr>
                <w:b/>
              </w:rPr>
            </w:pPr>
            <w:r w:rsidRPr="00CE35FE">
              <w:rPr>
                <w:b/>
              </w:rPr>
              <w:t>26.</w:t>
            </w:r>
            <w:r w:rsidRPr="00CE35FE">
              <w:rPr>
                <w:b/>
              </w:rPr>
              <w:tab/>
              <w:t>Europos Sąjungos valstybių narių centrinių institucijų ir trečiųjų šalių kompetentingų institucijų pateiktų pranešimų ar nuosprendžių skaitmeninių kopijų duomenys: nuteisto asmens vardas, pavardė, gimimo data, lytis, gimimo vieta, gyvenamoji vieta, pilietybė, tėvų vardai ir pavardės, baudžiamosios bylos numeris, apkaltinamojo nuosprendžio priėmimo ir įsiteisėjimo data, sprendimą priėmusio teismo pavadinimas, paskirta bausmė, nusikalstamos veikos padarymo data ir pavadinimas, užsienio valstybės baudžiamasis įstatymas, pagal kurį asmuo pripažintas kaltu, teistumo išnykimo, panaikinimo ar nuosprendžio saugojimo pagal užsienio valstybės nacionalinę teisę termino pabaigos data.</w:t>
            </w:r>
          </w:p>
          <w:p w:rsidR="00CE35FE" w:rsidRPr="00CE35FE" w:rsidRDefault="00CE35FE" w:rsidP="002830D5">
            <w:pPr>
              <w:pStyle w:val="tajtip"/>
              <w:spacing w:before="0" w:beforeAutospacing="0" w:after="0" w:afterAutospacing="0"/>
              <w:jc w:val="both"/>
              <w:rPr>
                <w:b/>
              </w:rPr>
            </w:pPr>
            <w:r w:rsidRPr="00CE35FE">
              <w:rPr>
                <w:b/>
              </w:rPr>
              <w:t>27.</w:t>
            </w:r>
            <w:r w:rsidRPr="00CE35FE">
              <w:rPr>
                <w:b/>
              </w:rPr>
              <w:tab/>
              <w:t>Europos Sąjungos valstybėje narėje priimto apkaltinamojo teismo nuosprendžio duomenys:</w:t>
            </w:r>
          </w:p>
          <w:p w:rsidR="00CE35FE" w:rsidRPr="00CE35FE" w:rsidRDefault="00CE35FE" w:rsidP="002830D5">
            <w:pPr>
              <w:pStyle w:val="tajtip"/>
              <w:spacing w:before="0" w:beforeAutospacing="0" w:after="0" w:afterAutospacing="0"/>
              <w:jc w:val="both"/>
              <w:rPr>
                <w:b/>
              </w:rPr>
            </w:pPr>
            <w:r w:rsidRPr="00CE35FE">
              <w:rPr>
                <w:b/>
              </w:rPr>
              <w:t>27.1.</w:t>
            </w:r>
            <w:r w:rsidRPr="00CE35FE">
              <w:rPr>
                <w:b/>
              </w:rPr>
              <w:tab/>
              <w:t>apkaltinamojo nuosprendžio priėmimo data;</w:t>
            </w:r>
          </w:p>
          <w:p w:rsidR="00CE35FE" w:rsidRPr="00CE35FE" w:rsidRDefault="00CE35FE" w:rsidP="00547A4F">
            <w:pPr>
              <w:pStyle w:val="tajtip"/>
              <w:spacing w:before="0" w:beforeAutospacing="0" w:after="0" w:afterAutospacing="0"/>
              <w:jc w:val="both"/>
              <w:rPr>
                <w:b/>
              </w:rPr>
            </w:pPr>
            <w:r w:rsidRPr="00CE35FE">
              <w:rPr>
                <w:b/>
              </w:rPr>
              <w:t>27.2.</w:t>
            </w:r>
            <w:r w:rsidRPr="00CE35FE">
              <w:rPr>
                <w:b/>
              </w:rPr>
              <w:tab/>
              <w:t>apkaltinamojo nuosprendžio įsiteisėjimo data;</w:t>
            </w:r>
          </w:p>
          <w:p w:rsidR="00CE35FE" w:rsidRPr="00CE35FE" w:rsidRDefault="00CE35FE" w:rsidP="00547A4F">
            <w:pPr>
              <w:pStyle w:val="tajtip"/>
              <w:spacing w:before="0" w:beforeAutospacing="0" w:after="0" w:afterAutospacing="0"/>
              <w:jc w:val="both"/>
              <w:rPr>
                <w:b/>
              </w:rPr>
            </w:pPr>
            <w:r w:rsidRPr="00CE35FE">
              <w:rPr>
                <w:b/>
              </w:rPr>
              <w:t>27.3.</w:t>
            </w:r>
            <w:r w:rsidRPr="00CE35FE">
              <w:rPr>
                <w:b/>
              </w:rPr>
              <w:tab/>
              <w:t>apkaltinamojo nuosprendžio numeris;</w:t>
            </w:r>
          </w:p>
          <w:p w:rsidR="00CE35FE" w:rsidRPr="00CE35FE" w:rsidRDefault="00CE35FE" w:rsidP="00547A4F">
            <w:pPr>
              <w:pStyle w:val="tajtip"/>
              <w:spacing w:before="0" w:beforeAutospacing="0" w:after="0" w:afterAutospacing="0"/>
              <w:jc w:val="both"/>
              <w:rPr>
                <w:b/>
              </w:rPr>
            </w:pPr>
            <w:r w:rsidRPr="00CE35FE">
              <w:rPr>
                <w:b/>
              </w:rPr>
              <w:t>27.4.</w:t>
            </w:r>
            <w:r w:rsidRPr="00CE35FE">
              <w:rPr>
                <w:b/>
              </w:rPr>
              <w:tab/>
              <w:t>apkaltinamąjį nuosprendį priėmusio teismo pavadinimas;</w:t>
            </w:r>
          </w:p>
          <w:p w:rsidR="00CE35FE" w:rsidRPr="00CE35FE" w:rsidRDefault="00CE35FE" w:rsidP="00547A4F">
            <w:pPr>
              <w:pStyle w:val="tajtip"/>
              <w:spacing w:before="0" w:beforeAutospacing="0" w:after="0" w:afterAutospacing="0"/>
              <w:jc w:val="both"/>
              <w:rPr>
                <w:b/>
              </w:rPr>
            </w:pPr>
            <w:r w:rsidRPr="00CE35FE">
              <w:rPr>
                <w:b/>
              </w:rPr>
              <w:t>27.5.</w:t>
            </w:r>
            <w:r w:rsidRPr="00CE35FE">
              <w:rPr>
                <w:b/>
              </w:rPr>
              <w:tab/>
              <w:t>paskirta bausmė;</w:t>
            </w:r>
          </w:p>
          <w:p w:rsidR="00CE35FE" w:rsidRPr="00CE35FE" w:rsidRDefault="00CE35FE" w:rsidP="00547A4F">
            <w:pPr>
              <w:pStyle w:val="tajtip"/>
              <w:spacing w:before="0" w:beforeAutospacing="0" w:after="0" w:afterAutospacing="0"/>
              <w:jc w:val="both"/>
              <w:rPr>
                <w:b/>
              </w:rPr>
            </w:pPr>
            <w:r w:rsidRPr="00CE35FE">
              <w:rPr>
                <w:b/>
              </w:rPr>
              <w:t>27.6.</w:t>
            </w:r>
            <w:r w:rsidRPr="00CE35FE">
              <w:rPr>
                <w:b/>
              </w:rPr>
              <w:tab/>
              <w:t>vėlesni sprendimai, keičiantys paskirtą bausmę ar jos vykdymo sąlygas.</w:t>
            </w:r>
          </w:p>
          <w:p w:rsidR="00CE35FE" w:rsidRPr="00CE35FE" w:rsidRDefault="00CE35FE" w:rsidP="00547A4F">
            <w:pPr>
              <w:pStyle w:val="tajtip"/>
              <w:spacing w:before="0" w:beforeAutospacing="0" w:after="0" w:afterAutospacing="0"/>
              <w:jc w:val="both"/>
              <w:rPr>
                <w:b/>
              </w:rPr>
            </w:pPr>
            <w:r w:rsidRPr="00CE35FE">
              <w:rPr>
                <w:b/>
              </w:rPr>
              <w:t>28.</w:t>
            </w:r>
            <w:r w:rsidRPr="00CE35FE">
              <w:rPr>
                <w:b/>
              </w:rPr>
              <w:tab/>
              <w:t>Europos Sąjungos valstybėje narėje padarytos nusikalstamos veikos, dėl kurios asmuo pripažintas kaltu, duomenys:</w:t>
            </w:r>
          </w:p>
          <w:p w:rsidR="00CE35FE" w:rsidRPr="00CE35FE" w:rsidRDefault="00CE35FE" w:rsidP="00547A4F">
            <w:pPr>
              <w:pStyle w:val="tajtip"/>
              <w:spacing w:before="0" w:beforeAutospacing="0" w:after="0" w:afterAutospacing="0"/>
              <w:jc w:val="both"/>
              <w:rPr>
                <w:b/>
              </w:rPr>
            </w:pPr>
            <w:r w:rsidRPr="00CE35FE">
              <w:rPr>
                <w:b/>
              </w:rPr>
              <w:t>28.1.</w:t>
            </w:r>
            <w:r w:rsidRPr="00CE35FE">
              <w:rPr>
                <w:b/>
              </w:rPr>
              <w:tab/>
              <w:t>nusikalstamos veikos padarymo data;</w:t>
            </w:r>
          </w:p>
          <w:p w:rsidR="00CE35FE" w:rsidRPr="00CE35FE" w:rsidRDefault="00CE35FE" w:rsidP="00547A4F">
            <w:pPr>
              <w:pStyle w:val="tajtip"/>
              <w:spacing w:before="0" w:beforeAutospacing="0" w:after="0" w:afterAutospacing="0"/>
              <w:jc w:val="both"/>
              <w:rPr>
                <w:b/>
              </w:rPr>
            </w:pPr>
            <w:r w:rsidRPr="00CE35FE">
              <w:rPr>
                <w:b/>
              </w:rPr>
              <w:t>28.2.</w:t>
            </w:r>
            <w:r w:rsidRPr="00CE35FE">
              <w:rPr>
                <w:b/>
              </w:rPr>
              <w:tab/>
              <w:t>nusikalstamos veikos padarymo vieta;</w:t>
            </w:r>
          </w:p>
          <w:p w:rsidR="00CE35FE" w:rsidRPr="00CE35FE" w:rsidRDefault="00CE35FE" w:rsidP="00547A4F">
            <w:pPr>
              <w:pStyle w:val="tajtip"/>
              <w:spacing w:before="0" w:beforeAutospacing="0" w:after="0" w:afterAutospacing="0"/>
              <w:jc w:val="both"/>
              <w:rPr>
                <w:b/>
              </w:rPr>
            </w:pPr>
            <w:r w:rsidRPr="00CE35FE">
              <w:rPr>
                <w:b/>
              </w:rPr>
              <w:t>28.3.</w:t>
            </w:r>
            <w:r w:rsidRPr="00CE35FE">
              <w:rPr>
                <w:b/>
              </w:rPr>
              <w:tab/>
              <w:t>nusikalstamos veikos pavadinimas;</w:t>
            </w:r>
          </w:p>
          <w:p w:rsidR="00CE35FE" w:rsidRPr="00CE35FE" w:rsidRDefault="00CE35FE" w:rsidP="00547A4F">
            <w:pPr>
              <w:pStyle w:val="tajtip"/>
              <w:spacing w:before="0" w:beforeAutospacing="0" w:after="0" w:afterAutospacing="0"/>
              <w:jc w:val="both"/>
              <w:rPr>
                <w:b/>
              </w:rPr>
            </w:pPr>
            <w:r w:rsidRPr="00CE35FE">
              <w:rPr>
                <w:b/>
              </w:rPr>
              <w:t>28.4.</w:t>
            </w:r>
            <w:r w:rsidRPr="00CE35FE">
              <w:rPr>
                <w:b/>
              </w:rPr>
              <w:tab/>
              <w:t>užsienio valstybės baudžiamasis įstatymas, pagal kurį asmuo pripažintas kaltu;</w:t>
            </w:r>
          </w:p>
          <w:p w:rsidR="00CE35FE" w:rsidRPr="00CE35FE" w:rsidRDefault="00CE35FE" w:rsidP="00547A4F">
            <w:pPr>
              <w:pStyle w:val="tajtip"/>
              <w:spacing w:before="0" w:beforeAutospacing="0" w:after="0" w:afterAutospacing="0"/>
              <w:jc w:val="both"/>
              <w:rPr>
                <w:b/>
              </w:rPr>
            </w:pPr>
            <w:r w:rsidRPr="00CE35FE">
              <w:rPr>
                <w:b/>
              </w:rPr>
              <w:t>28.5.</w:t>
            </w:r>
            <w:r w:rsidRPr="00CE35FE">
              <w:rPr>
                <w:b/>
              </w:rPr>
              <w:tab/>
              <w:t>nusikalstamos veikos ir paskirtos bausmės kategorijos kodas, pavadinimas ir kriterijus, vadovaujantis ECRIS sprendimu.</w:t>
            </w:r>
          </w:p>
          <w:p w:rsidR="00CE35FE" w:rsidRDefault="00CE35FE" w:rsidP="00547A4F">
            <w:pPr>
              <w:pStyle w:val="tajtip"/>
              <w:spacing w:before="0" w:beforeAutospacing="0" w:after="0" w:afterAutospacing="0"/>
              <w:jc w:val="both"/>
              <w:rPr>
                <w:b/>
              </w:rPr>
            </w:pPr>
            <w:r w:rsidRPr="00CE35FE">
              <w:rPr>
                <w:b/>
              </w:rPr>
              <w:t>29.</w:t>
            </w:r>
            <w:r w:rsidRPr="00CE35FE">
              <w:rPr>
                <w:b/>
              </w:rPr>
              <w:tab/>
              <w:t>Teistumo išnykimo, panaikinimo ar nuosprendžio saugojimo, pagal užsienio valstybės nacionalinę teisę, termino pabaigos data.</w:t>
            </w:r>
          </w:p>
          <w:p w:rsidR="00CE35FE" w:rsidRPr="00CE35FE" w:rsidRDefault="00CE35FE" w:rsidP="00547A4F">
            <w:pPr>
              <w:pStyle w:val="tajtip"/>
              <w:spacing w:before="0" w:beforeAutospacing="0" w:after="0" w:afterAutospacing="0"/>
              <w:jc w:val="both"/>
              <w:rPr>
                <w:b/>
              </w:rPr>
            </w:pPr>
            <w:r w:rsidRPr="00CE35FE">
              <w:rPr>
                <w:b/>
              </w:rPr>
              <w:lastRenderedPageBreak/>
              <w:t>30.</w:t>
            </w:r>
            <w:r w:rsidRPr="00CE35FE">
              <w:rPr>
                <w:b/>
              </w:rPr>
              <w:tab/>
              <w:t>Požymis apie Europos Sąjungos valstybėje narėje nuteisto asmens pateiktus pirštų atspaudus.</w:t>
            </w:r>
          </w:p>
          <w:p w:rsidR="003D1154" w:rsidRDefault="003D1154" w:rsidP="00547A4F">
            <w:pPr>
              <w:pStyle w:val="tajtip"/>
              <w:spacing w:before="0" w:beforeAutospacing="0" w:after="0" w:afterAutospacing="0"/>
              <w:jc w:val="both"/>
              <w:rPr>
                <w:b/>
              </w:rPr>
            </w:pPr>
            <w:r w:rsidRPr="003D1154">
              <w:rPr>
                <w:b/>
              </w:rPr>
              <w:t>34.</w:t>
            </w:r>
            <w:r w:rsidRPr="003D1154">
              <w:rPr>
                <w:b/>
              </w:rPr>
              <w:tab/>
              <w:t>Registro duomenys, nurodyti Nuostatų 26 punkte, Registre tvarkomi tik tais atvejais, kai jie įtraukti į Europos Sąjungos valstybių narių centrinių institucijų ir trečiųjų šalių kompetentingų institucijų pateiktus pranešimus ar nuosprendžių kopijas.</w:t>
            </w:r>
          </w:p>
          <w:p w:rsidR="003D1154" w:rsidRPr="003D1154" w:rsidRDefault="003D1154" w:rsidP="00547A4F">
            <w:pPr>
              <w:pStyle w:val="tajtip"/>
              <w:spacing w:before="0" w:beforeAutospacing="0" w:after="0" w:afterAutospacing="0"/>
              <w:jc w:val="both"/>
              <w:rPr>
                <w:b/>
              </w:rPr>
            </w:pPr>
            <w:r w:rsidRPr="003D1154">
              <w:rPr>
                <w:b/>
              </w:rPr>
              <w:t>35.</w:t>
            </w:r>
            <w:r w:rsidRPr="003D1154">
              <w:rPr>
                <w:b/>
              </w:rPr>
              <w:tab/>
              <w:t>Registro duomenys, nurodyti Nuostatų 27–30 punktuose, Registre tvarkomi nuo 2012 m. balandžio 27 d. ir tik tais atvejais, kai juos perduoda Europos Sąjungos valstybių narių centrinės institucijos.</w:t>
            </w:r>
          </w:p>
          <w:p w:rsidR="009911DD" w:rsidRDefault="009911DD" w:rsidP="00475D4D">
            <w:pPr>
              <w:pStyle w:val="tajtip"/>
              <w:spacing w:before="0" w:beforeAutospacing="0" w:after="0" w:afterAutospacing="0"/>
              <w:rPr>
                <w:b/>
              </w:rPr>
            </w:pPr>
          </w:p>
          <w:p w:rsidR="00475D4D" w:rsidRDefault="00475D4D" w:rsidP="00475D4D">
            <w:pPr>
              <w:pStyle w:val="tajtip"/>
              <w:spacing w:before="0" w:beforeAutospacing="0" w:after="0" w:afterAutospacing="0"/>
              <w:rPr>
                <w:b/>
              </w:rPr>
            </w:pPr>
            <w:r w:rsidRPr="00475D4D">
              <w:rPr>
                <w:b/>
              </w:rPr>
              <w:t>Projektas</w:t>
            </w:r>
          </w:p>
          <w:p w:rsidR="005D2D76" w:rsidRPr="00475D4D" w:rsidRDefault="005D2D76" w:rsidP="005D2D76">
            <w:pPr>
              <w:pStyle w:val="tajtip"/>
              <w:spacing w:before="0" w:beforeAutospacing="0" w:after="0" w:afterAutospacing="0"/>
              <w:jc w:val="both"/>
              <w:rPr>
                <w:b/>
              </w:rPr>
            </w:pPr>
            <w:r w:rsidRPr="005D2D76">
              <w:rPr>
                <w:b/>
              </w:rPr>
              <w:t>50.</w:t>
            </w:r>
            <w:r w:rsidRPr="005D2D76">
              <w:rPr>
                <w:b/>
              </w:rPr>
              <w:tab/>
              <w:t>Registro duomenys Registro tvarkytojo įrašomi ar keičiami pagal Registro duomenis ir Registro dokumentus, pateiktus Registro objektui registruoti, pakeisti Registro duomenis, įskaitant tuos atvejus, kai pasikeičia iš susijusių registrų, valstybės informacinių sistemų ar ECRIS gaunami Registro duomenys.</w:t>
            </w:r>
          </w:p>
          <w:p w:rsidR="00475D4D" w:rsidRPr="00475D4D" w:rsidRDefault="00475D4D" w:rsidP="00475D4D">
            <w:pPr>
              <w:pStyle w:val="tajtip"/>
              <w:spacing w:before="0" w:beforeAutospacing="0" w:after="0" w:afterAutospacing="0"/>
              <w:jc w:val="both"/>
              <w:rPr>
                <w:b/>
              </w:rPr>
            </w:pPr>
            <w:r w:rsidRPr="00475D4D">
              <w:rPr>
                <w:b/>
              </w:rPr>
              <w:t>55.</w:t>
            </w:r>
            <w:r w:rsidRPr="00475D4D">
              <w:rPr>
                <w:b/>
              </w:rPr>
              <w:tab/>
              <w:t>Registro tvarkytojas Registro duomenis ir Registro dokumentus iš Registro duomenų bazės į Registro duomenų bazės archyvą ne vėliau kaip per 3 darbo dienas perkelia:</w:t>
            </w:r>
          </w:p>
          <w:p w:rsidR="00AD0FD6" w:rsidRDefault="00475D4D" w:rsidP="00475D4D">
            <w:pPr>
              <w:pStyle w:val="tajtip"/>
              <w:spacing w:before="0" w:beforeAutospacing="0" w:after="0" w:afterAutospacing="0"/>
              <w:jc w:val="both"/>
              <w:rPr>
                <w:b/>
              </w:rPr>
            </w:pPr>
            <w:r w:rsidRPr="00475D4D">
              <w:rPr>
                <w:b/>
              </w:rPr>
              <w:t>55.11.</w:t>
            </w:r>
            <w:r w:rsidRPr="00475D4D">
              <w:rPr>
                <w:b/>
              </w:rPr>
              <w:tab/>
              <w:t>gavęs Registro duomenis apie Lietuvos Respublikos piliečio teistumo išnykimą užsienio valstybėje, kurioje jis pripažintas kaltu, pagal tos valstybės nacionalinę teisę. Jeigu asmuo, kuris pripažintas kaltu užsienio valstybės teismo sprendimu, įsiteisėjusiu po 2014 m. kovo 25 d., turi galiojantį teistumą, pagal Lietuvos Respublikos teismo priimtą ir įsiteisėjusį apkaltinamąjį teismo nuosprendį, Registro duomenys ir Registro dokumentai apie Lietuvos Respublikos ir užsienio šalies teistumą perkeliami į Registro duomenų bazės archyvą, suėjus Baudžiamajame kodekse nustatytam teistumo išnykimo terminui arba gavus Registro duomenis apie teistumo išnykimą užsienio valstybėje (taikoma vėlesnė data)</w:t>
            </w:r>
            <w:r>
              <w:rPr>
                <w:b/>
              </w:rPr>
              <w:t>.</w:t>
            </w:r>
          </w:p>
          <w:p w:rsidR="00475D4D" w:rsidRDefault="00475D4D" w:rsidP="00475D4D">
            <w:pPr>
              <w:pStyle w:val="tajtip"/>
              <w:spacing w:before="0" w:beforeAutospacing="0" w:after="0" w:afterAutospacing="0"/>
              <w:jc w:val="both"/>
              <w:rPr>
                <w:b/>
              </w:rPr>
            </w:pPr>
          </w:p>
          <w:p w:rsidR="00475D4D" w:rsidRDefault="009911DD" w:rsidP="00475D4D">
            <w:pPr>
              <w:pStyle w:val="tajtip"/>
              <w:spacing w:before="0" w:beforeAutospacing="0" w:after="0" w:afterAutospacing="0"/>
              <w:jc w:val="both"/>
              <w:rPr>
                <w:b/>
              </w:rPr>
            </w:pPr>
            <w:r>
              <w:rPr>
                <w:b/>
              </w:rPr>
              <w:t>Projektas</w:t>
            </w:r>
          </w:p>
          <w:p w:rsidR="00475D4D" w:rsidRDefault="00475D4D" w:rsidP="00475D4D">
            <w:pPr>
              <w:pStyle w:val="tajtip"/>
              <w:spacing w:before="0" w:beforeAutospacing="0" w:after="0" w:afterAutospacing="0"/>
              <w:jc w:val="both"/>
              <w:rPr>
                <w:b/>
              </w:rPr>
            </w:pPr>
            <w:r w:rsidRPr="00475D4D">
              <w:rPr>
                <w:b/>
              </w:rPr>
              <w:t>27.</w:t>
            </w:r>
            <w:r w:rsidRPr="00475D4D">
              <w:rPr>
                <w:b/>
              </w:rPr>
              <w:tab/>
              <w:t>Europos Sąjungos valstybėje narėje priimto apkaltinamojo teismo nuosprendžio duomenys:</w:t>
            </w:r>
          </w:p>
          <w:p w:rsidR="00475D4D" w:rsidRPr="00CE35FE" w:rsidRDefault="00475D4D" w:rsidP="00475D4D">
            <w:pPr>
              <w:pStyle w:val="tajtip"/>
              <w:spacing w:before="0" w:beforeAutospacing="0" w:after="0" w:afterAutospacing="0"/>
              <w:jc w:val="both"/>
              <w:rPr>
                <w:b/>
              </w:rPr>
            </w:pPr>
            <w:r w:rsidRPr="00CE35FE">
              <w:rPr>
                <w:b/>
              </w:rPr>
              <w:t>27.6.</w:t>
            </w:r>
            <w:r w:rsidRPr="00CE35FE">
              <w:rPr>
                <w:b/>
              </w:rPr>
              <w:tab/>
              <w:t>vėlesni sprendimai, keičiantys paskirtą bausmę ar jos vykdymo sąlygas.</w:t>
            </w:r>
          </w:p>
          <w:p w:rsidR="009911DD" w:rsidRPr="009911DD" w:rsidRDefault="009911DD" w:rsidP="00641B94">
            <w:pPr>
              <w:pStyle w:val="tajtip"/>
              <w:spacing w:before="0" w:beforeAutospacing="0" w:after="0" w:afterAutospacing="0"/>
              <w:jc w:val="both"/>
            </w:pPr>
            <w:r w:rsidRPr="00CE35FE">
              <w:rPr>
                <w:b/>
              </w:rPr>
              <w:t>29.</w:t>
            </w:r>
            <w:r w:rsidRPr="00CE35FE">
              <w:rPr>
                <w:b/>
              </w:rPr>
              <w:tab/>
              <w:t>Teistumo išnykimo, panaikinimo ar nuosprendžio saugojimo, pagal užsienio valstybės nacionalinę teisę, termino pabaigos data.</w:t>
            </w:r>
          </w:p>
        </w:tc>
        <w:tc>
          <w:tcPr>
            <w:tcW w:w="2410" w:type="dxa"/>
          </w:tcPr>
          <w:p w:rsidR="006C6EA6" w:rsidRPr="00FC62E0" w:rsidRDefault="00475D4D" w:rsidP="002A7018">
            <w:pPr>
              <w:keepNext/>
              <w:jc w:val="center"/>
              <w:outlineLvl w:val="1"/>
              <w:rPr>
                <w:bCs/>
              </w:rPr>
            </w:pPr>
            <w:r>
              <w:rPr>
                <w:bCs/>
              </w:rPr>
              <w:lastRenderedPageBreak/>
              <w:t>Visiškas.</w:t>
            </w:r>
          </w:p>
          <w:p w:rsidR="002A7018" w:rsidRPr="005E370D" w:rsidRDefault="002A7018" w:rsidP="00FC62E0">
            <w:pPr>
              <w:keepNext/>
              <w:jc w:val="both"/>
              <w:outlineLvl w:val="1"/>
              <w:rPr>
                <w:bCs/>
              </w:rPr>
            </w:pPr>
          </w:p>
        </w:tc>
      </w:tr>
      <w:tr w:rsidR="006C6EA6" w:rsidTr="00F14AD5">
        <w:tc>
          <w:tcPr>
            <w:tcW w:w="5920" w:type="dxa"/>
          </w:tcPr>
          <w:p w:rsidR="0099017F" w:rsidRPr="0099017F" w:rsidRDefault="0099017F" w:rsidP="0099017F">
            <w:pPr>
              <w:autoSpaceDE w:val="0"/>
              <w:autoSpaceDN w:val="0"/>
              <w:adjustRightInd w:val="0"/>
              <w:jc w:val="both"/>
              <w:rPr>
                <w:bCs/>
                <w:i/>
                <w:color w:val="000000"/>
                <w:szCs w:val="24"/>
              </w:rPr>
            </w:pPr>
            <w:r w:rsidRPr="0099017F">
              <w:rPr>
                <w:bCs/>
                <w:i/>
                <w:color w:val="000000"/>
                <w:szCs w:val="24"/>
              </w:rPr>
              <w:t>6 straipsnis</w:t>
            </w:r>
          </w:p>
          <w:p w:rsidR="0099017F" w:rsidRPr="0099017F" w:rsidRDefault="0099017F" w:rsidP="0099017F">
            <w:pPr>
              <w:autoSpaceDE w:val="0"/>
              <w:autoSpaceDN w:val="0"/>
              <w:adjustRightInd w:val="0"/>
              <w:jc w:val="both"/>
              <w:rPr>
                <w:color w:val="000000"/>
                <w:szCs w:val="24"/>
              </w:rPr>
            </w:pPr>
            <w:r w:rsidRPr="0099017F">
              <w:rPr>
                <w:b/>
                <w:bCs/>
                <w:color w:val="000000"/>
                <w:szCs w:val="24"/>
              </w:rPr>
              <w:t xml:space="preserve">Prašymai suteikti informaciją apie apkaltinamuosius nuosprendžius </w:t>
            </w:r>
          </w:p>
          <w:p w:rsidR="0099017F" w:rsidRPr="0099017F" w:rsidRDefault="0099017F" w:rsidP="0099017F">
            <w:pPr>
              <w:pStyle w:val="CM4"/>
              <w:jc w:val="both"/>
              <w:rPr>
                <w:rFonts w:ascii="Times New Roman" w:eastAsia="Times New Roman" w:hAnsi="Times New Roman"/>
                <w:color w:val="000000"/>
                <w:lang w:eastAsia="lt-LT"/>
              </w:rPr>
            </w:pPr>
            <w:r w:rsidRPr="0099017F">
              <w:rPr>
                <w:rFonts w:ascii="Times New Roman" w:hAnsi="Times New Roman"/>
                <w:color w:val="000000"/>
              </w:rPr>
              <w:t xml:space="preserve">1. Jei yra pateiktas prašymas pateikti informaciją iš valstybės narės nuosprendžių registro asmens baudžiamosios bylos ar bet kuriais kitais nei baudžiamosios bylos tikslais, tai tos valstybės </w:t>
            </w:r>
            <w:r w:rsidRPr="0099017F">
              <w:rPr>
                <w:rFonts w:ascii="Times New Roman" w:eastAsia="Times New Roman" w:hAnsi="Times New Roman"/>
                <w:color w:val="000000"/>
                <w:lang w:eastAsia="lt-LT"/>
              </w:rPr>
              <w:t xml:space="preserve">narės centrinė institucija, laikydamasi savo nacionalinės teisės, kitos valstybės narės centrinei institucijai gali nusiųsti prašymą pateikti informaciją ir susijusius duomenis iš nuosprendžių registro. </w:t>
            </w:r>
          </w:p>
          <w:p w:rsidR="00DE7AF8" w:rsidRDefault="0099017F" w:rsidP="0099017F">
            <w:pPr>
              <w:autoSpaceDE w:val="0"/>
              <w:autoSpaceDN w:val="0"/>
              <w:adjustRightInd w:val="0"/>
              <w:jc w:val="both"/>
              <w:rPr>
                <w:color w:val="000000"/>
                <w:szCs w:val="24"/>
              </w:rPr>
            </w:pPr>
            <w:r w:rsidRPr="0099017F">
              <w:rPr>
                <w:color w:val="000000"/>
                <w:szCs w:val="24"/>
              </w:rPr>
              <w:t>2. Jei asmuo prašo pateikti inf</w:t>
            </w:r>
            <w:r w:rsidR="00DE7AF8">
              <w:rPr>
                <w:color w:val="000000"/>
                <w:szCs w:val="24"/>
              </w:rPr>
              <w:t>ormaciją apie jo teistumą, vals</w:t>
            </w:r>
            <w:r w:rsidRPr="0099017F">
              <w:rPr>
                <w:color w:val="000000"/>
                <w:szCs w:val="24"/>
              </w:rPr>
              <w:t>tybės narės, kurioje prašymas yra pateiktas, centrinė institucija, laikydamasi savo nacionalinės tei</w:t>
            </w:r>
            <w:r w:rsidR="00DE7AF8">
              <w:rPr>
                <w:color w:val="000000"/>
                <w:szCs w:val="24"/>
              </w:rPr>
              <w:t>sės, kitos valstybės narės cent</w:t>
            </w:r>
            <w:r w:rsidRPr="0099017F">
              <w:rPr>
                <w:color w:val="000000"/>
                <w:szCs w:val="24"/>
              </w:rPr>
              <w:t>rinei institucijai gali nusiųsti prašymą pateikti informaciją ir susijusius duomenis iš nuosprendžių registro, jei suinteresuotas asmuo yra ar yra buvęs prašanč</w:t>
            </w:r>
            <w:r w:rsidR="00DE7AF8">
              <w:rPr>
                <w:color w:val="000000"/>
                <w:szCs w:val="24"/>
              </w:rPr>
              <w:t>iosios valstybės narės ar prašo</w:t>
            </w:r>
            <w:r w:rsidRPr="0099017F">
              <w:rPr>
                <w:color w:val="000000"/>
                <w:szCs w:val="24"/>
              </w:rPr>
              <w:t xml:space="preserve">mosios valstybės </w:t>
            </w:r>
            <w:r w:rsidR="00DE7AF8">
              <w:rPr>
                <w:color w:val="000000"/>
                <w:szCs w:val="24"/>
              </w:rPr>
              <w:t>narės gyventojas arba pilietis.</w:t>
            </w:r>
          </w:p>
          <w:p w:rsidR="00DE7AF8" w:rsidRDefault="0099017F" w:rsidP="00DE7AF8">
            <w:pPr>
              <w:autoSpaceDE w:val="0"/>
              <w:autoSpaceDN w:val="0"/>
              <w:adjustRightInd w:val="0"/>
              <w:jc w:val="both"/>
              <w:rPr>
                <w:color w:val="000000"/>
                <w:szCs w:val="24"/>
              </w:rPr>
            </w:pPr>
            <w:r w:rsidRPr="0099017F">
              <w:rPr>
                <w:color w:val="000000"/>
                <w:szCs w:val="24"/>
              </w:rPr>
              <w:t>3. Pasibaigus 11 straipsnio 7 dalyje numatytam terminui, visais atvejais, kai asmuo prašo valstybės narės, kuri nėra asmens pilietybės valstybė narė, centrinės institucijos pateikti informaciją apie jo teistumą, tai</w:t>
            </w:r>
            <w:r w:rsidR="00DE7AF8">
              <w:rPr>
                <w:color w:val="000000"/>
                <w:szCs w:val="24"/>
              </w:rPr>
              <w:t xml:space="preserve"> valstybės narės, kurioje patei</w:t>
            </w:r>
            <w:r w:rsidRPr="0099017F">
              <w:rPr>
                <w:color w:val="000000"/>
                <w:szCs w:val="24"/>
              </w:rPr>
              <w:t>kiamas prašymas, centrinė institucija pateikia prašymą asmens pilietybės valstybės narės centrinei institucijai dėl informacijos ir susijusių duomenų iš nuosprendži</w:t>
            </w:r>
            <w:r w:rsidR="00DE7AF8">
              <w:rPr>
                <w:color w:val="000000"/>
                <w:szCs w:val="24"/>
              </w:rPr>
              <w:t>ų registro, kad galėtų tą infor</w:t>
            </w:r>
            <w:r w:rsidRPr="0099017F">
              <w:rPr>
                <w:color w:val="000000"/>
                <w:szCs w:val="24"/>
              </w:rPr>
              <w:t>maciją ir susijusius duomenis įrašyti į pažymą apie teistumą, kurią reikia pateikti tam asmeniui.</w:t>
            </w:r>
          </w:p>
          <w:p w:rsidR="006C6EA6" w:rsidRDefault="0099017F" w:rsidP="00DE7AF8">
            <w:pPr>
              <w:autoSpaceDE w:val="0"/>
              <w:autoSpaceDN w:val="0"/>
              <w:adjustRightInd w:val="0"/>
              <w:jc w:val="both"/>
              <w:rPr>
                <w:i/>
                <w:iCs/>
                <w:szCs w:val="24"/>
              </w:rPr>
            </w:pPr>
            <w:r w:rsidRPr="0099017F">
              <w:rPr>
                <w:color w:val="000000"/>
                <w:szCs w:val="24"/>
              </w:rPr>
              <w:t>4. Visi valstybės narės centrinės institucijos prašymai pateikti informaciją iš nuosprendžių reg</w:t>
            </w:r>
            <w:r w:rsidR="00DE7AF8">
              <w:rPr>
                <w:color w:val="000000"/>
                <w:szCs w:val="24"/>
              </w:rPr>
              <w:t>istro turi būti siunčiami naudo</w:t>
            </w:r>
            <w:r w:rsidRPr="0099017F">
              <w:rPr>
                <w:color w:val="000000"/>
                <w:szCs w:val="24"/>
              </w:rPr>
              <w:t xml:space="preserve">jant priede pateiktą formą. </w:t>
            </w:r>
          </w:p>
        </w:tc>
        <w:tc>
          <w:tcPr>
            <w:tcW w:w="6804" w:type="dxa"/>
            <w:tcBorders>
              <w:bottom w:val="single" w:sz="4" w:space="0" w:color="auto"/>
            </w:tcBorders>
          </w:tcPr>
          <w:p w:rsidR="00A421D1" w:rsidRDefault="00A421D1" w:rsidP="006B08CC">
            <w:pPr>
              <w:pStyle w:val="Pagrindinistekstas"/>
              <w:tabs>
                <w:tab w:val="left" w:pos="851"/>
              </w:tabs>
              <w:jc w:val="both"/>
              <w:rPr>
                <w:b w:val="0"/>
              </w:rPr>
            </w:pPr>
          </w:p>
          <w:p w:rsidR="004B1121" w:rsidRDefault="004B1121"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r>
              <w:rPr>
                <w:b w:val="0"/>
              </w:rPr>
              <w:t>Taisyklės</w:t>
            </w:r>
          </w:p>
          <w:p w:rsidR="00641B94" w:rsidRDefault="00641B94" w:rsidP="006B08CC">
            <w:pPr>
              <w:pStyle w:val="Pagrindinistekstas"/>
              <w:tabs>
                <w:tab w:val="left" w:pos="851"/>
              </w:tabs>
              <w:jc w:val="both"/>
              <w:rPr>
                <w:b w:val="0"/>
              </w:rPr>
            </w:pPr>
            <w:r w:rsidRPr="00641B94">
              <w:rPr>
                <w:b w:val="0"/>
              </w:rPr>
              <w:t>48. Jeigu Registro pažymą prašo pateikti Europos Sąjungos valstybės narės pilietis, Informatikos ir ryšių departamentas kreipiasi į asmens pilietybės valstybės centrinę instituciją su prašymu pateikti teistumo informaciją toje valstybėje, kuri įrašoma į Registro pažymą.</w:t>
            </w: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p>
          <w:p w:rsidR="00641B94" w:rsidRDefault="00641B94" w:rsidP="006B08CC">
            <w:pPr>
              <w:pStyle w:val="Pagrindinistekstas"/>
              <w:tabs>
                <w:tab w:val="left" w:pos="851"/>
              </w:tabs>
              <w:jc w:val="both"/>
              <w:rPr>
                <w:b w:val="0"/>
              </w:rPr>
            </w:pPr>
            <w:r>
              <w:rPr>
                <w:b w:val="0"/>
              </w:rPr>
              <w:t>Taisyklės</w:t>
            </w:r>
          </w:p>
          <w:p w:rsidR="00641B94" w:rsidRPr="006B08CC" w:rsidRDefault="00641B94" w:rsidP="006B08CC">
            <w:pPr>
              <w:pStyle w:val="Pagrindinistekstas"/>
              <w:tabs>
                <w:tab w:val="left" w:pos="851"/>
              </w:tabs>
              <w:jc w:val="both"/>
              <w:rPr>
                <w:b w:val="0"/>
              </w:rPr>
            </w:pPr>
            <w:r w:rsidRPr="00641B94">
              <w:rPr>
                <w:b w:val="0"/>
              </w:rPr>
              <w:t>70. Nuo Europos nuosprendžių registrų informacinės sistemos ECRIS veiklos pradžios su kitomis Europos Sąjungos valstybėmis narėmis keičiamasi Registro duomenimis ir informacija elektroniniu būdu per ECRIS sistemą.</w:t>
            </w:r>
          </w:p>
        </w:tc>
        <w:tc>
          <w:tcPr>
            <w:tcW w:w="2410" w:type="dxa"/>
          </w:tcPr>
          <w:p w:rsidR="006C6EA6" w:rsidRDefault="005D2D76" w:rsidP="00FC62E0">
            <w:pPr>
              <w:keepNext/>
              <w:jc w:val="both"/>
              <w:outlineLvl w:val="1"/>
              <w:rPr>
                <w:bCs/>
              </w:rPr>
            </w:pPr>
            <w:r w:rsidRPr="005D2D76">
              <w:rPr>
                <w:bCs/>
              </w:rPr>
              <w:t>Visiškas.</w:t>
            </w:r>
          </w:p>
          <w:p w:rsidR="009911DD" w:rsidRPr="005E370D" w:rsidRDefault="009911DD" w:rsidP="00FC62E0">
            <w:pPr>
              <w:keepNext/>
              <w:jc w:val="both"/>
              <w:outlineLvl w:val="1"/>
              <w:rPr>
                <w:bCs/>
              </w:rPr>
            </w:pPr>
          </w:p>
        </w:tc>
      </w:tr>
      <w:tr w:rsidR="006C6EA6" w:rsidTr="00F14AD5">
        <w:tc>
          <w:tcPr>
            <w:tcW w:w="5920" w:type="dxa"/>
          </w:tcPr>
          <w:p w:rsidR="006C6EA6" w:rsidRDefault="00DE7AF8" w:rsidP="006B08CC">
            <w:pPr>
              <w:autoSpaceDE w:val="0"/>
              <w:autoSpaceDN w:val="0"/>
              <w:adjustRightInd w:val="0"/>
              <w:rPr>
                <w:i/>
                <w:iCs/>
                <w:szCs w:val="24"/>
              </w:rPr>
            </w:pPr>
            <w:r>
              <w:rPr>
                <w:i/>
                <w:iCs/>
                <w:szCs w:val="24"/>
              </w:rPr>
              <w:t>7 straipsnis</w:t>
            </w:r>
          </w:p>
          <w:p w:rsidR="00DE7AF8" w:rsidRPr="00DE7AF8" w:rsidRDefault="00DE7AF8" w:rsidP="00DE7AF8">
            <w:pPr>
              <w:autoSpaceDE w:val="0"/>
              <w:autoSpaceDN w:val="0"/>
              <w:adjustRightInd w:val="0"/>
              <w:jc w:val="both"/>
              <w:rPr>
                <w:color w:val="000000"/>
                <w:szCs w:val="24"/>
              </w:rPr>
            </w:pPr>
            <w:r w:rsidRPr="00DE7AF8">
              <w:rPr>
                <w:b/>
                <w:bCs/>
                <w:color w:val="000000"/>
                <w:szCs w:val="24"/>
              </w:rPr>
              <w:t xml:space="preserve">Atsakymas į prašymą pateikti informaciją apie apkaltinamuosius nuosprendžius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1. Jei asmens pilietybės valstybės narės centrinės institucijos pateikti informaciją iš nuosprendžių registro pagal 6 straipsnį prašoma baudžiamosios bylos tikslais, tai ši centrinė institucija prašančiosios valstybės narės centrinei institucijai turi perduoti informaciją apie: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a) į nuosprendžių registrą įtrauktus asmens pilietybės valstybėje narėje priimtus apkaltinamuosius nuosprendžius;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b) kitose valstybėse narėse priimtus apkaltinamuosius nuosprendžius, kurie taikant 4 straipsnį jai buvo perduoti po 2012 m. kovo 26 d. ir yra saugomi pagal 5 straipsnio 1 ir 2 dalis;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c) kitose valstybėse narėse priimtus apkaltinamuosius nuosprendžius, kurie jai buvo perduoti ne vėliau kaip 2012 m. kovo 26 d. ir įtraukti į nuosprendžių registrą; </w:t>
            </w:r>
          </w:p>
          <w:p w:rsidR="00DE7AF8" w:rsidRDefault="00DE7AF8" w:rsidP="00DE7AF8">
            <w:pPr>
              <w:pageBreakBefore/>
              <w:autoSpaceDE w:val="0"/>
              <w:autoSpaceDN w:val="0"/>
              <w:adjustRightInd w:val="0"/>
              <w:jc w:val="both"/>
              <w:rPr>
                <w:color w:val="000000"/>
                <w:szCs w:val="24"/>
              </w:rPr>
            </w:pPr>
            <w:r w:rsidRPr="00DE7AF8">
              <w:rPr>
                <w:color w:val="000000"/>
                <w:szCs w:val="24"/>
              </w:rPr>
              <w:t>d) trečiosiose šalyse priimtus ir vėliau jai perduotus bei į nuosprendžių registrą įtrauktus apkaltinamuosius nuosprendžius.</w:t>
            </w:r>
          </w:p>
          <w:p w:rsidR="00A203E6" w:rsidRDefault="00DE7AF8" w:rsidP="00DE7AF8">
            <w:pPr>
              <w:pageBreakBefore/>
              <w:autoSpaceDE w:val="0"/>
              <w:autoSpaceDN w:val="0"/>
              <w:adjustRightInd w:val="0"/>
              <w:jc w:val="both"/>
              <w:rPr>
                <w:color w:val="000000"/>
                <w:szCs w:val="24"/>
              </w:rPr>
            </w:pPr>
            <w:r w:rsidRPr="00DE7AF8">
              <w:rPr>
                <w:color w:val="000000"/>
                <w:szCs w:val="24"/>
              </w:rPr>
              <w:t>2. Jei asmens pilietybės valstybės narės centrinės institucijos pateikti informaciją iš nuosprendžių registro pagal 6 straipsnį prašoma bet kuriais kitais ne baudžiamosios bylos tikslais, ši centrinė institucija valstybė atsakymą apie asmens pilietybės valstybėje narėje priimtus apkaltinamuosius nuosprendžius ir trečiosiose šalyse priimtus ir vėliau jai perduotus bei į jos nuosprendžių registrą įtrauktus apkaltinamuosius nuosprendžius turi pateikti laikydamasi savo nacionalinės teisės.</w:t>
            </w:r>
          </w:p>
          <w:p w:rsidR="00A203E6" w:rsidRDefault="00DE7AF8" w:rsidP="00DE7AF8">
            <w:pPr>
              <w:pageBreakBefore/>
              <w:autoSpaceDE w:val="0"/>
              <w:autoSpaceDN w:val="0"/>
              <w:adjustRightInd w:val="0"/>
              <w:jc w:val="both"/>
              <w:rPr>
                <w:color w:val="000000"/>
                <w:szCs w:val="24"/>
              </w:rPr>
            </w:pPr>
            <w:r w:rsidRPr="00DE7AF8">
              <w:rPr>
                <w:color w:val="000000"/>
                <w:szCs w:val="24"/>
              </w:rPr>
              <w:t xml:space="preserve">Dėl informacijos apie kitoje valstybėje narėje priimtus apkaltinamuosius nuosprendžius, kuri buvo perduota asmens pilietybės valstybei narei pastarosios centrinė institucija, laikydamasi savo nacionalinės teisės, perduoda prašančiajai valstybei narei informaciją, kuri išsaugota pagal 5 straipsnio 1 ir 2 dalis, bei informaciją, kuri buvo </w:t>
            </w:r>
            <w:r w:rsidRPr="00DE7AF8">
              <w:rPr>
                <w:color w:val="000000"/>
                <w:szCs w:val="24"/>
              </w:rPr>
              <w:lastRenderedPageBreak/>
              <w:t>perduota tai valstybei narei ne vėliau kaip 2012 m. kovo 26 d. ir įtraukta į jos nuosprendžių registrą.</w:t>
            </w:r>
          </w:p>
          <w:p w:rsidR="00DE7AF8" w:rsidRDefault="00DE7AF8" w:rsidP="00DE7AF8">
            <w:pPr>
              <w:pageBreakBefore/>
              <w:autoSpaceDE w:val="0"/>
              <w:autoSpaceDN w:val="0"/>
              <w:adjustRightInd w:val="0"/>
              <w:jc w:val="both"/>
              <w:rPr>
                <w:color w:val="000000"/>
                <w:szCs w:val="24"/>
              </w:rPr>
            </w:pPr>
            <w:r w:rsidRPr="00DE7AF8">
              <w:rPr>
                <w:color w:val="000000"/>
                <w:szCs w:val="24"/>
              </w:rPr>
              <w:t>Perduodama informaciją pagal 4 straipsnį, apkaltinamąjį nuosprendį priėmusios valstybės narės centrinė institucija gali informuoti asmens pilietybės valstybės narės centrinę instituciją, kad informacija apie pirmosios valstybės narės priimtus apkaltinamuosius nuosprendžius, perduota pastarajai centrinei institucijai, gali būti perduota tik baudžiamųjų bylų tikslais. Tokiu atveju asmens pilietybės valstybės narės centrinė institucija apie šiuos apkaltinamuosius nuosprendžius informuoja prašančiąją valstybę narę, kuri kita valstybė narė perdavė tokią informaciją, kad prašančioji valstybė narė tiesiogiai pateiktų prašymą apkaltinamąjį nuosprendį priėmusiai valstybei narei, siekdama gauti informaciją apie šiuos apkaltinamuosius nuosprendžius.</w:t>
            </w:r>
          </w:p>
          <w:p w:rsidR="00DE7AF8" w:rsidRDefault="00DE7AF8" w:rsidP="00DE7AF8">
            <w:pPr>
              <w:pageBreakBefore/>
              <w:autoSpaceDE w:val="0"/>
              <w:autoSpaceDN w:val="0"/>
              <w:adjustRightInd w:val="0"/>
              <w:jc w:val="both"/>
              <w:rPr>
                <w:color w:val="000000"/>
                <w:szCs w:val="24"/>
              </w:rPr>
            </w:pPr>
            <w:r w:rsidRPr="00DE7AF8">
              <w:rPr>
                <w:color w:val="000000"/>
                <w:szCs w:val="24"/>
              </w:rPr>
              <w:t>3. Jei trečioji valstybė prašo asmens pilietybės valstybės narės centrinės institucijos pateikti informaciją iš nuosprendžių registro, tai asmens pilietybės valstybė narė informaciją apie kitos valstybės narės jai perduotus apkaltinamuosius nuosprendžius gali pateikti tik laikydamasi informacijos perdavimui kitoms valstybėms narėms taikomų apribojimų pagal 1 ir 2 dalis.</w:t>
            </w:r>
          </w:p>
          <w:p w:rsidR="00B9491A" w:rsidRDefault="00B9491A" w:rsidP="00DE7AF8">
            <w:pPr>
              <w:pageBreakBefore/>
              <w:autoSpaceDE w:val="0"/>
              <w:autoSpaceDN w:val="0"/>
              <w:adjustRightInd w:val="0"/>
              <w:jc w:val="both"/>
              <w:rPr>
                <w:color w:val="000000"/>
                <w:szCs w:val="24"/>
              </w:rPr>
            </w:pPr>
          </w:p>
          <w:p w:rsidR="00B9491A" w:rsidRDefault="00B9491A" w:rsidP="00DE7AF8">
            <w:pPr>
              <w:pageBreakBefore/>
              <w:autoSpaceDE w:val="0"/>
              <w:autoSpaceDN w:val="0"/>
              <w:adjustRightInd w:val="0"/>
              <w:jc w:val="both"/>
              <w:rPr>
                <w:color w:val="000000"/>
                <w:szCs w:val="24"/>
              </w:rPr>
            </w:pPr>
          </w:p>
          <w:p w:rsidR="00B9491A" w:rsidRDefault="00DE7AF8" w:rsidP="00DE7AF8">
            <w:pPr>
              <w:pageBreakBefore/>
              <w:autoSpaceDE w:val="0"/>
              <w:autoSpaceDN w:val="0"/>
              <w:adjustRightInd w:val="0"/>
              <w:jc w:val="both"/>
              <w:rPr>
                <w:color w:val="000000"/>
                <w:szCs w:val="24"/>
              </w:rPr>
            </w:pPr>
            <w:r w:rsidRPr="00DE7AF8">
              <w:rPr>
                <w:color w:val="000000"/>
                <w:szCs w:val="24"/>
              </w:rPr>
              <w:t>4. Jei informacijos iš nuosprendžių registro prašoma pagal 6 straipsnį ne asmens pilietybės valstybės narės, o kitos valstybės narės centrinės institucijos, tai prašomoji valstybė narė perduoda jos nuosprendžių registre esančią informaciją apie aprašomojoje valstybėje narėje priimtus apkaltinamuosius nuosprendžius ir apkaltinamuosius nuosprendžius, priimtus trečiųjų šalių piliečių bei asmenų be pilietybės atžvilgiu, tokios apimties, kaip numatyta Europos konvencijos dėl savitarpio pagalbos baudžiamosiose bylose 13 straipsnyje.</w:t>
            </w:r>
          </w:p>
          <w:p w:rsidR="00DE7AF8" w:rsidRDefault="00DE7AF8" w:rsidP="00DE7AF8">
            <w:pPr>
              <w:pageBreakBefore/>
              <w:autoSpaceDE w:val="0"/>
              <w:autoSpaceDN w:val="0"/>
              <w:adjustRightInd w:val="0"/>
              <w:jc w:val="both"/>
              <w:rPr>
                <w:i/>
                <w:iCs/>
                <w:szCs w:val="24"/>
              </w:rPr>
            </w:pPr>
            <w:r w:rsidRPr="00DE7AF8">
              <w:rPr>
                <w:color w:val="000000"/>
                <w:szCs w:val="24"/>
              </w:rPr>
              <w:t>5. Kartu su atsakymu, parengiamu naudojant šio pamatinio sprendimo priede pateiktą formą. Prie jos pridedamas apkaltinamųjų nuosprendžių sąrašas, kaip numatyta nacionalinės teisės.</w:t>
            </w:r>
          </w:p>
        </w:tc>
        <w:tc>
          <w:tcPr>
            <w:tcW w:w="6804" w:type="dxa"/>
            <w:tcBorders>
              <w:bottom w:val="single" w:sz="4" w:space="0" w:color="auto"/>
            </w:tcBorders>
          </w:tcPr>
          <w:p w:rsidR="00A203E6" w:rsidRPr="00641B94" w:rsidRDefault="00641B94" w:rsidP="00641B94">
            <w:pPr>
              <w:pStyle w:val="tajtip"/>
              <w:spacing w:before="0" w:beforeAutospacing="0" w:after="0" w:afterAutospacing="0"/>
              <w:ind w:firstLine="34"/>
              <w:jc w:val="both"/>
            </w:pPr>
            <w:r w:rsidRPr="00641B94">
              <w:lastRenderedPageBreak/>
              <w:t>Taisyklės</w:t>
            </w:r>
          </w:p>
          <w:p w:rsidR="00641B94" w:rsidRPr="00641B94" w:rsidRDefault="00641B94" w:rsidP="00641B94">
            <w:pPr>
              <w:pStyle w:val="tajtip"/>
              <w:spacing w:before="0" w:beforeAutospacing="0" w:after="0" w:afterAutospacing="0"/>
              <w:ind w:firstLine="34"/>
              <w:jc w:val="both"/>
            </w:pPr>
            <w:r w:rsidRPr="00641B94">
              <w:t>61. Jeigu Europos Sąjungos valstybės narės centrinės institucijos prašymas pateikiamas baudžiamosios bylos tikslais, prie Pamatinio sprendimo priede nustatytos formos atsakymo pridedamas Taisyklių 34 priede nustatytos formos Registro išrašas su informacija apie Registro duomenų bazėje įrašytus fiziniam asmeniui Lietuvos Respublikos teismų priimtus apkaltinamuosius nuosprendžius, pagal kuriuos teistumas nėra išnykęs ar panaikintas, taip pat užsienio valstybių teismų priimtus apkaltinamuosius nuosprendžius, jei nuosprendį priėmusi valstybė nėra informavusi Registro valdytojo apie teistumo išnykimą ar panaikinimą.</w:t>
            </w: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p>
          <w:p w:rsidR="00641B94" w:rsidRDefault="00641B94" w:rsidP="00641B94">
            <w:pPr>
              <w:pStyle w:val="tajtip"/>
              <w:spacing w:before="0" w:beforeAutospacing="0" w:after="0" w:afterAutospacing="0"/>
              <w:ind w:firstLine="34"/>
              <w:jc w:val="both"/>
            </w:pPr>
            <w:r>
              <w:t>Taisyklės.</w:t>
            </w:r>
          </w:p>
          <w:p w:rsidR="00641B94" w:rsidRDefault="00641B94" w:rsidP="00641B94">
            <w:pPr>
              <w:pStyle w:val="tajtip"/>
              <w:spacing w:before="0" w:beforeAutospacing="0" w:after="0" w:afterAutospacing="0"/>
              <w:ind w:firstLine="34"/>
              <w:jc w:val="both"/>
            </w:pPr>
            <w:r w:rsidRPr="00641B94">
              <w:t xml:space="preserve">62. Jeigu Europos Sąjungos valstybės narės centrinės institucijos prašymas pateikiamas ne baudžiamosios bylos tikslais, informacija teikiama įvertinus tokio prašymo teisinį pagrindą. Tais atvejais, kuomet atitinkamas Lietuvos Respublikos teisės aktas reglamentuoja asmens teisių ir laisvių suvaržymą, atsižvelgiant į asmens teistumą, prie Pamatinio sprendimo priede nustatytos formos atsakymo pridedamas Taisyklių 34 priede nustatytos formos Registro išrašas su informacija apie Registro duomenų bazėje įrašytus fiziniam asmeniui Lietuvos Respublikos teismų priimtus apkaltinamuosius nuosprendžius – vadovaujantis atitinkamo Lietuvos Respublikos teisės akto reikalavimais, taip pat užsienio valstybių teismų priimtus apkaltinamuosius nuosprendžius, dėl kurių teistumo išnykimo ar panaikinimo ir tolimesnio perdavimo apribojimų nuosprendį priėmusi valstybė nėra informavusi Registro valdytojo. Tais atvejais, kuomet atitinkamas Lietuvos Respublikos </w:t>
            </w:r>
            <w:r w:rsidRPr="00641B94">
              <w:lastRenderedPageBreak/>
              <w:t>teisės aktas nereglamentuoja asmens teisių ir laisvių suvaržymo, atsižvelgiant į asmens teistumą, arba tokio teisės akto nėra, Registro valdytojas kreipiasi į prašymą pateikusią Europos Sąjungos valstybės narės centrinę instituciją su prašymu pateikti asmens, dėl kurio gautas prašymas, sutikimą tvarkyti jo ypatingus asmens duomenis jam žinomu tikslu.</w:t>
            </w:r>
          </w:p>
          <w:p w:rsidR="00B9491A" w:rsidRDefault="00B9491A" w:rsidP="00641B94">
            <w:pPr>
              <w:pStyle w:val="tajtip"/>
              <w:spacing w:before="0" w:beforeAutospacing="0" w:after="0" w:afterAutospacing="0"/>
              <w:ind w:firstLine="34"/>
              <w:jc w:val="both"/>
            </w:pPr>
            <w:r w:rsidRPr="00B9491A">
              <w:t>70. Nuo Europos nuosprendžių registrų informacinės sistemos ECRIS veiklos pradžios su kitomis Europos Sąjungos valstybėmis narėmis keičiamasi Registro duomenimis ir informacija elektroniniu būdu per ECRIS sistemą.</w:t>
            </w:r>
          </w:p>
          <w:p w:rsidR="00B9491A" w:rsidRDefault="00B9491A" w:rsidP="00641B94">
            <w:pPr>
              <w:pStyle w:val="tajtip"/>
              <w:spacing w:before="0" w:beforeAutospacing="0" w:after="0" w:afterAutospacing="0"/>
              <w:ind w:firstLine="34"/>
              <w:jc w:val="both"/>
            </w:pPr>
          </w:p>
          <w:p w:rsidR="00B9491A" w:rsidRDefault="00B9491A" w:rsidP="00641B94">
            <w:pPr>
              <w:pStyle w:val="tajtip"/>
              <w:spacing w:before="0" w:beforeAutospacing="0" w:after="0" w:afterAutospacing="0"/>
              <w:ind w:firstLine="34"/>
              <w:jc w:val="both"/>
            </w:pPr>
          </w:p>
          <w:p w:rsidR="00B9491A" w:rsidRDefault="00B9491A" w:rsidP="00641B94">
            <w:pPr>
              <w:pStyle w:val="tajtip"/>
              <w:spacing w:before="0" w:beforeAutospacing="0" w:after="0" w:afterAutospacing="0"/>
              <w:ind w:firstLine="34"/>
              <w:jc w:val="both"/>
            </w:pPr>
          </w:p>
          <w:p w:rsidR="00B9491A" w:rsidRDefault="00B9491A" w:rsidP="00641B94">
            <w:pPr>
              <w:pStyle w:val="tajtip"/>
              <w:spacing w:before="0" w:beforeAutospacing="0" w:after="0" w:afterAutospacing="0"/>
              <w:ind w:firstLine="34"/>
              <w:jc w:val="both"/>
            </w:pPr>
          </w:p>
          <w:p w:rsidR="00B9491A" w:rsidRDefault="00B9491A" w:rsidP="00641B94">
            <w:pPr>
              <w:pStyle w:val="tajtip"/>
              <w:spacing w:before="0" w:beforeAutospacing="0" w:after="0" w:afterAutospacing="0"/>
              <w:ind w:firstLine="34"/>
              <w:jc w:val="both"/>
            </w:pPr>
          </w:p>
          <w:p w:rsidR="00B9491A" w:rsidRDefault="00B9491A" w:rsidP="00641B94">
            <w:pPr>
              <w:pStyle w:val="tajtip"/>
              <w:spacing w:before="0" w:beforeAutospacing="0" w:after="0" w:afterAutospacing="0"/>
              <w:ind w:firstLine="34"/>
              <w:jc w:val="both"/>
            </w:pPr>
          </w:p>
          <w:p w:rsidR="00B9491A" w:rsidRDefault="00B9491A" w:rsidP="00641B94">
            <w:pPr>
              <w:pStyle w:val="tajtip"/>
              <w:spacing w:before="0" w:beforeAutospacing="0" w:after="0" w:afterAutospacing="0"/>
              <w:ind w:firstLine="34"/>
              <w:jc w:val="both"/>
            </w:pPr>
            <w:r>
              <w:t>Taisyklės</w:t>
            </w:r>
          </w:p>
          <w:p w:rsidR="00B9491A" w:rsidRDefault="00B9491A" w:rsidP="00641B94">
            <w:pPr>
              <w:pStyle w:val="tajtip"/>
              <w:spacing w:before="0" w:beforeAutospacing="0" w:after="0" w:afterAutospacing="0"/>
              <w:ind w:firstLine="34"/>
              <w:jc w:val="both"/>
            </w:pPr>
            <w:r w:rsidRPr="00B9491A">
              <w:t>71. Registro duomenys ir informacija, Registrui pateikti dokumentai ir (arba) jų kopijos trečiųjų šalių fiziniams, juridiniams asmenims, juridinio asmens statuso neturintiems subjektams, jų filialams ir atstovybėms teikiami tokia pat tvarka kaip Lietuvos Respublikos juridiniams ir fiziniams asmenims, jeigu tai neprieštarauja Lietuvos Respublikos įstatymams, tarptautinėms sutartims ir kitiems teisės aktams.</w:t>
            </w:r>
          </w:p>
          <w:p w:rsidR="00B9491A" w:rsidRDefault="00B9491A" w:rsidP="00641B94">
            <w:pPr>
              <w:pStyle w:val="tajtip"/>
              <w:spacing w:before="0" w:beforeAutospacing="0" w:after="0" w:afterAutospacing="0"/>
              <w:ind w:firstLine="34"/>
              <w:jc w:val="both"/>
            </w:pPr>
          </w:p>
          <w:p w:rsidR="00B9491A" w:rsidRDefault="00B9491A" w:rsidP="00B9491A">
            <w:pPr>
              <w:pStyle w:val="tajtip"/>
              <w:spacing w:before="0" w:beforeAutospacing="0" w:after="0" w:afterAutospacing="0"/>
              <w:ind w:firstLine="34"/>
              <w:jc w:val="both"/>
            </w:pPr>
            <w:r>
              <w:t>Taisyklės</w:t>
            </w:r>
          </w:p>
          <w:p w:rsidR="00B9491A" w:rsidRDefault="00B9491A" w:rsidP="00B9491A">
            <w:pPr>
              <w:pStyle w:val="tajtip"/>
              <w:spacing w:before="0" w:beforeAutospacing="0" w:after="0" w:afterAutospacing="0"/>
              <w:ind w:firstLine="34"/>
              <w:jc w:val="both"/>
            </w:pPr>
            <w:r>
              <w:t>61. Jeigu Europos Sąjungos valstybės narės centrinės institucijos prašymas pateikiamas baudžiamosios bylos tikslais, prie Pamatinio sprendimo priede nustatytos formos atsakymo pridedamas Taisyklių 34 priede nustatytos formos Registro išrašas su informacija apie Registro duomenų bazėje įrašytus fiziniam asmeniui Lietuvos Respublikos teismų priimtus apkaltinamuosius nuosprendžius, pagal kuriuos teistumas nėra išnykęs ar panaikintas, taip pat užsienio valstybių teismų priimtus apkaltinamuosius nuosprendžius, jei nuosprendį priėmusi valstybė nėra informavusi Registro valdytojo apie teistumo išnykimą ar panaikinimą.</w:t>
            </w:r>
          </w:p>
          <w:p w:rsidR="00B9491A" w:rsidRPr="00B9491A" w:rsidRDefault="00B9491A" w:rsidP="00B9491A">
            <w:pPr>
              <w:pStyle w:val="tajtip"/>
              <w:spacing w:before="0" w:beforeAutospacing="0" w:after="0" w:afterAutospacing="0"/>
              <w:ind w:firstLine="34"/>
              <w:jc w:val="both"/>
            </w:pPr>
            <w:r w:rsidRPr="00B9491A">
              <w:t>62. Jeigu Europos Sąjungos valstybės narės centrinės institucijos prašymas pateikiamas ne baudžiamosios bylos tikslais, informacija teikiama įvertinus tokio prašymo teisinį pagrindą. Tais atvejais, kuomet atitinkamas Lietuvos Respublikos teisės aktas reglamentuoja asmens teisių ir laisvių suvaržymą, atsižvelgiant į asmens teistumą, prie Pamatinio sprendimo priede nustatytos formos atsakymo pridedamas Taisyklių 34 priede nustatytos formos Registro išrašas su informacija apie Registro duomenų bazėje įrašytus fiziniam asmeniui Lietuvos Respublikos teismų priimtus apkaltinamuosius nuosprendžius – vadovaujantis atitinkamo Lietuvos Respublikos teisės akto reikalavimais, taip pat užsienio valstybių teismų priimtus apkaltinamuosius nuosprendžius, dėl kurių teistumo išnykimo ar panaikinimo ir tolimesnio perdavimo apribojimų nuosprendį priėmusi valstybė nėra informavusi Registro valdytojo. Tais atvejais, kuomet atitinkamas Lietuvos Respublikos teisės aktas nereglamentuoja asmens teisių ir laisvių suvaržymo, atsižvelgiant į asmens teistumą, arba tokio teisės akto nėra, Registro valdytojas kreipiasi į prašymą pateikusią Europos Sąjungos valstybės narės centrinę instituciją su prašymu pateikti asmens, dėl kurio gautas prašymas, sutikimą tvarkyti jo ypatingus asmens duomenis jam žinomu tikslu.</w:t>
            </w:r>
          </w:p>
        </w:tc>
        <w:tc>
          <w:tcPr>
            <w:tcW w:w="2410" w:type="dxa"/>
          </w:tcPr>
          <w:p w:rsidR="00B9491A" w:rsidRDefault="00B9491A" w:rsidP="00B9491A">
            <w:pPr>
              <w:keepNext/>
              <w:jc w:val="center"/>
              <w:outlineLvl w:val="1"/>
              <w:rPr>
                <w:bCs/>
              </w:rPr>
            </w:pPr>
            <w:r>
              <w:rPr>
                <w:bCs/>
              </w:rPr>
              <w:lastRenderedPageBreak/>
              <w:t>Visiškas.</w:t>
            </w:r>
          </w:p>
          <w:p w:rsidR="006C6EA6" w:rsidRPr="005E370D" w:rsidRDefault="006C6EA6" w:rsidP="00B9491A">
            <w:pPr>
              <w:keepNext/>
              <w:jc w:val="center"/>
              <w:outlineLvl w:val="1"/>
              <w:rPr>
                <w:bCs/>
              </w:rPr>
            </w:pPr>
          </w:p>
        </w:tc>
      </w:tr>
      <w:tr w:rsidR="006C6EA6" w:rsidTr="00F14AD5">
        <w:tc>
          <w:tcPr>
            <w:tcW w:w="5920" w:type="dxa"/>
          </w:tcPr>
          <w:p w:rsidR="006C6EA6" w:rsidRPr="00DE7AF8" w:rsidRDefault="00DE7AF8" w:rsidP="00DE7AF8">
            <w:pPr>
              <w:autoSpaceDE w:val="0"/>
              <w:autoSpaceDN w:val="0"/>
              <w:adjustRightInd w:val="0"/>
              <w:jc w:val="both"/>
              <w:rPr>
                <w:i/>
                <w:iCs/>
                <w:szCs w:val="24"/>
              </w:rPr>
            </w:pPr>
            <w:r w:rsidRPr="00DE7AF8">
              <w:rPr>
                <w:i/>
                <w:iCs/>
                <w:szCs w:val="24"/>
              </w:rPr>
              <w:t>8 straipsnis</w:t>
            </w:r>
          </w:p>
          <w:p w:rsidR="00DE7AF8" w:rsidRPr="00DE7AF8" w:rsidRDefault="00DE7AF8" w:rsidP="00DE7AF8">
            <w:pPr>
              <w:autoSpaceDE w:val="0"/>
              <w:autoSpaceDN w:val="0"/>
              <w:adjustRightInd w:val="0"/>
              <w:jc w:val="both"/>
              <w:rPr>
                <w:color w:val="000000"/>
                <w:szCs w:val="24"/>
              </w:rPr>
            </w:pPr>
            <w:r w:rsidRPr="00DE7AF8">
              <w:rPr>
                <w:b/>
                <w:bCs/>
                <w:color w:val="000000"/>
                <w:szCs w:val="24"/>
              </w:rPr>
              <w:t xml:space="preserve">Atsakymų pateikimo terminai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1. Atsakymus į 6 straipsnio 1 dalyje nurodytus prašymus prašomosios valstybės narės centrinė institucija nedelsdama ir bet kokiu atveju ne vėliau kaip per dešimt darbo dienų nuo prašymo gavimo dienos turi perduoti prašančiosios valstybės narės centrinei institucijai, laikydamasi savo nacionalinės teisės, taisyklių arba praktikos ir naudodama šio pamatinio sprendimo priede pateiktą formą. </w:t>
            </w:r>
          </w:p>
          <w:p w:rsidR="00A26F7A" w:rsidRDefault="00DE7AF8" w:rsidP="00DE7AF8">
            <w:pPr>
              <w:autoSpaceDE w:val="0"/>
              <w:autoSpaceDN w:val="0"/>
              <w:adjustRightInd w:val="0"/>
              <w:jc w:val="both"/>
              <w:rPr>
                <w:color w:val="000000"/>
                <w:szCs w:val="24"/>
              </w:rPr>
            </w:pPr>
            <w:r w:rsidRPr="00DE7AF8">
              <w:rPr>
                <w:color w:val="000000"/>
                <w:szCs w:val="24"/>
              </w:rPr>
              <w:t>Jei prašomajai valstybei narei reikia papildomos informacijos prašyme nurodyto asmens tapatybei nustatyti, ji nedelsdama turi kreiptis į prašančiąją valstybę narę, kad galėtų pateikti atsakymą per dešimt darbo dienų nuo papildomos informacijos gavimo dienos.</w:t>
            </w:r>
          </w:p>
          <w:p w:rsidR="00DE7AF8" w:rsidRDefault="00DE7AF8" w:rsidP="00DE7AF8">
            <w:pPr>
              <w:autoSpaceDE w:val="0"/>
              <w:autoSpaceDN w:val="0"/>
              <w:adjustRightInd w:val="0"/>
              <w:jc w:val="both"/>
              <w:rPr>
                <w:i/>
                <w:iCs/>
                <w:szCs w:val="24"/>
              </w:rPr>
            </w:pPr>
            <w:r w:rsidRPr="00DE7AF8">
              <w:rPr>
                <w:color w:val="000000"/>
                <w:szCs w:val="24"/>
              </w:rPr>
              <w:t xml:space="preserve">2. Atsakymai į 6 straipsnio 2 dalyje nurodytą prašymą turi būti pateikiami ne vėliau kaip per dvidešimt darbo dienų nuo prašymo gavimo dienos. </w:t>
            </w:r>
          </w:p>
        </w:tc>
        <w:tc>
          <w:tcPr>
            <w:tcW w:w="6804" w:type="dxa"/>
            <w:tcBorders>
              <w:bottom w:val="single" w:sz="4" w:space="0" w:color="auto"/>
            </w:tcBorders>
          </w:tcPr>
          <w:p w:rsidR="006C6EA6" w:rsidRPr="00B9491A" w:rsidRDefault="00B9491A" w:rsidP="00F243FB">
            <w:pPr>
              <w:pStyle w:val="tajtip"/>
              <w:spacing w:before="0" w:beforeAutospacing="0" w:after="0" w:afterAutospacing="0"/>
              <w:ind w:firstLine="34"/>
              <w:jc w:val="both"/>
            </w:pPr>
            <w:r w:rsidRPr="00B9491A">
              <w:t>Taisyklės</w:t>
            </w:r>
          </w:p>
          <w:p w:rsidR="00B9491A" w:rsidRPr="006B08CC" w:rsidRDefault="00B9491A" w:rsidP="00F243FB">
            <w:pPr>
              <w:pStyle w:val="tajtip"/>
              <w:spacing w:before="0" w:beforeAutospacing="0" w:after="0" w:afterAutospacing="0"/>
              <w:ind w:firstLine="34"/>
              <w:jc w:val="both"/>
              <w:rPr>
                <w:b/>
              </w:rPr>
            </w:pPr>
            <w:r w:rsidRPr="00B9491A">
              <w:t>67. Atsakymas į Europos Sąjungos valstybės narės centrinės institucijos prašymą dėl Registro duomenų apie fizinį asmenį pateikiamas ne vėliau kaip per 10 darbo dienų nuo prašymo gavimo Informatikos ir ryšių departamente. Atsakymas į Europos Sąjungos valstybės narės centrinės institucijos prašymą dėl Registro duomenų apie fizinį asmenį, kai prašymas pateikiamas vadovaujantis asmens prašymu, pateikiamas ne vėliau kaip per 20 darbo dienų nuo prašymo gavimo Informatikos ir ryšių departamente. Jei pateiktame prašyme nurodyti netikslūs ar neišsamūs asmens duomenys, arba nurodyta netiksli ar neišsami kita informacija, apie tai informuojama nedelsiant prašymą pateikusi Europos Sąjungos valstybės narės centrinė institucija. Atsakymas pateikiamas ne vėliau kaip per 10 darbo dienų nuo patikslintos informacijos gavimo Informatikos ir ryšių departamente.</w:t>
            </w:r>
          </w:p>
        </w:tc>
        <w:tc>
          <w:tcPr>
            <w:tcW w:w="2410" w:type="dxa"/>
          </w:tcPr>
          <w:p w:rsidR="006C6EA6" w:rsidRPr="005E370D" w:rsidRDefault="00B9491A" w:rsidP="00B9491A">
            <w:pPr>
              <w:keepNext/>
              <w:jc w:val="center"/>
              <w:outlineLvl w:val="1"/>
              <w:rPr>
                <w:bCs/>
              </w:rPr>
            </w:pPr>
            <w:r w:rsidRPr="00B9491A">
              <w:rPr>
                <w:bCs/>
              </w:rPr>
              <w:t>Visiškas.</w:t>
            </w:r>
          </w:p>
        </w:tc>
      </w:tr>
      <w:tr w:rsidR="006C6EA6" w:rsidTr="00F14AD5">
        <w:tc>
          <w:tcPr>
            <w:tcW w:w="5920" w:type="dxa"/>
          </w:tcPr>
          <w:p w:rsidR="006C6EA6" w:rsidRPr="0055750A" w:rsidRDefault="00DE7AF8" w:rsidP="006B08CC">
            <w:pPr>
              <w:autoSpaceDE w:val="0"/>
              <w:autoSpaceDN w:val="0"/>
              <w:adjustRightInd w:val="0"/>
              <w:rPr>
                <w:i/>
                <w:iCs/>
                <w:szCs w:val="24"/>
              </w:rPr>
            </w:pPr>
            <w:r w:rsidRPr="0055750A">
              <w:rPr>
                <w:i/>
                <w:iCs/>
                <w:szCs w:val="24"/>
              </w:rPr>
              <w:t>9 straipsnis</w:t>
            </w:r>
          </w:p>
          <w:p w:rsidR="00DE7AF8" w:rsidRPr="00DE7AF8" w:rsidRDefault="00DE7AF8" w:rsidP="00DE7AF8">
            <w:pPr>
              <w:autoSpaceDE w:val="0"/>
              <w:autoSpaceDN w:val="0"/>
              <w:adjustRightInd w:val="0"/>
              <w:jc w:val="both"/>
              <w:rPr>
                <w:color w:val="000000"/>
                <w:szCs w:val="24"/>
              </w:rPr>
            </w:pPr>
            <w:r w:rsidRPr="0055750A">
              <w:rPr>
                <w:b/>
                <w:bCs/>
                <w:color w:val="000000"/>
                <w:szCs w:val="24"/>
              </w:rPr>
              <w:t>Asmens duomenų naudojimo sąlygos</w:t>
            </w:r>
            <w:r w:rsidRPr="00DE7AF8">
              <w:rPr>
                <w:b/>
                <w:bCs/>
                <w:color w:val="000000"/>
                <w:szCs w:val="24"/>
              </w:rPr>
              <w:t xml:space="preserve">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1. Pagal 7 straipsnio 1 ir 4 dalis baudžiamosios bylos tikslais perduotus asmens duomenis prašančioji valstybė narė gali naudoti tik baudžiamosios bylos, kuriai buvo prašoma juos pateikti, tikslams, naudodama šio pamatinio sprendimo priede pateiktą formą.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2. Pagal 7 straipsnio 2 ir 4 dalis ne baudžiamosios bylos tikslais perduotus asmens duomenis prašančioji valstybė narė, laikydamasi savo nacionalinės teisės, gali naudoti tik tuo tikslu, kuriuo buvo prašoma juos pateikti, ir laikydamasi apribojimų, kuriuos prašomoji valstybė narė nurodė priede pateiktoje formoje.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3. Nepaisant 1 ir 2 dalių, pagal 7 straipsnio 1, 2 ir 4 dalis perduotus asmens duomenis prašančioji valstybė narė gali naudoti siekdama užkirsti kelią iškilus tiesioginei ir didelei grėsmei visuomenės saugumui. </w:t>
            </w:r>
          </w:p>
          <w:p w:rsidR="00DE7AF8" w:rsidRPr="00DE7AF8" w:rsidRDefault="00DE7AF8" w:rsidP="00DE7AF8">
            <w:pPr>
              <w:pageBreakBefore/>
              <w:autoSpaceDE w:val="0"/>
              <w:autoSpaceDN w:val="0"/>
              <w:adjustRightInd w:val="0"/>
              <w:jc w:val="both"/>
              <w:rPr>
                <w:color w:val="000000"/>
                <w:szCs w:val="24"/>
              </w:rPr>
            </w:pPr>
            <w:r w:rsidRPr="00DE7AF8">
              <w:rPr>
                <w:color w:val="000000"/>
                <w:szCs w:val="24"/>
              </w:rPr>
              <w:t xml:space="preserve">4. Valstybės narės imasi būtinų priemonių užtikrinti, kad asmens duomenys, gauti iš kitos valstybės narės pagal 4 straipsnį, juos perdavus trečiajai šaliai pagal 7 straipsnio 3 dalį, būtų naudojami taikant tuos pačius apribojimus kaip ir prašančiojoje valstybėje narėje pagal šio straipsnio 2 dalį taikomi apribojimai. Valstybės narės nurodo, kad asmens duomenis, juos perdavus trečiajai šaliai baudžiamosios bylos tikslais, pastarosios valstybės galėtų būti toliau naudojami tik baudžiamosios bylos tikslais. </w:t>
            </w:r>
          </w:p>
          <w:p w:rsidR="00FC62E0" w:rsidRDefault="00DE7AF8" w:rsidP="0055750A">
            <w:pPr>
              <w:autoSpaceDE w:val="0"/>
              <w:autoSpaceDN w:val="0"/>
              <w:adjustRightInd w:val="0"/>
              <w:jc w:val="both"/>
              <w:rPr>
                <w:i/>
                <w:iCs/>
                <w:szCs w:val="24"/>
              </w:rPr>
            </w:pPr>
            <w:r w:rsidRPr="00DE7AF8">
              <w:rPr>
                <w:color w:val="000000"/>
                <w:szCs w:val="24"/>
              </w:rPr>
              <w:t>5. Šis straipsnis netaikomas asmens duomenims, kuriuos pagal šį pamatinį sprendimą valstybė narė surenka savo pačios teritorijoje.</w:t>
            </w:r>
          </w:p>
        </w:tc>
        <w:tc>
          <w:tcPr>
            <w:tcW w:w="6804" w:type="dxa"/>
            <w:tcBorders>
              <w:bottom w:val="single" w:sz="4" w:space="0" w:color="auto"/>
            </w:tcBorders>
          </w:tcPr>
          <w:p w:rsidR="00F12FB6" w:rsidRPr="00F12FB6" w:rsidRDefault="00F12FB6" w:rsidP="00F12FB6">
            <w:pPr>
              <w:pStyle w:val="Pagrindinistekstas"/>
              <w:tabs>
                <w:tab w:val="left" w:pos="851"/>
              </w:tabs>
              <w:jc w:val="both"/>
              <w:rPr>
                <w:b w:val="0"/>
              </w:rPr>
            </w:pPr>
            <w:r w:rsidRPr="00F12FB6">
              <w:rPr>
                <w:b w:val="0"/>
              </w:rPr>
              <w:t>Taisyklės</w:t>
            </w:r>
          </w:p>
          <w:p w:rsidR="00F243FB" w:rsidRDefault="00F12FB6" w:rsidP="00F12FB6">
            <w:pPr>
              <w:pStyle w:val="Pagrindinistekstas"/>
              <w:tabs>
                <w:tab w:val="left" w:pos="851"/>
              </w:tabs>
              <w:jc w:val="both"/>
              <w:rPr>
                <w:b w:val="0"/>
              </w:rPr>
            </w:pPr>
            <w:r w:rsidRPr="00F12FB6">
              <w:rPr>
                <w:b w:val="0"/>
              </w:rPr>
              <w:t>59. Europos Sąjungos valstybių narių centrinėms institucijoms ir Europos Sąjungos valstybių narių piliečiams Registro duomenys, Registro informacija, Registrui pateikti dokumentai ir (arba) jų kopijos teikiami vadovaujantis Pamatiniu sprendimu ir ECRIS sprendimu.</w:t>
            </w:r>
          </w:p>
          <w:p w:rsidR="0055750A" w:rsidRDefault="0055750A" w:rsidP="00F12FB6">
            <w:pPr>
              <w:pStyle w:val="Pagrindinistekstas"/>
              <w:tabs>
                <w:tab w:val="left" w:pos="851"/>
              </w:tabs>
              <w:jc w:val="both"/>
              <w:rPr>
                <w:b w:val="0"/>
              </w:rPr>
            </w:pPr>
            <w:r w:rsidRPr="0055750A">
              <w:rPr>
                <w:b w:val="0"/>
              </w:rPr>
              <w:t>63. Teikiant atsakymus į Europos Sąjungos valstybių narių centrinių institucijų prašymus, atsakymuose nurodoma, kad pateikta informacija gali būti naudojama tik tuo tikslu, kuriuo buvo pateiktas prašymas, išskyrus atvejus, kai prašančioji Europos Sąjungos valstybė narė siekia užkirsti kelią iškilusiai tiesioginei ir didelei grėsmei visuomenės saugumui.</w:t>
            </w:r>
          </w:p>
          <w:p w:rsidR="0055750A" w:rsidRPr="006B08CC" w:rsidRDefault="0055750A" w:rsidP="00F12FB6">
            <w:pPr>
              <w:pStyle w:val="Pagrindinistekstas"/>
              <w:tabs>
                <w:tab w:val="left" w:pos="851"/>
              </w:tabs>
              <w:jc w:val="both"/>
              <w:rPr>
                <w:b w:val="0"/>
              </w:rPr>
            </w:pPr>
            <w:r w:rsidRPr="0055750A">
              <w:rPr>
                <w:b w:val="0"/>
              </w:rPr>
              <w:t>64. Jeigu apkaltinamąjį nuosprendį priėmusios Europos Sąjungos valstybės narės centrinė institucija, teikdama Nuostatų 43.5.1 punkte nurodytus duomenis ir dokumentus, informuoja Registro valdytoją, kad jie gali būti naudojami tik baudžiamosios bylos tikslais, Registro valdytojas, gavęs kitos Europos Sąjungos valstybės narės centrinės institucijos prašymą ne baudžiamosios bylos tikslais, informuoja prašymą pateikusią centrinę instituciją, kad ji, norėdama gauti informaciją apie kitoje Europos Sąjungos valstybėje narėje priimtą apkaltinamąjį nuosprendį, turi kreiptis tiesiogiai į nuosprendį priėmusią valstybę.</w:t>
            </w:r>
          </w:p>
        </w:tc>
        <w:tc>
          <w:tcPr>
            <w:tcW w:w="2410" w:type="dxa"/>
          </w:tcPr>
          <w:p w:rsidR="006C6EA6" w:rsidRPr="005E370D" w:rsidRDefault="00F12FB6" w:rsidP="00F12FB6">
            <w:pPr>
              <w:keepNext/>
              <w:jc w:val="center"/>
              <w:outlineLvl w:val="1"/>
              <w:rPr>
                <w:bCs/>
              </w:rPr>
            </w:pPr>
            <w:r>
              <w:rPr>
                <w:bCs/>
              </w:rPr>
              <w:t>Visiškas.</w:t>
            </w:r>
          </w:p>
        </w:tc>
      </w:tr>
      <w:tr w:rsidR="006C6EA6" w:rsidTr="00F14AD5">
        <w:tc>
          <w:tcPr>
            <w:tcW w:w="5920" w:type="dxa"/>
          </w:tcPr>
          <w:p w:rsidR="006C6EA6" w:rsidRDefault="00DE7AF8" w:rsidP="006B08CC">
            <w:pPr>
              <w:autoSpaceDE w:val="0"/>
              <w:autoSpaceDN w:val="0"/>
              <w:adjustRightInd w:val="0"/>
              <w:rPr>
                <w:i/>
                <w:iCs/>
                <w:szCs w:val="24"/>
              </w:rPr>
            </w:pPr>
            <w:r>
              <w:rPr>
                <w:i/>
                <w:iCs/>
                <w:szCs w:val="24"/>
              </w:rPr>
              <w:t>10 straipsnis</w:t>
            </w:r>
          </w:p>
          <w:p w:rsidR="00DE7AF8" w:rsidRPr="00DE7AF8" w:rsidRDefault="00DE7AF8" w:rsidP="00DE7AF8">
            <w:pPr>
              <w:autoSpaceDE w:val="0"/>
              <w:autoSpaceDN w:val="0"/>
              <w:adjustRightInd w:val="0"/>
              <w:jc w:val="both"/>
              <w:rPr>
                <w:color w:val="000000"/>
                <w:szCs w:val="24"/>
              </w:rPr>
            </w:pPr>
            <w:r w:rsidRPr="00DE7AF8">
              <w:rPr>
                <w:b/>
                <w:bCs/>
                <w:color w:val="000000"/>
                <w:szCs w:val="24"/>
              </w:rPr>
              <w:t xml:space="preserve">Kalbos </w:t>
            </w:r>
          </w:p>
          <w:p w:rsidR="00DE7AF8" w:rsidRPr="00DE7AF8" w:rsidRDefault="00DE7AF8" w:rsidP="00DE7AF8">
            <w:pPr>
              <w:autoSpaceDE w:val="0"/>
              <w:autoSpaceDN w:val="0"/>
              <w:adjustRightInd w:val="0"/>
              <w:jc w:val="both"/>
              <w:rPr>
                <w:color w:val="000000"/>
                <w:szCs w:val="24"/>
              </w:rPr>
            </w:pPr>
            <w:r w:rsidRPr="00DE7AF8">
              <w:rPr>
                <w:color w:val="000000"/>
                <w:szCs w:val="24"/>
              </w:rPr>
              <w:t xml:space="preserve">Teikdama 6 straipsnio 1 dalyje nurodytą prašymą, prašančioji valstybė narė perduoda prašomajai valstybei narei priede pateiktą formą, kuri užpildoma pastarosios valstybės valstybine kalba arba viena iš valstybinių kalbų. </w:t>
            </w:r>
          </w:p>
          <w:p w:rsidR="00DE7AF8" w:rsidRDefault="00DE7AF8" w:rsidP="00DE7AF8">
            <w:pPr>
              <w:autoSpaceDE w:val="0"/>
              <w:autoSpaceDN w:val="0"/>
              <w:adjustRightInd w:val="0"/>
              <w:jc w:val="both"/>
              <w:rPr>
                <w:i/>
                <w:iCs/>
                <w:szCs w:val="24"/>
              </w:rPr>
            </w:pPr>
            <w:r w:rsidRPr="00DE7AF8">
              <w:rPr>
                <w:color w:val="000000"/>
                <w:szCs w:val="24"/>
              </w:rPr>
              <w:t xml:space="preserve">Prašomoji valstybė narė atsakymą pateikia viena iš savo valstybinių kalbų arba kita abiems valstybėms narėms priimtina kalba. Priimant šį pamatinį sprendimą ar vėliau </w:t>
            </w:r>
            <w:r w:rsidRPr="00DE7AF8">
              <w:rPr>
                <w:color w:val="000000"/>
                <w:szCs w:val="24"/>
              </w:rPr>
              <w:lastRenderedPageBreak/>
              <w:t xml:space="preserve">bet kuri valstybė narė Tarybos generaliniam sekretoriatui siunčiamame pareiškime gali nurodyti, kurios Europos Sąjungos institucijų oficialios kalbos jai priimtinos. Tarybos generalinis sekretoriatas šią informaciją turi perduoti valstybėms narėms. </w:t>
            </w:r>
          </w:p>
        </w:tc>
        <w:tc>
          <w:tcPr>
            <w:tcW w:w="6804" w:type="dxa"/>
            <w:tcBorders>
              <w:bottom w:val="single" w:sz="4" w:space="0" w:color="auto"/>
            </w:tcBorders>
          </w:tcPr>
          <w:p w:rsidR="00106285" w:rsidRPr="00106285" w:rsidRDefault="00106285" w:rsidP="002C4618">
            <w:pPr>
              <w:pStyle w:val="tajtip"/>
              <w:spacing w:before="0" w:beforeAutospacing="0" w:after="0" w:afterAutospacing="0"/>
              <w:ind w:firstLine="34"/>
              <w:jc w:val="both"/>
            </w:pPr>
            <w:r w:rsidRPr="00106285">
              <w:lastRenderedPageBreak/>
              <w:t>Taisyklės</w:t>
            </w:r>
          </w:p>
          <w:p w:rsidR="006C6EA6" w:rsidRPr="006B08CC" w:rsidRDefault="00106285" w:rsidP="002C4618">
            <w:pPr>
              <w:pStyle w:val="tajtip"/>
              <w:spacing w:before="0" w:beforeAutospacing="0" w:after="0" w:afterAutospacing="0"/>
              <w:ind w:firstLine="34"/>
              <w:jc w:val="both"/>
              <w:rPr>
                <w:b/>
              </w:rPr>
            </w:pPr>
            <w:r w:rsidRPr="00106285">
              <w:t>60. Europos Sąjungos valstybių narių centrinės institucijos prašymus Informatikos ir ryšių departamentui dėl Registro duomenų apie fizinį asmenį ir atsakymus į Informatikos ir ryšių departamento prašymus dėl teistumo duomenų pateikia naudojant Pamatinio sprendimo prieduose nustatytas formas, lietuvių arba anglų kalbomis elektroninių ryšių priemonėmis arba paštu.</w:t>
            </w:r>
          </w:p>
        </w:tc>
        <w:tc>
          <w:tcPr>
            <w:tcW w:w="2410" w:type="dxa"/>
          </w:tcPr>
          <w:p w:rsidR="00106285" w:rsidRDefault="00106285" w:rsidP="002C4618">
            <w:pPr>
              <w:keepNext/>
              <w:jc w:val="center"/>
              <w:outlineLvl w:val="1"/>
              <w:rPr>
                <w:bCs/>
              </w:rPr>
            </w:pPr>
            <w:r>
              <w:rPr>
                <w:bCs/>
              </w:rPr>
              <w:t>Visiškas.</w:t>
            </w:r>
          </w:p>
          <w:p w:rsidR="006C6EA6" w:rsidRPr="005E370D" w:rsidRDefault="006C6EA6" w:rsidP="00FC62E0">
            <w:pPr>
              <w:keepNext/>
              <w:jc w:val="both"/>
              <w:outlineLvl w:val="1"/>
              <w:rPr>
                <w:bCs/>
              </w:rPr>
            </w:pPr>
          </w:p>
        </w:tc>
      </w:tr>
      <w:tr w:rsidR="006C6EA6" w:rsidTr="00F14AD5">
        <w:tc>
          <w:tcPr>
            <w:tcW w:w="5920" w:type="dxa"/>
          </w:tcPr>
          <w:p w:rsidR="00DE7AF8" w:rsidRPr="00DE7AF8" w:rsidRDefault="00DE7AF8" w:rsidP="00DE7AF8">
            <w:pPr>
              <w:autoSpaceDE w:val="0"/>
              <w:autoSpaceDN w:val="0"/>
              <w:adjustRightInd w:val="0"/>
              <w:rPr>
                <w:color w:val="000000"/>
                <w:szCs w:val="24"/>
              </w:rPr>
            </w:pPr>
            <w:r w:rsidRPr="00DE7AF8">
              <w:rPr>
                <w:i/>
                <w:iCs/>
                <w:color w:val="000000"/>
                <w:szCs w:val="24"/>
              </w:rPr>
              <w:t xml:space="preserve">11 straipsnis </w:t>
            </w:r>
          </w:p>
          <w:p w:rsidR="00DE7AF8" w:rsidRDefault="00DE7AF8" w:rsidP="00DE7AF8">
            <w:pPr>
              <w:autoSpaceDE w:val="0"/>
              <w:autoSpaceDN w:val="0"/>
              <w:adjustRightInd w:val="0"/>
              <w:jc w:val="both"/>
              <w:rPr>
                <w:b/>
                <w:bCs/>
                <w:color w:val="000000"/>
                <w:szCs w:val="24"/>
              </w:rPr>
            </w:pPr>
            <w:r w:rsidRPr="00DE7AF8">
              <w:rPr>
                <w:b/>
                <w:bCs/>
                <w:color w:val="000000"/>
                <w:sz w:val="22"/>
                <w:szCs w:val="22"/>
              </w:rPr>
              <w:t xml:space="preserve">Forma ir </w:t>
            </w:r>
            <w:r w:rsidRPr="00DE7AF8">
              <w:rPr>
                <w:b/>
                <w:bCs/>
                <w:color w:val="000000"/>
                <w:szCs w:val="24"/>
              </w:rPr>
              <w:t xml:space="preserve">kiti keitimosi informacija apie apkaltinamuosius nuosprendžius organizavimo bei supaprastinimo būdai </w:t>
            </w:r>
          </w:p>
          <w:p w:rsidR="00521131" w:rsidRPr="00DE7AF8" w:rsidRDefault="00521131" w:rsidP="00DE7AF8">
            <w:pPr>
              <w:autoSpaceDE w:val="0"/>
              <w:autoSpaceDN w:val="0"/>
              <w:adjustRightInd w:val="0"/>
              <w:jc w:val="both"/>
              <w:rPr>
                <w:color w:val="000000"/>
                <w:szCs w:val="24"/>
              </w:rPr>
            </w:pPr>
          </w:p>
          <w:p w:rsidR="00DE7AF8" w:rsidRP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 xml:space="preserve">1. Perduodant informaciją pagal 4 straipsnio 2 ir 3 dalis, apkaltinamąjį nuosprendį priėmusios valstybės narės centrinė institucija perduoda šią informaciją: </w:t>
            </w:r>
          </w:p>
          <w:p w:rsidR="00DE7AF8" w:rsidRP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 xml:space="preserve">a) informaciją, kuri turi būti perduodama visada, išskyrus atskirus atvejus, kai tokia informacija yra nežinoma centrinei institucijai (privaloma informacija): </w:t>
            </w:r>
          </w:p>
          <w:p w:rsidR="00DE7AF8" w:rsidRP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 xml:space="preserve">i) informaciją apie nuteistąjį (vardas ir pavardė, gimimo data, gimimo vieta (miestas ir valstybė), lytis, pilietybė ir, jei yra, ankstesnė (-ės) pavardė (-ės) ir vardas (-ai); </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ii) informaciją apie apkaltinamojo nuosprendžio pobūdį (nuosprendžio data, teismo pavadinimas, data, kad sprendimas tapo galutinis);</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iii) informaciją apie nusikaltimą, kurio pagrindu priimtas apkaltinamasis nuosprendis (nusikaltimo, dėl kurio priimtas apkaltinamasis nuosprendis, data ir nusikaltimo rūšis arba teisinis kvalifikavimas bei nuoroda į taikytinas teisines nuostatas); ir</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iv) informaciją apie apkaltinamojo nuosprendžio turinį, įskaitant visų pirma bausmę ir papildomas bausmes, saugumo priemones ir vėlesnius bausmės vykdymo sąlygas keičiančius sprendimus;</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b) informaciją, kuri turi būti perduodama tais atvejais, jeigu ji yra įtraukta į nuosprendžių registrą (neprivaloma informacija):</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 nuteistojo tėvų vardus bei pavardes;</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ii) apkaltinamojo nuosprendžio numerį;</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iii) nusikaltimo vietą; ir</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iv) informaciją apie tuo apkaltinamuoju nuosprendžiu skirtą teisės dirbti tam tikrą darbą ar užsiimti tam tikra veikla atėmimą;</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c) informaciją, kuri turi būti perduodama, jeigu ji žinoma centrinei institucijai (papildoma informacija):</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 nuteistojo asmens kodą arba jo asmens dokumento tipą ir numerį;</w:t>
            </w:r>
          </w:p>
          <w:p w:rsidR="00DE7AF8"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ii) paimtus asmens pirštų atspaudus; ir</w:t>
            </w:r>
          </w:p>
          <w:p w:rsidR="00FC62E0" w:rsidRDefault="00DE7AF8" w:rsidP="00DE7AF8">
            <w:pPr>
              <w:autoSpaceDE w:val="0"/>
              <w:autoSpaceDN w:val="0"/>
              <w:adjustRightInd w:val="0"/>
              <w:jc w:val="both"/>
              <w:rPr>
                <w:rFonts w:ascii="EUAlbertina" w:hAnsi="EUAlbertina" w:cs="EUAlbertina"/>
                <w:color w:val="000000"/>
                <w:szCs w:val="24"/>
              </w:rPr>
            </w:pPr>
            <w:r w:rsidRPr="00DE7AF8">
              <w:rPr>
                <w:rFonts w:ascii="EUAlbertina" w:hAnsi="EUAlbertina" w:cs="EUAlbertina"/>
                <w:color w:val="000000"/>
                <w:szCs w:val="24"/>
              </w:rPr>
              <w:t>iii) jei taikoma, slapyvardį ir (arba) pravardę (-es). Be to, centrinė institucija gali perduoti bet kokio pobūdžio kitą informaciją apie apkaltinamuosius nuosprendžius, įtrauktą į nuosprendžių registrą.</w:t>
            </w:r>
          </w:p>
          <w:p w:rsidR="00DE7AF8" w:rsidRDefault="00DE7AF8" w:rsidP="00DE7AF8">
            <w:pPr>
              <w:autoSpaceDE w:val="0"/>
              <w:autoSpaceDN w:val="0"/>
              <w:adjustRightInd w:val="0"/>
              <w:jc w:val="both"/>
              <w:rPr>
                <w:rFonts w:ascii="EUAlbertina" w:hAnsi="EUAlbertina" w:cs="EUAlbertina"/>
                <w:color w:val="000000"/>
                <w:szCs w:val="24"/>
              </w:rPr>
            </w:pPr>
            <w:r w:rsidRPr="00AD0FD6">
              <w:rPr>
                <w:rFonts w:ascii="EUAlbertina" w:hAnsi="EUAlbertina" w:cs="EUAlbertina"/>
                <w:color w:val="000000"/>
                <w:szCs w:val="24"/>
              </w:rPr>
              <w:t>2. Asmens pilietybės valstybės narės centrinė institucija saugo visą šio straipsnio 1 dalies a ir b punktuose išvardytų rūšių informaciją, kurią ji gavo pagal 5 straipsnio 1 dalį siekiant ją toliau perduoti pagal 7 straipsnį. Tuo pačiu tikslu ji gali saugoti šio straipsnio 1 dalies pirmos pastraipos c punkte ir antroje pastraipoje išvardytų rūšių informaciją.</w:t>
            </w: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AD0FD6" w:rsidRDefault="00AD0FD6"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521131" w:rsidRDefault="00521131" w:rsidP="00A26F7A">
            <w:pPr>
              <w:autoSpaceDE w:val="0"/>
              <w:autoSpaceDN w:val="0"/>
              <w:adjustRightInd w:val="0"/>
              <w:jc w:val="both"/>
              <w:rPr>
                <w:rFonts w:ascii="EUAlbertina" w:hAnsi="EUAlbertina" w:cs="EUAlbertina"/>
                <w:color w:val="000000"/>
                <w:szCs w:val="24"/>
              </w:rPr>
            </w:pPr>
          </w:p>
          <w:p w:rsidR="000F4EEC" w:rsidRDefault="000F4EEC" w:rsidP="00A26F7A">
            <w:pPr>
              <w:autoSpaceDE w:val="0"/>
              <w:autoSpaceDN w:val="0"/>
              <w:adjustRightInd w:val="0"/>
              <w:jc w:val="both"/>
              <w:rPr>
                <w:rFonts w:ascii="EUAlbertina" w:hAnsi="EUAlbertina" w:cs="EUAlbertina"/>
                <w:color w:val="000000"/>
                <w:szCs w:val="24"/>
              </w:rPr>
            </w:pPr>
          </w:p>
          <w:p w:rsidR="000F4EEC" w:rsidRDefault="000F4EEC" w:rsidP="00A26F7A">
            <w:pPr>
              <w:autoSpaceDE w:val="0"/>
              <w:autoSpaceDN w:val="0"/>
              <w:adjustRightInd w:val="0"/>
              <w:jc w:val="both"/>
              <w:rPr>
                <w:rFonts w:ascii="EUAlbertina" w:hAnsi="EUAlbertina" w:cs="EUAlbertina"/>
                <w:color w:val="000000"/>
                <w:szCs w:val="24"/>
              </w:rPr>
            </w:pPr>
          </w:p>
          <w:p w:rsidR="000F4EEC" w:rsidRDefault="000F4EEC" w:rsidP="00A26F7A">
            <w:pPr>
              <w:autoSpaceDE w:val="0"/>
              <w:autoSpaceDN w:val="0"/>
              <w:adjustRightInd w:val="0"/>
              <w:jc w:val="both"/>
              <w:rPr>
                <w:rFonts w:ascii="EUAlbertina" w:hAnsi="EUAlbertina" w:cs="EUAlbertina"/>
                <w:color w:val="000000"/>
                <w:szCs w:val="24"/>
              </w:rPr>
            </w:pPr>
          </w:p>
          <w:p w:rsidR="000F4EEC" w:rsidRDefault="000F4EEC"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2830D5" w:rsidRDefault="002830D5" w:rsidP="00A26F7A">
            <w:pPr>
              <w:autoSpaceDE w:val="0"/>
              <w:autoSpaceDN w:val="0"/>
              <w:adjustRightInd w:val="0"/>
              <w:jc w:val="both"/>
              <w:rPr>
                <w:rFonts w:ascii="EUAlbertina" w:hAnsi="EUAlbertina" w:cs="EUAlbertina"/>
                <w:color w:val="000000"/>
                <w:szCs w:val="24"/>
              </w:rPr>
            </w:pPr>
          </w:p>
          <w:p w:rsidR="00AD0FD6" w:rsidRDefault="00DE7AF8" w:rsidP="00A26F7A">
            <w:pPr>
              <w:autoSpaceDE w:val="0"/>
              <w:autoSpaceDN w:val="0"/>
              <w:adjustRightInd w:val="0"/>
              <w:jc w:val="both"/>
              <w:rPr>
                <w:color w:val="000000"/>
                <w:szCs w:val="24"/>
              </w:rPr>
            </w:pPr>
            <w:r w:rsidRPr="00DE7AF8">
              <w:rPr>
                <w:rFonts w:ascii="EUAlbertina" w:hAnsi="EUAlbertina" w:cs="EUAlbertina"/>
                <w:color w:val="000000"/>
                <w:szCs w:val="24"/>
              </w:rPr>
              <w:t>3. Prieš pasibaigiant šio straipsnio 7 dalyje nustatytam terminui, valstybių narių centrinės institucijos, kurios nepateikė šio straipsnio 6 dalyje nurodyto pranešimo, visą informaciją pagal 4 straipsnį, visus prašymus pagal 6 straipsnį, atsakymus pagal 7 straipsnį ir kitą atitinkamą informaciją perduoda bet kokiu būdu, jei tai galima užfiksuoti raštu tokiomis sąlygomis, kad prašymą gavusios valstybės narės centrinė institucija galėtų nustatyti autentiškumą.</w:t>
            </w:r>
            <w:r w:rsidR="00A26F7A">
              <w:rPr>
                <w:rFonts w:ascii="EUAlbertina" w:hAnsi="EUAlbertina" w:cs="EUAlbertina"/>
                <w:color w:val="000000"/>
                <w:szCs w:val="24"/>
              </w:rPr>
              <w:t xml:space="preserve"> </w:t>
            </w:r>
            <w:r w:rsidR="00A26F7A" w:rsidRPr="00A26F7A">
              <w:rPr>
                <w:color w:val="000000"/>
                <w:szCs w:val="24"/>
              </w:rPr>
              <w:t>Pasibaigus šio straipsnio 7 dalyje nustatytam terminui, valstybių narių centrinės institucijos tokią informaciją perduoda elektroniniu būdu, naudodamos standartinę formą.</w:t>
            </w:r>
          </w:p>
          <w:p w:rsidR="002B2DA0" w:rsidRDefault="00A26F7A" w:rsidP="00A26F7A">
            <w:pPr>
              <w:autoSpaceDE w:val="0"/>
              <w:autoSpaceDN w:val="0"/>
              <w:adjustRightInd w:val="0"/>
              <w:jc w:val="both"/>
              <w:rPr>
                <w:color w:val="000000"/>
                <w:szCs w:val="24"/>
              </w:rPr>
            </w:pPr>
            <w:r w:rsidRPr="00A26F7A">
              <w:rPr>
                <w:color w:val="000000"/>
                <w:szCs w:val="24"/>
              </w:rPr>
              <w:t xml:space="preserve">4. 3 dalyje nurodytą formą ir kitus valstybių narių nacionalinių institucijų keitimosi informacija apie apkaltinamuosius nuosprendžius organizavimo bei supaprastinimo būdus nustato Taryba pagal atitinkamas ES sutartyje numatytas procedūras ne vėliau kaip 2012 m. kovo 26 d. </w:t>
            </w:r>
          </w:p>
          <w:p w:rsidR="00A26F7A" w:rsidRDefault="00A26F7A" w:rsidP="00A26F7A">
            <w:pPr>
              <w:autoSpaceDE w:val="0"/>
              <w:autoSpaceDN w:val="0"/>
              <w:adjustRightInd w:val="0"/>
              <w:jc w:val="both"/>
              <w:rPr>
                <w:color w:val="000000"/>
                <w:szCs w:val="24"/>
              </w:rPr>
            </w:pPr>
            <w:r w:rsidRPr="00A26F7A">
              <w:rPr>
                <w:color w:val="000000"/>
                <w:szCs w:val="24"/>
              </w:rPr>
              <w:t>Kiti būdai yra:</w:t>
            </w:r>
          </w:p>
          <w:p w:rsidR="00A26F7A" w:rsidRDefault="00A26F7A" w:rsidP="00A26F7A">
            <w:pPr>
              <w:autoSpaceDE w:val="0"/>
              <w:autoSpaceDN w:val="0"/>
              <w:adjustRightInd w:val="0"/>
              <w:jc w:val="both"/>
              <w:rPr>
                <w:color w:val="000000"/>
                <w:szCs w:val="24"/>
              </w:rPr>
            </w:pPr>
            <w:r w:rsidRPr="00A26F7A">
              <w:rPr>
                <w:color w:val="000000"/>
                <w:szCs w:val="24"/>
              </w:rPr>
              <w:t>a) visų priemonių, padedančių lengviau suprasti perduotą informaciją ir atlikti automatizuotą jo vertimą, apibrėžimas;</w:t>
            </w:r>
          </w:p>
          <w:p w:rsidR="00A26F7A" w:rsidRDefault="00A26F7A" w:rsidP="00A26F7A">
            <w:pPr>
              <w:autoSpaceDE w:val="0"/>
              <w:autoSpaceDN w:val="0"/>
              <w:adjustRightInd w:val="0"/>
              <w:jc w:val="both"/>
              <w:rPr>
                <w:color w:val="000000"/>
                <w:szCs w:val="24"/>
              </w:rPr>
            </w:pPr>
            <w:r w:rsidRPr="00A26F7A">
              <w:rPr>
                <w:color w:val="000000"/>
                <w:szCs w:val="24"/>
              </w:rPr>
              <w:t>b) keitimosi informacija elektroniniu būdu apibrėžimas, visų pirma taikytinų techninių specifikacijų ir prireikus taikomų keitimosi informacija procedūrų apibrėžimas;</w:t>
            </w:r>
          </w:p>
          <w:p w:rsidR="00A26F7A" w:rsidRDefault="00A26F7A" w:rsidP="00A26F7A">
            <w:pPr>
              <w:autoSpaceDE w:val="0"/>
              <w:autoSpaceDN w:val="0"/>
              <w:adjustRightInd w:val="0"/>
              <w:jc w:val="both"/>
              <w:rPr>
                <w:color w:val="000000"/>
                <w:szCs w:val="24"/>
              </w:rPr>
            </w:pPr>
            <w:r w:rsidRPr="00A26F7A">
              <w:rPr>
                <w:color w:val="000000"/>
                <w:szCs w:val="24"/>
              </w:rPr>
              <w:t>c) priede pateiktos formos galimus pakeitimus.</w:t>
            </w:r>
          </w:p>
          <w:p w:rsidR="00AD0FD6" w:rsidRDefault="00A26F7A" w:rsidP="00A26F7A">
            <w:pPr>
              <w:autoSpaceDE w:val="0"/>
              <w:autoSpaceDN w:val="0"/>
              <w:adjustRightInd w:val="0"/>
              <w:jc w:val="both"/>
              <w:rPr>
                <w:color w:val="000000"/>
                <w:szCs w:val="24"/>
              </w:rPr>
            </w:pPr>
            <w:r w:rsidRPr="00A26F7A">
              <w:rPr>
                <w:color w:val="000000"/>
                <w:szCs w:val="24"/>
              </w:rPr>
              <w:t>5. Jei valstybės narės negali naudotis 3 ir 4 dalyse nurodytu perdavimo būdu, tuo laikotarpiu, kai šis būdas joms yra neprieinamas, taikoma 3 dalies pirma pastraipa.</w:t>
            </w:r>
          </w:p>
          <w:p w:rsidR="00AD0FD6" w:rsidRPr="00AF079B" w:rsidRDefault="00A26F7A" w:rsidP="00A26F7A">
            <w:pPr>
              <w:autoSpaceDE w:val="0"/>
              <w:autoSpaceDN w:val="0"/>
              <w:adjustRightInd w:val="0"/>
              <w:jc w:val="both"/>
              <w:rPr>
                <w:color w:val="000000"/>
                <w:szCs w:val="24"/>
              </w:rPr>
            </w:pPr>
            <w:r w:rsidRPr="00AF079B">
              <w:rPr>
                <w:color w:val="000000"/>
                <w:szCs w:val="24"/>
              </w:rPr>
              <w:t>6. Kiekviena valstybė narė turi atlikti būtinus techninius pakeitimus, kad galėtų naudoti standartinę formą ir elektroniniu būdu ją perduoti kitoms valstybėms narėms. Ji turi pranešti Tarybai datą, nuo kada ji galės vykdyti tokį perdavimą.</w:t>
            </w:r>
          </w:p>
          <w:p w:rsidR="006C6EA6" w:rsidRDefault="00A26F7A" w:rsidP="00A26F7A">
            <w:pPr>
              <w:autoSpaceDE w:val="0"/>
              <w:autoSpaceDN w:val="0"/>
              <w:adjustRightInd w:val="0"/>
              <w:jc w:val="both"/>
              <w:rPr>
                <w:i/>
                <w:iCs/>
                <w:szCs w:val="24"/>
              </w:rPr>
            </w:pPr>
            <w:r w:rsidRPr="00AF079B">
              <w:rPr>
                <w:color w:val="000000"/>
                <w:szCs w:val="24"/>
              </w:rPr>
              <w:t>7. Valstybės narės 6 dalyje nurodytus techninius pakeitimus turi būti atlikti per trejus metus nuo formos ir keitimosi informacija apie apkaltinamuosius nuosprendžius elektroniniu būdu taisyklių patvirtinimo.</w:t>
            </w:r>
            <w:r w:rsidRPr="00A26F7A">
              <w:rPr>
                <w:color w:val="000000"/>
                <w:szCs w:val="24"/>
              </w:rPr>
              <w:t xml:space="preserve"> </w:t>
            </w:r>
          </w:p>
        </w:tc>
        <w:tc>
          <w:tcPr>
            <w:tcW w:w="6804" w:type="dxa"/>
            <w:tcBorders>
              <w:bottom w:val="single" w:sz="4" w:space="0" w:color="auto"/>
            </w:tcBorders>
          </w:tcPr>
          <w:p w:rsidR="005D2D76" w:rsidRDefault="005D2D76" w:rsidP="00521131">
            <w:pPr>
              <w:pStyle w:val="tajtip"/>
              <w:spacing w:before="0" w:beforeAutospacing="0" w:after="0" w:afterAutospacing="0"/>
              <w:jc w:val="both"/>
              <w:rPr>
                <w:b/>
              </w:rPr>
            </w:pPr>
            <w:r w:rsidRPr="005D2D76">
              <w:rPr>
                <w:b/>
              </w:rPr>
              <w:lastRenderedPageBreak/>
              <w:t>Projektas</w:t>
            </w:r>
          </w:p>
          <w:p w:rsidR="005D2D76" w:rsidRPr="005D2D76" w:rsidRDefault="005D2D76" w:rsidP="005D2D76">
            <w:pPr>
              <w:pStyle w:val="tajtip"/>
              <w:jc w:val="both"/>
              <w:rPr>
                <w:b/>
              </w:rPr>
            </w:pPr>
            <w:r w:rsidRPr="005D2D76">
              <w:rPr>
                <w:b/>
              </w:rPr>
              <w:t>44.5.1.2.</w:t>
            </w:r>
            <w:r w:rsidRPr="005D2D76">
              <w:rPr>
                <w:b/>
              </w:rPr>
              <w:tab/>
              <w:t>Registro duomenis, nurodytus Nuostatų 11.3–11.8, 27.1, 27.2, 27.4–27.6, 28.1, 28.3–28.5 papunkčiuose, 29 punkte, išskyrus tuos atvejus, kai šie duomenys Europos Sąjungos valstybės narės centrinei institucijai nežinomi;</w:t>
            </w:r>
          </w:p>
          <w:p w:rsidR="005D2D76" w:rsidRPr="005D2D76" w:rsidRDefault="005D2D76" w:rsidP="005D2D76">
            <w:pPr>
              <w:pStyle w:val="tajtip"/>
              <w:spacing w:before="0" w:beforeAutospacing="0" w:after="0" w:afterAutospacing="0"/>
              <w:jc w:val="both"/>
              <w:rPr>
                <w:b/>
              </w:rPr>
            </w:pPr>
            <w:r w:rsidRPr="005D2D76">
              <w:rPr>
                <w:b/>
              </w:rPr>
              <w:t>44.5.1.3.</w:t>
            </w:r>
            <w:r w:rsidRPr="005D2D76">
              <w:rPr>
                <w:b/>
              </w:rPr>
              <w:tab/>
              <w:t>Registro duomenis, nurodytus Nuostatų 11.2, 11.11–11.16, 27.3, 28.2 papunkčiuose, 30 punkte, išskyrus tuos atvejus, kai šie duomenys netvarkomi tų valstybių nacionaliniuose nuosprendžių registruose arba Europos Sąjungos valstybės narės centrinei institucijai nežinomi;</w:t>
            </w:r>
          </w:p>
          <w:p w:rsidR="005D2D76" w:rsidRDefault="005D2D76" w:rsidP="00521131">
            <w:pPr>
              <w:pStyle w:val="tajtip"/>
              <w:spacing w:before="0" w:beforeAutospacing="0" w:after="0" w:afterAutospacing="0"/>
              <w:jc w:val="both"/>
            </w:pPr>
          </w:p>
          <w:p w:rsidR="003D1154" w:rsidRPr="00106285" w:rsidRDefault="00106285" w:rsidP="00521131">
            <w:pPr>
              <w:pStyle w:val="tajtip"/>
              <w:spacing w:before="0" w:beforeAutospacing="0" w:after="0" w:afterAutospacing="0"/>
              <w:jc w:val="both"/>
            </w:pPr>
            <w:r w:rsidRPr="00106285">
              <w:t>Taisyklės</w:t>
            </w:r>
          </w:p>
          <w:p w:rsidR="00106285" w:rsidRPr="00106285" w:rsidRDefault="00106285" w:rsidP="00521131">
            <w:pPr>
              <w:pStyle w:val="tajtip"/>
              <w:spacing w:before="0" w:beforeAutospacing="0" w:after="0" w:afterAutospacing="0"/>
              <w:jc w:val="both"/>
            </w:pPr>
            <w:r w:rsidRPr="00106285">
              <w:t>59. Europos Sąjungos valstybių narių centrinėms institucijoms ir Europos Sąjungos valstybių narių piliečiams Registro duomenys, Registro informacija, Registrui pateikti dokumentai ir (arba) jų kopijos teikiami vadovaujantis Pamatiniu sprendimu ir ECRIS sprendimu.</w:t>
            </w:r>
          </w:p>
          <w:p w:rsidR="00521131" w:rsidRPr="00106285" w:rsidRDefault="002830D5" w:rsidP="00296D8C">
            <w:pPr>
              <w:pStyle w:val="Pagrindinistekstas"/>
              <w:tabs>
                <w:tab w:val="left" w:pos="851"/>
              </w:tabs>
              <w:jc w:val="both"/>
              <w:rPr>
                <w:b w:val="0"/>
                <w:color w:val="000000"/>
              </w:rPr>
            </w:pPr>
            <w:r w:rsidRPr="002830D5">
              <w:rPr>
                <w:b w:val="0"/>
                <w:color w:val="000000"/>
              </w:rPr>
              <w:t>65. Įrašius į Registro duomenų bazę duomenis apie Europos Sąjungos valstybės narės piliečiui Lietuvos Respublikos teismo priimtą apkaltinamąjį nuosprendį, vėlesnius su nuosprendžiu susijusius sprendimus, keičiančius paskirtą bausmę ar jos vykdymo sąlygas, teistumo išnykimo termino sutrumpinimą ar teistumo panaikinimą, taip pat suėjus Baudžiamajame kodekse nustatytam teistumo išnykimo terminui, Registro valdytojas ne vėliau kaip kitą darbo dieną išsiunčia pranešimą, kurio forma nustatyta Taisyklių 33 priede, šio piliečio valstybės centrinei institucijai paštu arba elektroninių ryšių priemonėmis. Jei minėtas asmuo turi kelias pilietybes, pranešimai išsiunčiami atitinkamai šių valstybių centrinėms institucijoms.</w:t>
            </w: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AD0FD6" w:rsidRDefault="00AD0FD6" w:rsidP="00296D8C">
            <w:pPr>
              <w:pStyle w:val="Pagrindinistekstas"/>
              <w:tabs>
                <w:tab w:val="left" w:pos="851"/>
              </w:tabs>
              <w:jc w:val="both"/>
              <w:rPr>
                <w:color w:val="000000"/>
              </w:rPr>
            </w:pPr>
          </w:p>
          <w:p w:rsidR="002830D5" w:rsidRDefault="002830D5" w:rsidP="002830D5">
            <w:pPr>
              <w:pStyle w:val="tajtip"/>
              <w:spacing w:before="0" w:beforeAutospacing="0" w:after="0" w:afterAutospacing="0"/>
              <w:jc w:val="both"/>
            </w:pPr>
            <w:r w:rsidRPr="002C4618">
              <w:rPr>
                <w:b/>
                <w:bCs/>
              </w:rPr>
              <w:t>Projektas</w:t>
            </w:r>
            <w:r>
              <w:tab/>
            </w:r>
          </w:p>
          <w:p w:rsidR="002830D5" w:rsidRPr="00765B7D" w:rsidRDefault="002830D5" w:rsidP="002830D5">
            <w:pPr>
              <w:pStyle w:val="tajtip"/>
              <w:tabs>
                <w:tab w:val="left" w:pos="1088"/>
              </w:tabs>
              <w:spacing w:before="0" w:beforeAutospacing="0" w:after="0" w:afterAutospacing="0"/>
              <w:ind w:firstLine="34"/>
              <w:jc w:val="center"/>
              <w:rPr>
                <w:b/>
              </w:rPr>
            </w:pPr>
            <w:r w:rsidRPr="00765B7D">
              <w:rPr>
                <w:b/>
              </w:rPr>
              <w:t>III. REGISTRO OBJEKTAI, JŲ DUOMENYS, INFORMACIJA IR DOKUMENTAI</w:t>
            </w:r>
          </w:p>
          <w:p w:rsidR="002830D5" w:rsidRPr="00765B7D" w:rsidRDefault="002830D5" w:rsidP="002830D5">
            <w:pPr>
              <w:pStyle w:val="tajtip"/>
              <w:tabs>
                <w:tab w:val="left" w:pos="1088"/>
              </w:tabs>
              <w:spacing w:before="0" w:beforeAutospacing="0" w:after="0" w:afterAutospacing="0"/>
              <w:ind w:firstLine="34"/>
              <w:jc w:val="center"/>
              <w:rPr>
                <w:b/>
              </w:rPr>
            </w:pPr>
            <w:r w:rsidRPr="00765B7D">
              <w:rPr>
                <w:b/>
              </w:rPr>
              <w:t>ANTRASIS SKIRSNIS</w:t>
            </w:r>
          </w:p>
          <w:p w:rsidR="002830D5" w:rsidRDefault="002830D5" w:rsidP="002830D5">
            <w:pPr>
              <w:pStyle w:val="tajtip"/>
              <w:tabs>
                <w:tab w:val="left" w:pos="1088"/>
              </w:tabs>
              <w:spacing w:before="0" w:beforeAutospacing="0" w:after="0" w:afterAutospacing="0"/>
              <w:ind w:firstLine="34"/>
              <w:jc w:val="center"/>
              <w:rPr>
                <w:b/>
              </w:rPr>
            </w:pPr>
            <w:r w:rsidRPr="00765B7D">
              <w:rPr>
                <w:b/>
              </w:rPr>
              <w:t>BENDRIEJI REGISTRO OBJEKTŲ DUOMENYS</w:t>
            </w:r>
          </w:p>
          <w:p w:rsidR="002830D5" w:rsidRPr="00420CC0" w:rsidRDefault="002830D5" w:rsidP="002830D5">
            <w:pPr>
              <w:pStyle w:val="tajtip"/>
              <w:tabs>
                <w:tab w:val="left" w:pos="1088"/>
              </w:tabs>
              <w:spacing w:before="0" w:beforeAutospacing="0" w:after="0" w:afterAutospacing="0"/>
              <w:ind w:firstLine="34"/>
              <w:rPr>
                <w:b/>
              </w:rPr>
            </w:pPr>
          </w:p>
          <w:p w:rsidR="002830D5" w:rsidRPr="00765B7D" w:rsidRDefault="002830D5" w:rsidP="002830D5">
            <w:pPr>
              <w:pStyle w:val="tajtip"/>
              <w:spacing w:before="0" w:beforeAutospacing="0" w:after="0" w:afterAutospacing="0"/>
              <w:jc w:val="both"/>
              <w:rPr>
                <w:b/>
              </w:rPr>
            </w:pPr>
            <w:r w:rsidRPr="00765B7D">
              <w:rPr>
                <w:b/>
              </w:rPr>
              <w:t>11.</w:t>
            </w:r>
            <w:r w:rsidRPr="00765B7D">
              <w:rPr>
                <w:b/>
              </w:rPr>
              <w:tab/>
              <w:t>Registre tvarkomi šie bendrieji duomenys apie fizinius asmenis, nurodytus Nuostatų 10 punkte:</w:t>
            </w:r>
          </w:p>
          <w:p w:rsidR="002830D5" w:rsidRPr="00765B7D" w:rsidRDefault="002830D5" w:rsidP="002830D5">
            <w:pPr>
              <w:pStyle w:val="tajtip"/>
              <w:spacing w:before="0" w:beforeAutospacing="0" w:after="0" w:afterAutospacing="0"/>
              <w:jc w:val="both"/>
              <w:rPr>
                <w:b/>
              </w:rPr>
            </w:pPr>
            <w:r w:rsidRPr="00765B7D">
              <w:rPr>
                <w:b/>
              </w:rPr>
              <w:t>11.2.</w:t>
            </w:r>
            <w:r w:rsidRPr="00765B7D">
              <w:rPr>
                <w:b/>
              </w:rPr>
              <w:tab/>
              <w:t>asmens kodas (įrašomas, jeigu jis suteiktas Lietuvos Respublikos gyventojų registro įstatymo nustatyta tvarka);</w:t>
            </w:r>
          </w:p>
          <w:p w:rsidR="002830D5" w:rsidRPr="00765B7D" w:rsidRDefault="002830D5" w:rsidP="002830D5">
            <w:pPr>
              <w:pStyle w:val="tajtip"/>
              <w:spacing w:before="0" w:beforeAutospacing="0" w:after="0" w:afterAutospacing="0"/>
              <w:jc w:val="both"/>
              <w:rPr>
                <w:b/>
              </w:rPr>
            </w:pPr>
            <w:r w:rsidRPr="00765B7D">
              <w:rPr>
                <w:b/>
              </w:rPr>
              <w:t>11.3.</w:t>
            </w:r>
            <w:r w:rsidRPr="00765B7D">
              <w:rPr>
                <w:b/>
              </w:rPr>
              <w:tab/>
              <w:t>vardas (vardai);</w:t>
            </w:r>
          </w:p>
          <w:p w:rsidR="002830D5" w:rsidRPr="00765B7D" w:rsidRDefault="002830D5" w:rsidP="002830D5">
            <w:pPr>
              <w:pStyle w:val="tajtip"/>
              <w:spacing w:before="0" w:beforeAutospacing="0" w:after="0" w:afterAutospacing="0"/>
              <w:jc w:val="both"/>
              <w:rPr>
                <w:b/>
              </w:rPr>
            </w:pPr>
            <w:r w:rsidRPr="00765B7D">
              <w:rPr>
                <w:b/>
              </w:rPr>
              <w:t>11.4.</w:t>
            </w:r>
            <w:r w:rsidRPr="00765B7D">
              <w:rPr>
                <w:b/>
              </w:rPr>
              <w:tab/>
              <w:t>pavardė (pavardės);</w:t>
            </w:r>
          </w:p>
          <w:p w:rsidR="002830D5" w:rsidRPr="00765B7D" w:rsidRDefault="002830D5" w:rsidP="002830D5">
            <w:pPr>
              <w:pStyle w:val="tajtip"/>
              <w:spacing w:before="0" w:beforeAutospacing="0" w:after="0" w:afterAutospacing="0"/>
              <w:jc w:val="both"/>
              <w:rPr>
                <w:b/>
              </w:rPr>
            </w:pPr>
            <w:r w:rsidRPr="00765B7D">
              <w:rPr>
                <w:b/>
              </w:rPr>
              <w:t>11.5.</w:t>
            </w:r>
            <w:r w:rsidRPr="00765B7D">
              <w:rPr>
                <w:b/>
              </w:rPr>
              <w:tab/>
              <w:t>gimimo data;</w:t>
            </w:r>
          </w:p>
          <w:p w:rsidR="002830D5" w:rsidRPr="00765B7D" w:rsidRDefault="002830D5" w:rsidP="002830D5">
            <w:pPr>
              <w:pStyle w:val="tajtip"/>
              <w:spacing w:before="0" w:beforeAutospacing="0" w:after="0" w:afterAutospacing="0"/>
              <w:jc w:val="both"/>
              <w:rPr>
                <w:b/>
              </w:rPr>
            </w:pPr>
            <w:r w:rsidRPr="00765B7D">
              <w:rPr>
                <w:b/>
              </w:rPr>
              <w:t>11.6.</w:t>
            </w:r>
            <w:r w:rsidRPr="00765B7D">
              <w:rPr>
                <w:b/>
              </w:rPr>
              <w:tab/>
              <w:t>gimimo vieta;</w:t>
            </w:r>
          </w:p>
          <w:p w:rsidR="002830D5" w:rsidRPr="00765B7D" w:rsidRDefault="002830D5" w:rsidP="002830D5">
            <w:pPr>
              <w:pStyle w:val="tajtip"/>
              <w:spacing w:before="0" w:beforeAutospacing="0" w:after="0" w:afterAutospacing="0"/>
              <w:jc w:val="both"/>
              <w:rPr>
                <w:b/>
              </w:rPr>
            </w:pPr>
            <w:r w:rsidRPr="00765B7D">
              <w:rPr>
                <w:b/>
              </w:rPr>
              <w:t>11.7.</w:t>
            </w:r>
            <w:r w:rsidRPr="00765B7D">
              <w:rPr>
                <w:b/>
              </w:rPr>
              <w:tab/>
              <w:t>lytis;</w:t>
            </w:r>
          </w:p>
          <w:p w:rsidR="002830D5" w:rsidRPr="00765B7D" w:rsidRDefault="002830D5" w:rsidP="002830D5">
            <w:pPr>
              <w:pStyle w:val="tajtip"/>
              <w:spacing w:before="0" w:beforeAutospacing="0" w:after="0" w:afterAutospacing="0"/>
              <w:jc w:val="both"/>
              <w:rPr>
                <w:b/>
              </w:rPr>
            </w:pPr>
            <w:r w:rsidRPr="00765B7D">
              <w:rPr>
                <w:b/>
              </w:rPr>
              <w:t>11.8.</w:t>
            </w:r>
            <w:r w:rsidRPr="00765B7D">
              <w:rPr>
                <w:b/>
              </w:rPr>
              <w:tab/>
              <w:t>pilietybė (pilietybės);</w:t>
            </w:r>
          </w:p>
          <w:p w:rsidR="002830D5" w:rsidRPr="00765B7D" w:rsidRDefault="002830D5" w:rsidP="002830D5">
            <w:pPr>
              <w:pStyle w:val="tajtip"/>
              <w:spacing w:before="0" w:beforeAutospacing="0" w:after="0" w:afterAutospacing="0"/>
              <w:jc w:val="both"/>
              <w:rPr>
                <w:b/>
              </w:rPr>
            </w:pPr>
            <w:r w:rsidRPr="00765B7D">
              <w:rPr>
                <w:b/>
              </w:rPr>
              <w:t>11.9.</w:t>
            </w:r>
            <w:r w:rsidRPr="00765B7D">
              <w:rPr>
                <w:b/>
              </w:rPr>
              <w:tab/>
              <w:t>gyvenamoji vieta;</w:t>
            </w:r>
          </w:p>
          <w:p w:rsidR="002830D5" w:rsidRPr="00765B7D" w:rsidRDefault="002830D5" w:rsidP="002830D5">
            <w:pPr>
              <w:pStyle w:val="tajtip"/>
              <w:spacing w:before="0" w:beforeAutospacing="0" w:after="0" w:afterAutospacing="0"/>
              <w:jc w:val="both"/>
              <w:rPr>
                <w:b/>
              </w:rPr>
            </w:pPr>
            <w:r w:rsidRPr="00765B7D">
              <w:rPr>
                <w:b/>
              </w:rPr>
              <w:t>11.11.</w:t>
            </w:r>
            <w:r w:rsidRPr="00765B7D">
              <w:rPr>
                <w:b/>
              </w:rPr>
              <w:tab/>
              <w:t>slapyvardis (pravardė);</w:t>
            </w:r>
          </w:p>
          <w:p w:rsidR="002830D5" w:rsidRPr="00765B7D" w:rsidRDefault="002830D5" w:rsidP="002830D5">
            <w:pPr>
              <w:pStyle w:val="tajtip"/>
              <w:spacing w:before="0" w:beforeAutospacing="0" w:after="0" w:afterAutospacing="0"/>
              <w:jc w:val="both"/>
              <w:rPr>
                <w:b/>
              </w:rPr>
            </w:pPr>
            <w:r w:rsidRPr="00765B7D">
              <w:rPr>
                <w:b/>
              </w:rPr>
              <w:t>11.12.</w:t>
            </w:r>
            <w:r w:rsidRPr="00765B7D">
              <w:rPr>
                <w:b/>
              </w:rPr>
              <w:tab/>
              <w:t>tėvo vardas;</w:t>
            </w:r>
          </w:p>
          <w:p w:rsidR="002830D5" w:rsidRPr="00765B7D" w:rsidRDefault="002830D5" w:rsidP="002830D5">
            <w:pPr>
              <w:pStyle w:val="tajtip"/>
              <w:spacing w:before="0" w:beforeAutospacing="0" w:after="0" w:afterAutospacing="0"/>
              <w:jc w:val="both"/>
              <w:rPr>
                <w:b/>
              </w:rPr>
            </w:pPr>
            <w:r w:rsidRPr="00765B7D">
              <w:rPr>
                <w:b/>
              </w:rPr>
              <w:t>11.13.</w:t>
            </w:r>
            <w:r w:rsidRPr="00765B7D">
              <w:rPr>
                <w:b/>
              </w:rPr>
              <w:tab/>
              <w:t>tėvo pavardė;</w:t>
            </w:r>
          </w:p>
          <w:p w:rsidR="002830D5" w:rsidRPr="00765B7D" w:rsidRDefault="002830D5" w:rsidP="002830D5">
            <w:pPr>
              <w:pStyle w:val="tajtip"/>
              <w:spacing w:before="0" w:beforeAutospacing="0" w:after="0" w:afterAutospacing="0"/>
              <w:jc w:val="both"/>
              <w:rPr>
                <w:b/>
              </w:rPr>
            </w:pPr>
            <w:r w:rsidRPr="00765B7D">
              <w:rPr>
                <w:b/>
              </w:rPr>
              <w:t>11.14.</w:t>
            </w:r>
            <w:r w:rsidRPr="00765B7D">
              <w:rPr>
                <w:b/>
              </w:rPr>
              <w:tab/>
              <w:t>motinos vardas;</w:t>
            </w:r>
          </w:p>
          <w:p w:rsidR="002830D5" w:rsidRPr="00765B7D" w:rsidRDefault="002830D5" w:rsidP="002830D5">
            <w:pPr>
              <w:pStyle w:val="tajtip"/>
              <w:spacing w:before="0" w:beforeAutospacing="0" w:after="0" w:afterAutospacing="0"/>
              <w:jc w:val="both"/>
              <w:rPr>
                <w:b/>
              </w:rPr>
            </w:pPr>
            <w:r w:rsidRPr="00765B7D">
              <w:rPr>
                <w:b/>
              </w:rPr>
              <w:t>11.15.</w:t>
            </w:r>
            <w:r w:rsidRPr="00765B7D">
              <w:rPr>
                <w:b/>
              </w:rPr>
              <w:tab/>
              <w:t>motinos pavardė;</w:t>
            </w:r>
          </w:p>
          <w:p w:rsidR="002830D5" w:rsidRPr="00765B7D" w:rsidRDefault="002830D5" w:rsidP="002830D5">
            <w:pPr>
              <w:pStyle w:val="tajtip"/>
              <w:spacing w:before="0" w:beforeAutospacing="0" w:after="0" w:afterAutospacing="0"/>
              <w:jc w:val="both"/>
              <w:rPr>
                <w:b/>
              </w:rPr>
            </w:pPr>
            <w:r w:rsidRPr="00765B7D">
              <w:rPr>
                <w:b/>
              </w:rPr>
              <w:t>11.16.</w:t>
            </w:r>
            <w:r w:rsidRPr="00765B7D">
              <w:rPr>
                <w:b/>
              </w:rPr>
              <w:tab/>
              <w:t>asmens tapatybę patvirtinančio dokumento tipas ir numeris;</w:t>
            </w:r>
          </w:p>
          <w:p w:rsidR="002830D5" w:rsidRPr="00765B7D" w:rsidRDefault="002830D5" w:rsidP="002830D5">
            <w:pPr>
              <w:pStyle w:val="tajtip"/>
              <w:tabs>
                <w:tab w:val="left" w:pos="1088"/>
              </w:tabs>
              <w:spacing w:before="0" w:beforeAutospacing="0" w:after="0" w:afterAutospacing="0"/>
              <w:ind w:firstLine="34"/>
              <w:jc w:val="both"/>
              <w:rPr>
                <w:b/>
              </w:rPr>
            </w:pPr>
            <w:r w:rsidRPr="00765B7D">
              <w:rPr>
                <w:b/>
              </w:rPr>
              <w:t>13.</w:t>
            </w:r>
            <w:r w:rsidRPr="00765B7D">
              <w:rPr>
                <w:b/>
              </w:rPr>
              <w:tab/>
              <w:t>Bendrieji Registro duomenys, nurodyti Nuostatų 11.11, 11.13–11.16 papunkčiuose, Registre tvarkomi nuo 2012 m. balandžio 27 d. ir tik tais atvejais, kai juos perduoda Europos Sąjungos valstybių narių centrinės institucijos, paskirtos vadovaujantis Pamatiniu sprendimu (toliau – Europos Sąjungos valstybių narių centrinės institucijos).</w:t>
            </w:r>
          </w:p>
          <w:p w:rsidR="002830D5" w:rsidRDefault="002830D5" w:rsidP="002830D5">
            <w:pPr>
              <w:pStyle w:val="tajtip"/>
              <w:tabs>
                <w:tab w:val="left" w:pos="1088"/>
              </w:tabs>
              <w:spacing w:before="0" w:beforeAutospacing="0" w:after="0" w:afterAutospacing="0"/>
              <w:ind w:firstLine="34"/>
              <w:jc w:val="both"/>
            </w:pPr>
          </w:p>
          <w:p w:rsidR="002830D5" w:rsidRDefault="002830D5" w:rsidP="002830D5">
            <w:pPr>
              <w:pStyle w:val="tactin"/>
              <w:spacing w:before="0" w:beforeAutospacing="0" w:after="0" w:afterAutospacing="0"/>
              <w:jc w:val="center"/>
              <w:rPr>
                <w:b/>
              </w:rPr>
            </w:pPr>
            <w:r>
              <w:rPr>
                <w:b/>
              </w:rPr>
              <w:t>TREČIASIS SKIRSNIS</w:t>
            </w:r>
          </w:p>
          <w:p w:rsidR="002830D5" w:rsidRDefault="002830D5" w:rsidP="002830D5">
            <w:pPr>
              <w:pStyle w:val="tactin"/>
              <w:spacing w:before="0" w:beforeAutospacing="0" w:after="0" w:afterAutospacing="0"/>
              <w:jc w:val="center"/>
              <w:rPr>
                <w:b/>
                <w:color w:val="FF0000"/>
              </w:rPr>
            </w:pPr>
            <w:r w:rsidRPr="00E24775">
              <w:rPr>
                <w:b/>
              </w:rPr>
              <w:t xml:space="preserve">Išnagrinėjus baudžiamąsias bylas priimtų teismų sprendimų ir juos keičiančių sprendimų duomenys </w:t>
            </w:r>
          </w:p>
          <w:p w:rsidR="002830D5" w:rsidRDefault="002830D5" w:rsidP="002830D5">
            <w:pPr>
              <w:pStyle w:val="tajtip"/>
              <w:spacing w:before="0" w:beforeAutospacing="0" w:after="0" w:afterAutospacing="0"/>
              <w:jc w:val="both"/>
              <w:rPr>
                <w:b/>
              </w:rPr>
            </w:pPr>
          </w:p>
          <w:p w:rsidR="002830D5" w:rsidRPr="00CE35FE" w:rsidRDefault="002830D5" w:rsidP="002830D5">
            <w:pPr>
              <w:pStyle w:val="tajtip"/>
              <w:spacing w:before="0" w:beforeAutospacing="0" w:after="0" w:afterAutospacing="0"/>
              <w:jc w:val="both"/>
              <w:rPr>
                <w:b/>
              </w:rPr>
            </w:pPr>
            <w:r w:rsidRPr="00CE35FE">
              <w:rPr>
                <w:b/>
              </w:rPr>
              <w:t>25.</w:t>
            </w:r>
            <w:r w:rsidRPr="00CE35FE">
              <w:rPr>
                <w:b/>
              </w:rPr>
              <w:tab/>
              <w:t>Europos Sąjungos valstybių narių centrinių institucijų pateiktų pranešimų apie Lietuvos Respublikos piliečiams šių šalių teritorijoje priimtus, įsiteisėjusius ir į nacionalinius nuosprendžių registrus įtrauktus teismų apkaltinamuosius nuosprendžius skaitmeninės kopijos ir trečiųjų šalių kompetentingų institucijų, nurodytų 1959 m. balandžio 20 d. Europos konvencijoje dėl savitarpio pagalbos baudžiamosiose bylose arba Lietuvos Respublikos tarptautinėse sutartyse (toliau – trečiųjų šalių kompetentingos institucijos), pateiktų pranešimų apie Lietuvos Respublikos piliečiams šių šalių teritorijoje priimtus ir įsiteisėjusius teismų apkaltinamuosius nuosprendžius arba šių nuosprendžių skaitmeninės kopijos.</w:t>
            </w:r>
          </w:p>
          <w:p w:rsidR="002830D5" w:rsidRPr="00CE35FE" w:rsidRDefault="002830D5" w:rsidP="002830D5">
            <w:pPr>
              <w:pStyle w:val="tajtip"/>
              <w:spacing w:before="0" w:beforeAutospacing="0" w:after="0" w:afterAutospacing="0"/>
              <w:jc w:val="both"/>
              <w:rPr>
                <w:b/>
              </w:rPr>
            </w:pPr>
            <w:r w:rsidRPr="00CE35FE">
              <w:rPr>
                <w:b/>
              </w:rPr>
              <w:t>26.</w:t>
            </w:r>
            <w:r w:rsidRPr="00CE35FE">
              <w:rPr>
                <w:b/>
              </w:rPr>
              <w:tab/>
              <w:t>Europos Sąjungos valstybių narių centrinių institucijų ir trečiųjų šalių kompetentingų institucijų pateiktų pranešimų ar nuosprendžių skaitmeninių kopijų duomenys: nuteisto asmens vardas, pavardė, gimimo data, lytis, gimimo vieta, gyvenamoji vieta, pilietybė, tėvų vardai ir pavardės, baudžiamosios bylos numeris, apkaltinamojo nuosprendžio priėmimo ir įsiteisėjimo data, sprendimą priėmusio teismo pavadinimas, paskirta bausmė, nusikalstamos veikos padarymo data ir pavadinimas, užsienio valstybės baudžiamasis įstatymas, pagal kurį asmuo pripažintas kaltu, teistumo išnykimo, panaikinimo ar nuosprendžio saugojimo pagal užsienio valstybės nacionalinę teisę termino pabaigos data.</w:t>
            </w:r>
          </w:p>
          <w:p w:rsidR="002830D5" w:rsidRPr="00CE35FE" w:rsidRDefault="002830D5" w:rsidP="002830D5">
            <w:pPr>
              <w:pStyle w:val="tajtip"/>
              <w:spacing w:before="0" w:beforeAutospacing="0" w:after="0" w:afterAutospacing="0"/>
              <w:jc w:val="both"/>
              <w:rPr>
                <w:b/>
              </w:rPr>
            </w:pPr>
            <w:r w:rsidRPr="00CE35FE">
              <w:rPr>
                <w:b/>
              </w:rPr>
              <w:t>27.</w:t>
            </w:r>
            <w:r w:rsidRPr="00CE35FE">
              <w:rPr>
                <w:b/>
              </w:rPr>
              <w:tab/>
              <w:t>Europos Sąjungos valstybėje narėje priimto apkaltinamojo teismo nuosprendžio duomenys:</w:t>
            </w:r>
          </w:p>
          <w:p w:rsidR="002830D5" w:rsidRPr="00CE35FE" w:rsidRDefault="002830D5" w:rsidP="002830D5">
            <w:pPr>
              <w:pStyle w:val="tajtip"/>
              <w:spacing w:before="0" w:beforeAutospacing="0" w:after="0" w:afterAutospacing="0"/>
              <w:jc w:val="both"/>
              <w:rPr>
                <w:b/>
              </w:rPr>
            </w:pPr>
            <w:r w:rsidRPr="00CE35FE">
              <w:rPr>
                <w:b/>
              </w:rPr>
              <w:t>27.1.</w:t>
            </w:r>
            <w:r w:rsidRPr="00CE35FE">
              <w:rPr>
                <w:b/>
              </w:rPr>
              <w:tab/>
              <w:t>apkaltinamojo nuosprendžio priėmimo data;</w:t>
            </w:r>
          </w:p>
          <w:p w:rsidR="002830D5" w:rsidRPr="00CE35FE" w:rsidRDefault="002830D5" w:rsidP="002830D5">
            <w:pPr>
              <w:pStyle w:val="tajtip"/>
              <w:spacing w:before="0" w:beforeAutospacing="0" w:after="0" w:afterAutospacing="0"/>
              <w:jc w:val="both"/>
              <w:rPr>
                <w:b/>
              </w:rPr>
            </w:pPr>
            <w:r w:rsidRPr="00CE35FE">
              <w:rPr>
                <w:b/>
              </w:rPr>
              <w:t>27.2.</w:t>
            </w:r>
            <w:r w:rsidRPr="00CE35FE">
              <w:rPr>
                <w:b/>
              </w:rPr>
              <w:tab/>
              <w:t>apkaltinamojo nuosprendžio įsiteisėjimo data;</w:t>
            </w:r>
          </w:p>
          <w:p w:rsidR="002830D5" w:rsidRPr="00CE35FE" w:rsidRDefault="002830D5" w:rsidP="002830D5">
            <w:pPr>
              <w:pStyle w:val="tajtip"/>
              <w:spacing w:before="0" w:beforeAutospacing="0" w:after="0" w:afterAutospacing="0"/>
              <w:jc w:val="both"/>
              <w:rPr>
                <w:b/>
              </w:rPr>
            </w:pPr>
            <w:r w:rsidRPr="00CE35FE">
              <w:rPr>
                <w:b/>
              </w:rPr>
              <w:lastRenderedPageBreak/>
              <w:t>27.3.</w:t>
            </w:r>
            <w:r w:rsidRPr="00CE35FE">
              <w:rPr>
                <w:b/>
              </w:rPr>
              <w:tab/>
              <w:t>apkaltinamojo nuosprendžio numeris;</w:t>
            </w:r>
          </w:p>
          <w:p w:rsidR="002830D5" w:rsidRPr="00CE35FE" w:rsidRDefault="002830D5" w:rsidP="002830D5">
            <w:pPr>
              <w:pStyle w:val="tajtip"/>
              <w:spacing w:before="0" w:beforeAutospacing="0" w:after="0" w:afterAutospacing="0"/>
              <w:jc w:val="both"/>
              <w:rPr>
                <w:b/>
              </w:rPr>
            </w:pPr>
            <w:r w:rsidRPr="00CE35FE">
              <w:rPr>
                <w:b/>
              </w:rPr>
              <w:t>27.4.</w:t>
            </w:r>
            <w:r w:rsidRPr="00CE35FE">
              <w:rPr>
                <w:b/>
              </w:rPr>
              <w:tab/>
              <w:t>apkaltinamąjį nuosprendį priėmusio teismo pavadinimas;</w:t>
            </w:r>
          </w:p>
          <w:p w:rsidR="002830D5" w:rsidRPr="00CE35FE" w:rsidRDefault="002830D5" w:rsidP="002830D5">
            <w:pPr>
              <w:pStyle w:val="tajtip"/>
              <w:spacing w:before="0" w:beforeAutospacing="0" w:after="0" w:afterAutospacing="0"/>
              <w:jc w:val="both"/>
              <w:rPr>
                <w:b/>
              </w:rPr>
            </w:pPr>
            <w:r w:rsidRPr="00CE35FE">
              <w:rPr>
                <w:b/>
              </w:rPr>
              <w:t>27.5.</w:t>
            </w:r>
            <w:r w:rsidRPr="00CE35FE">
              <w:rPr>
                <w:b/>
              </w:rPr>
              <w:tab/>
              <w:t>paskirta bausmė;</w:t>
            </w:r>
          </w:p>
          <w:p w:rsidR="002830D5" w:rsidRPr="00CE35FE" w:rsidRDefault="002830D5" w:rsidP="002830D5">
            <w:pPr>
              <w:pStyle w:val="tajtip"/>
              <w:spacing w:before="0" w:beforeAutospacing="0" w:after="0" w:afterAutospacing="0"/>
              <w:jc w:val="both"/>
              <w:rPr>
                <w:b/>
              </w:rPr>
            </w:pPr>
            <w:r w:rsidRPr="00CE35FE">
              <w:rPr>
                <w:b/>
              </w:rPr>
              <w:t>27.6.</w:t>
            </w:r>
            <w:r w:rsidRPr="00CE35FE">
              <w:rPr>
                <w:b/>
              </w:rPr>
              <w:tab/>
              <w:t>vėlesni sprendimai, keičiantys paskirtą bausmę ar jos vykdymo sąlygas.</w:t>
            </w:r>
          </w:p>
          <w:p w:rsidR="002830D5" w:rsidRPr="00CE35FE" w:rsidRDefault="002830D5" w:rsidP="002830D5">
            <w:pPr>
              <w:pStyle w:val="tajtip"/>
              <w:spacing w:before="0" w:beforeAutospacing="0" w:after="0" w:afterAutospacing="0"/>
              <w:jc w:val="both"/>
              <w:rPr>
                <w:b/>
              </w:rPr>
            </w:pPr>
            <w:r w:rsidRPr="00CE35FE">
              <w:rPr>
                <w:b/>
              </w:rPr>
              <w:t>28.</w:t>
            </w:r>
            <w:r w:rsidRPr="00CE35FE">
              <w:rPr>
                <w:b/>
              </w:rPr>
              <w:tab/>
              <w:t>Europos Sąjungos valstybėje narėje padarytos nusikalstamos veikos, dėl kurios asmuo pripažintas kaltu, duomenys:</w:t>
            </w:r>
          </w:p>
          <w:p w:rsidR="002830D5" w:rsidRPr="00CE35FE" w:rsidRDefault="002830D5" w:rsidP="002830D5">
            <w:pPr>
              <w:pStyle w:val="tajtip"/>
              <w:spacing w:before="0" w:beforeAutospacing="0" w:after="0" w:afterAutospacing="0"/>
              <w:jc w:val="both"/>
              <w:rPr>
                <w:b/>
              </w:rPr>
            </w:pPr>
            <w:r w:rsidRPr="00CE35FE">
              <w:rPr>
                <w:b/>
              </w:rPr>
              <w:t>28.1.</w:t>
            </w:r>
            <w:r w:rsidRPr="00CE35FE">
              <w:rPr>
                <w:b/>
              </w:rPr>
              <w:tab/>
              <w:t>nusikalstamos veikos padarymo data;</w:t>
            </w:r>
          </w:p>
          <w:p w:rsidR="002830D5" w:rsidRPr="00CE35FE" w:rsidRDefault="002830D5" w:rsidP="002830D5">
            <w:pPr>
              <w:pStyle w:val="tajtip"/>
              <w:spacing w:before="0" w:beforeAutospacing="0" w:after="0" w:afterAutospacing="0"/>
              <w:jc w:val="both"/>
              <w:rPr>
                <w:b/>
              </w:rPr>
            </w:pPr>
            <w:r w:rsidRPr="00CE35FE">
              <w:rPr>
                <w:b/>
              </w:rPr>
              <w:t>28.2.</w:t>
            </w:r>
            <w:r w:rsidRPr="00CE35FE">
              <w:rPr>
                <w:b/>
              </w:rPr>
              <w:tab/>
              <w:t>nusikalstamos veikos padarymo vieta;</w:t>
            </w:r>
          </w:p>
          <w:p w:rsidR="002830D5" w:rsidRPr="00CE35FE" w:rsidRDefault="002830D5" w:rsidP="002830D5">
            <w:pPr>
              <w:pStyle w:val="tajtip"/>
              <w:spacing w:before="0" w:beforeAutospacing="0" w:after="0" w:afterAutospacing="0"/>
              <w:jc w:val="both"/>
              <w:rPr>
                <w:b/>
              </w:rPr>
            </w:pPr>
            <w:r w:rsidRPr="00CE35FE">
              <w:rPr>
                <w:b/>
              </w:rPr>
              <w:t>28.3.</w:t>
            </w:r>
            <w:r w:rsidRPr="00CE35FE">
              <w:rPr>
                <w:b/>
              </w:rPr>
              <w:tab/>
              <w:t>nusikalstamos veikos pavadinimas;</w:t>
            </w:r>
          </w:p>
          <w:p w:rsidR="002830D5" w:rsidRPr="00CE35FE" w:rsidRDefault="002830D5" w:rsidP="002830D5">
            <w:pPr>
              <w:pStyle w:val="tajtip"/>
              <w:spacing w:before="0" w:beforeAutospacing="0" w:after="0" w:afterAutospacing="0"/>
              <w:jc w:val="both"/>
              <w:rPr>
                <w:b/>
              </w:rPr>
            </w:pPr>
            <w:r w:rsidRPr="00CE35FE">
              <w:rPr>
                <w:b/>
              </w:rPr>
              <w:t>28.4.</w:t>
            </w:r>
            <w:r w:rsidRPr="00CE35FE">
              <w:rPr>
                <w:b/>
              </w:rPr>
              <w:tab/>
              <w:t>užsienio valstybės baudžiamasis įstatymas, pagal kurį asmuo pripažintas kaltu;</w:t>
            </w:r>
          </w:p>
          <w:p w:rsidR="002830D5" w:rsidRPr="00CE35FE" w:rsidRDefault="002830D5" w:rsidP="002830D5">
            <w:pPr>
              <w:pStyle w:val="tajtip"/>
              <w:spacing w:before="0" w:beforeAutospacing="0" w:after="0" w:afterAutospacing="0"/>
              <w:jc w:val="both"/>
              <w:rPr>
                <w:b/>
              </w:rPr>
            </w:pPr>
            <w:r w:rsidRPr="00CE35FE">
              <w:rPr>
                <w:b/>
              </w:rPr>
              <w:t>28.5.</w:t>
            </w:r>
            <w:r w:rsidRPr="00CE35FE">
              <w:rPr>
                <w:b/>
              </w:rPr>
              <w:tab/>
              <w:t>nusikalstamos veikos ir paskirtos bausmės kategorijos kodas, pavadinimas ir kriterijus, vadovaujantis ECRIS sprendimu.</w:t>
            </w:r>
          </w:p>
          <w:p w:rsidR="002830D5" w:rsidRDefault="002830D5" w:rsidP="002830D5">
            <w:pPr>
              <w:pStyle w:val="tajtip"/>
              <w:spacing w:before="0" w:beforeAutospacing="0" w:after="0" w:afterAutospacing="0"/>
              <w:jc w:val="both"/>
              <w:rPr>
                <w:b/>
              </w:rPr>
            </w:pPr>
            <w:r w:rsidRPr="00CE35FE">
              <w:rPr>
                <w:b/>
              </w:rPr>
              <w:t>29.</w:t>
            </w:r>
            <w:r w:rsidRPr="00CE35FE">
              <w:rPr>
                <w:b/>
              </w:rPr>
              <w:tab/>
              <w:t>Teistumo išnykimo, panaikinimo ar nuosprendžio saugojimo, pagal užsienio valstybės nacionalinę teisę, termino pabaigos data.</w:t>
            </w:r>
          </w:p>
          <w:p w:rsidR="002830D5" w:rsidRPr="00CE35FE" w:rsidRDefault="002830D5" w:rsidP="002830D5">
            <w:pPr>
              <w:pStyle w:val="tajtip"/>
              <w:spacing w:before="0" w:beforeAutospacing="0" w:after="0" w:afterAutospacing="0"/>
              <w:jc w:val="both"/>
              <w:rPr>
                <w:b/>
              </w:rPr>
            </w:pPr>
            <w:r w:rsidRPr="00CE35FE">
              <w:rPr>
                <w:b/>
              </w:rPr>
              <w:t>30.</w:t>
            </w:r>
            <w:r w:rsidRPr="00CE35FE">
              <w:rPr>
                <w:b/>
              </w:rPr>
              <w:tab/>
              <w:t>Požymis apie Europos Sąjungos valstybėje narėje nuteisto asmens pateiktus pirštų atspaudus.</w:t>
            </w:r>
          </w:p>
          <w:p w:rsidR="002830D5" w:rsidRDefault="002830D5" w:rsidP="002830D5">
            <w:pPr>
              <w:pStyle w:val="tajtip"/>
              <w:spacing w:before="0" w:beforeAutospacing="0" w:after="0" w:afterAutospacing="0"/>
              <w:jc w:val="both"/>
              <w:rPr>
                <w:b/>
              </w:rPr>
            </w:pPr>
            <w:r w:rsidRPr="003D1154">
              <w:rPr>
                <w:b/>
              </w:rPr>
              <w:t>34.</w:t>
            </w:r>
            <w:r w:rsidRPr="003D1154">
              <w:rPr>
                <w:b/>
              </w:rPr>
              <w:tab/>
              <w:t>Registro duomenys, nurodyti Nuostatų 26 punkte, Registre tvarkomi tik tais atvejais, kai jie įtraukti į Europos Sąjungos valstybių narių centrinių institucijų ir trečiųjų šalių kompetentingų institucijų pateiktus pranešimus ar nuosprendžių kopijas.</w:t>
            </w:r>
          </w:p>
          <w:p w:rsidR="002830D5" w:rsidRPr="003D1154" w:rsidRDefault="002830D5" w:rsidP="002830D5">
            <w:pPr>
              <w:pStyle w:val="tajtip"/>
              <w:spacing w:before="0" w:beforeAutospacing="0" w:after="0" w:afterAutospacing="0"/>
              <w:jc w:val="both"/>
              <w:rPr>
                <w:b/>
              </w:rPr>
            </w:pPr>
            <w:r w:rsidRPr="003D1154">
              <w:rPr>
                <w:b/>
              </w:rPr>
              <w:t>35.</w:t>
            </w:r>
            <w:r w:rsidRPr="003D1154">
              <w:rPr>
                <w:b/>
              </w:rPr>
              <w:tab/>
              <w:t>Registro duomenys, nurodyti Nuostatų 27–30 punktuose, Registre tvarkomi nuo 2012 m. balandžio 27 d. ir tik tais atvejais, kai juos perduoda Europos Sąjungos valstybių narių centrinės institucijos.</w:t>
            </w:r>
          </w:p>
          <w:p w:rsidR="00940B2F" w:rsidRPr="000F4EEC" w:rsidRDefault="00940B2F" w:rsidP="000F4EEC">
            <w:pPr>
              <w:pStyle w:val="tactin"/>
              <w:spacing w:before="0" w:beforeAutospacing="0" w:after="0" w:afterAutospacing="0"/>
              <w:rPr>
                <w:b/>
                <w:bCs/>
              </w:rPr>
            </w:pPr>
          </w:p>
          <w:p w:rsidR="00F12FB6" w:rsidRPr="00F12FB6" w:rsidRDefault="00F12FB6" w:rsidP="002830D5">
            <w:pPr>
              <w:pStyle w:val="tactin"/>
              <w:spacing w:before="0" w:beforeAutospacing="0" w:after="0" w:afterAutospacing="0"/>
              <w:jc w:val="both"/>
              <w:rPr>
                <w:b/>
                <w:bCs/>
              </w:rPr>
            </w:pPr>
            <w:r w:rsidRPr="00F12FB6">
              <w:rPr>
                <w:b/>
                <w:bCs/>
              </w:rPr>
              <w:t>Projektas</w:t>
            </w:r>
          </w:p>
          <w:p w:rsidR="00F12FB6" w:rsidRPr="00F12FB6" w:rsidRDefault="00F12FB6" w:rsidP="002830D5">
            <w:pPr>
              <w:pStyle w:val="tactin"/>
              <w:spacing w:before="0" w:beforeAutospacing="0" w:after="0" w:afterAutospacing="0"/>
              <w:jc w:val="both"/>
              <w:rPr>
                <w:b/>
                <w:bCs/>
              </w:rPr>
            </w:pPr>
            <w:r w:rsidRPr="00F12FB6">
              <w:rPr>
                <w:b/>
                <w:bCs/>
              </w:rPr>
              <w:t>13.</w:t>
            </w:r>
            <w:r w:rsidRPr="00F12FB6">
              <w:rPr>
                <w:b/>
                <w:bCs/>
              </w:rPr>
              <w:tab/>
              <w:t>Bendrieji Registro duomenys, nurodyti Nuostatų 11.11, 11.13–11.16 papunkčiuose, Registre tvarkomi nuo 2012 m. balandžio 27 d. ir tik tais atvejais, kai juos perduoda Europos Sąjungos valstybių narių centrinės institucijos, paskirtos vadovaujantis Pamatiniu sprendimu (toliau – Europos Sąjungos valstybių narių centrinės institucijos).</w:t>
            </w:r>
          </w:p>
          <w:p w:rsidR="00F12FB6" w:rsidRPr="00F12FB6" w:rsidRDefault="00F12FB6" w:rsidP="002830D5">
            <w:pPr>
              <w:pStyle w:val="tactin"/>
              <w:spacing w:before="0" w:beforeAutospacing="0" w:after="0" w:afterAutospacing="0"/>
              <w:jc w:val="both"/>
              <w:rPr>
                <w:b/>
                <w:bCs/>
              </w:rPr>
            </w:pPr>
            <w:r w:rsidRPr="00F12FB6">
              <w:rPr>
                <w:b/>
                <w:bCs/>
              </w:rPr>
              <w:t>35.</w:t>
            </w:r>
            <w:r w:rsidRPr="00F12FB6">
              <w:rPr>
                <w:b/>
                <w:bCs/>
              </w:rPr>
              <w:tab/>
              <w:t>Registro duomenys, nurodyti Nuostatų 27–30 punktuose, Registre tvarkomi nuo 2012 m. balandžio 27 d. ir tik tais atvejais, kai juos perduoda Europos Sąjungos valstybių narių centrinės institucijos.</w:t>
            </w:r>
          </w:p>
          <w:p w:rsidR="00D31329" w:rsidRDefault="00D31329" w:rsidP="002830D5">
            <w:pPr>
              <w:pStyle w:val="tactin"/>
              <w:spacing w:before="0" w:beforeAutospacing="0" w:after="0" w:afterAutospacing="0"/>
              <w:jc w:val="both"/>
              <w:rPr>
                <w:bCs/>
              </w:rPr>
            </w:pPr>
          </w:p>
          <w:p w:rsidR="002830D5" w:rsidRDefault="002830D5" w:rsidP="002830D5">
            <w:pPr>
              <w:pStyle w:val="tactin"/>
              <w:spacing w:before="0" w:beforeAutospacing="0" w:after="0" w:afterAutospacing="0"/>
              <w:jc w:val="both"/>
              <w:rPr>
                <w:bCs/>
              </w:rPr>
            </w:pPr>
            <w:r>
              <w:rPr>
                <w:bCs/>
              </w:rPr>
              <w:t>Taisyklės</w:t>
            </w:r>
          </w:p>
          <w:p w:rsidR="00801453" w:rsidRPr="000F4EEC" w:rsidRDefault="002830D5" w:rsidP="00F12FB6">
            <w:pPr>
              <w:pStyle w:val="tactin"/>
              <w:spacing w:before="0" w:beforeAutospacing="0" w:after="0" w:afterAutospacing="0"/>
              <w:jc w:val="both"/>
              <w:rPr>
                <w:b/>
                <w:bCs/>
              </w:rPr>
            </w:pPr>
            <w:r w:rsidRPr="002830D5">
              <w:rPr>
                <w:bCs/>
              </w:rPr>
              <w:t>70. Nuo Europos nuosprendžių registrų informacinės sistemos ECRIS veiklos pradžios su kitomis Europos Sąjungos valstybėmis narėmis keičiamasi Registro duomenimis ir informacija elektroniniu būdu per ECRIS sistemą.</w:t>
            </w:r>
          </w:p>
          <w:p w:rsidR="00801453" w:rsidRPr="000F4EEC" w:rsidRDefault="00801453" w:rsidP="000F4EEC">
            <w:pPr>
              <w:pStyle w:val="tactin"/>
              <w:spacing w:before="0" w:beforeAutospacing="0" w:after="0" w:afterAutospacing="0"/>
              <w:rPr>
                <w:b/>
                <w:bCs/>
              </w:rPr>
            </w:pPr>
          </w:p>
          <w:p w:rsidR="00801453" w:rsidRPr="000F4EEC" w:rsidRDefault="00801453" w:rsidP="000F4EEC">
            <w:pPr>
              <w:pStyle w:val="tactin"/>
              <w:spacing w:before="0" w:beforeAutospacing="0" w:after="0" w:afterAutospacing="0"/>
              <w:rPr>
                <w:b/>
                <w:bCs/>
              </w:rPr>
            </w:pPr>
          </w:p>
          <w:p w:rsidR="00801453" w:rsidRPr="000F4EEC" w:rsidRDefault="00801453" w:rsidP="000F4EEC">
            <w:pPr>
              <w:pStyle w:val="tactin"/>
              <w:spacing w:before="0" w:beforeAutospacing="0" w:after="0" w:afterAutospacing="0"/>
              <w:rPr>
                <w:b/>
                <w:bCs/>
              </w:rPr>
            </w:pPr>
          </w:p>
          <w:p w:rsidR="00521131" w:rsidRDefault="00521131" w:rsidP="00BB3391">
            <w:pPr>
              <w:pStyle w:val="Pagrindinistekstas"/>
              <w:tabs>
                <w:tab w:val="left" w:pos="851"/>
              </w:tabs>
              <w:jc w:val="both"/>
            </w:pPr>
          </w:p>
          <w:p w:rsidR="00521131" w:rsidRDefault="00521131" w:rsidP="00BB3391">
            <w:pPr>
              <w:pStyle w:val="Pagrindinistekstas"/>
              <w:tabs>
                <w:tab w:val="left" w:pos="851"/>
              </w:tabs>
              <w:jc w:val="both"/>
            </w:pPr>
          </w:p>
          <w:p w:rsidR="00521131" w:rsidRDefault="00521131" w:rsidP="00BB3391">
            <w:pPr>
              <w:pStyle w:val="Pagrindinistekstas"/>
              <w:tabs>
                <w:tab w:val="left" w:pos="851"/>
              </w:tabs>
              <w:jc w:val="both"/>
            </w:pPr>
          </w:p>
          <w:p w:rsidR="00521131" w:rsidRDefault="00521131" w:rsidP="00BB3391">
            <w:pPr>
              <w:pStyle w:val="Pagrindinistekstas"/>
              <w:tabs>
                <w:tab w:val="left" w:pos="851"/>
              </w:tabs>
              <w:jc w:val="both"/>
            </w:pPr>
          </w:p>
          <w:p w:rsidR="00521131" w:rsidRDefault="00521131" w:rsidP="00BB3391">
            <w:pPr>
              <w:pStyle w:val="Pagrindinistekstas"/>
              <w:tabs>
                <w:tab w:val="left" w:pos="851"/>
              </w:tabs>
              <w:jc w:val="both"/>
            </w:pPr>
          </w:p>
          <w:p w:rsidR="00521131" w:rsidRDefault="00521131" w:rsidP="00BB3391">
            <w:pPr>
              <w:pStyle w:val="Pagrindinistekstas"/>
              <w:tabs>
                <w:tab w:val="left" w:pos="851"/>
              </w:tabs>
              <w:jc w:val="both"/>
            </w:pPr>
          </w:p>
          <w:p w:rsidR="00521131" w:rsidRDefault="00521131" w:rsidP="00BB3391">
            <w:pPr>
              <w:pStyle w:val="Pagrindinistekstas"/>
              <w:tabs>
                <w:tab w:val="left" w:pos="851"/>
              </w:tabs>
              <w:jc w:val="both"/>
            </w:pPr>
          </w:p>
          <w:p w:rsidR="00521131" w:rsidRDefault="00521131" w:rsidP="00BB3391">
            <w:pPr>
              <w:pStyle w:val="Pagrindinistekstas"/>
              <w:tabs>
                <w:tab w:val="left" w:pos="851"/>
              </w:tabs>
              <w:jc w:val="both"/>
            </w:pPr>
          </w:p>
          <w:p w:rsidR="00521131" w:rsidRDefault="00521131" w:rsidP="00BB3391">
            <w:pPr>
              <w:pStyle w:val="Pagrindinistekstas"/>
              <w:tabs>
                <w:tab w:val="left" w:pos="851"/>
              </w:tabs>
              <w:jc w:val="both"/>
            </w:pPr>
          </w:p>
          <w:p w:rsidR="00AD0FD6" w:rsidRDefault="00AD0FD6" w:rsidP="00BB3391">
            <w:pPr>
              <w:pStyle w:val="Pagrindinistekstas"/>
              <w:tabs>
                <w:tab w:val="left" w:pos="851"/>
              </w:tabs>
              <w:jc w:val="both"/>
            </w:pPr>
          </w:p>
          <w:p w:rsidR="00AD0FD6" w:rsidRDefault="00AD0FD6" w:rsidP="00BB3391">
            <w:pPr>
              <w:pStyle w:val="Pagrindinistekstas"/>
              <w:tabs>
                <w:tab w:val="left" w:pos="851"/>
              </w:tabs>
              <w:jc w:val="both"/>
            </w:pPr>
          </w:p>
          <w:p w:rsidR="00AD0FD6" w:rsidRDefault="00AD0FD6" w:rsidP="00BB3391">
            <w:pPr>
              <w:pStyle w:val="Pagrindinistekstas"/>
              <w:tabs>
                <w:tab w:val="left" w:pos="851"/>
              </w:tabs>
              <w:jc w:val="both"/>
            </w:pPr>
          </w:p>
          <w:p w:rsidR="00AD0FD6" w:rsidRDefault="00AD0FD6" w:rsidP="00BB3391">
            <w:pPr>
              <w:pStyle w:val="Pagrindinistekstas"/>
              <w:tabs>
                <w:tab w:val="left" w:pos="851"/>
              </w:tabs>
              <w:jc w:val="both"/>
            </w:pPr>
          </w:p>
          <w:p w:rsidR="00AD0FD6" w:rsidRPr="00BB3391" w:rsidRDefault="00AD0FD6" w:rsidP="00BB3391">
            <w:pPr>
              <w:pStyle w:val="Pagrindinistekstas"/>
              <w:tabs>
                <w:tab w:val="left" w:pos="851"/>
              </w:tabs>
              <w:jc w:val="both"/>
              <w:rPr>
                <w:b w:val="0"/>
              </w:rPr>
            </w:pPr>
          </w:p>
        </w:tc>
        <w:tc>
          <w:tcPr>
            <w:tcW w:w="2410" w:type="dxa"/>
          </w:tcPr>
          <w:p w:rsidR="006C6EA6" w:rsidRPr="00420CC0" w:rsidRDefault="005D2D76" w:rsidP="002830D5">
            <w:pPr>
              <w:keepNext/>
              <w:jc w:val="both"/>
              <w:outlineLvl w:val="1"/>
              <w:rPr>
                <w:bCs/>
              </w:rPr>
            </w:pPr>
            <w:r w:rsidRPr="005D2D76">
              <w:rPr>
                <w:bCs/>
              </w:rPr>
              <w:lastRenderedPageBreak/>
              <w:t>Visiškas.</w:t>
            </w:r>
          </w:p>
        </w:tc>
      </w:tr>
      <w:tr w:rsidR="006C6EA6" w:rsidTr="00F14AD5">
        <w:tc>
          <w:tcPr>
            <w:tcW w:w="5920" w:type="dxa"/>
          </w:tcPr>
          <w:p w:rsidR="006C6EA6" w:rsidRDefault="00A26F7A" w:rsidP="006B08CC">
            <w:pPr>
              <w:autoSpaceDE w:val="0"/>
              <w:autoSpaceDN w:val="0"/>
              <w:adjustRightInd w:val="0"/>
              <w:rPr>
                <w:i/>
                <w:iCs/>
                <w:szCs w:val="24"/>
              </w:rPr>
            </w:pPr>
            <w:r>
              <w:rPr>
                <w:i/>
                <w:iCs/>
                <w:szCs w:val="24"/>
              </w:rPr>
              <w:t>12 straipsnis</w:t>
            </w:r>
          </w:p>
          <w:p w:rsidR="00A26F7A" w:rsidRPr="00A26F7A" w:rsidRDefault="00A26F7A" w:rsidP="00A26F7A">
            <w:pPr>
              <w:autoSpaceDE w:val="0"/>
              <w:autoSpaceDN w:val="0"/>
              <w:adjustRightInd w:val="0"/>
              <w:jc w:val="both"/>
              <w:rPr>
                <w:rFonts w:ascii="EUAlbertina" w:hAnsi="EUAlbertina" w:cs="EUAlbertina"/>
                <w:color w:val="000000"/>
                <w:szCs w:val="24"/>
              </w:rPr>
            </w:pPr>
            <w:r w:rsidRPr="00A26F7A">
              <w:rPr>
                <w:rFonts w:ascii="EUAlbertina" w:hAnsi="EUAlbertina" w:cs="EUAlbertina"/>
                <w:b/>
                <w:bCs/>
                <w:color w:val="000000"/>
                <w:szCs w:val="24"/>
              </w:rPr>
              <w:t xml:space="preserve">Ryšys su kitais teisės aktais </w:t>
            </w:r>
          </w:p>
          <w:p w:rsidR="006C6EA6" w:rsidRDefault="00A26F7A" w:rsidP="00A26F7A">
            <w:pPr>
              <w:autoSpaceDE w:val="0"/>
              <w:autoSpaceDN w:val="0"/>
              <w:adjustRightInd w:val="0"/>
              <w:jc w:val="both"/>
              <w:rPr>
                <w:rFonts w:ascii="EUAlbertina" w:hAnsi="EUAlbertina" w:cs="EUAlbertina"/>
                <w:color w:val="000000"/>
                <w:szCs w:val="24"/>
              </w:rPr>
            </w:pPr>
            <w:r w:rsidRPr="00A26F7A">
              <w:rPr>
                <w:rFonts w:ascii="EUAlbertina" w:hAnsi="EUAlbertina" w:cs="EUAlbertina"/>
                <w:color w:val="000000"/>
                <w:szCs w:val="24"/>
              </w:rPr>
              <w:t>1. Šiuo pamatiniu sprendimu papildomos Europos konvencijos dėl savitarpio pagalbos baudžiamosiose bylose 13 straipsnio ir jos 1978 m. kovo 17 d. bei 2001 m. lapkričio 8 d. papildomų protokolų, 2000 m. gegužės 29 d. Konvencijos dėl Europos Sąjungos valstybių narių savitarpio pagalbos baudžiamosiose bylose bei jos 2001 m. spalio 16 d. protokolo nuostatos, taikomos valstybių narių santykiuose.</w:t>
            </w:r>
          </w:p>
          <w:p w:rsidR="00A26F7A" w:rsidRDefault="00A26F7A" w:rsidP="00A26F7A">
            <w:pPr>
              <w:autoSpaceDE w:val="0"/>
              <w:autoSpaceDN w:val="0"/>
              <w:adjustRightInd w:val="0"/>
              <w:jc w:val="both"/>
              <w:rPr>
                <w:color w:val="000000"/>
                <w:szCs w:val="24"/>
              </w:rPr>
            </w:pPr>
            <w:r w:rsidRPr="00A26F7A">
              <w:rPr>
                <w:color w:val="000000"/>
                <w:szCs w:val="24"/>
              </w:rPr>
              <w:t>2. Šio pamatinio sprendimo tikslais, valstybės narės turi atsisakyti teisės savo santykiuose naudotis jų išlygomis dėl Europos konvencijos dėl savitarpio pagalbos baudžiamosiose bylose 13 straipsnio.</w:t>
            </w:r>
          </w:p>
          <w:p w:rsidR="00A26F7A" w:rsidRDefault="00A26F7A" w:rsidP="00A26F7A">
            <w:pPr>
              <w:autoSpaceDE w:val="0"/>
              <w:autoSpaceDN w:val="0"/>
              <w:adjustRightInd w:val="0"/>
              <w:jc w:val="both"/>
              <w:rPr>
                <w:color w:val="000000"/>
                <w:szCs w:val="24"/>
              </w:rPr>
            </w:pPr>
            <w:r w:rsidRPr="00A26F7A">
              <w:rPr>
                <w:color w:val="000000"/>
                <w:szCs w:val="24"/>
              </w:rPr>
              <w:t>3. Šis pamatinis sprendimas nuo 2012 m. kovo 26 d. valstybių narių santykiuose pakeičia Europos konvencijos dėl savitarpio pagalbos baudžiamosiose bylose 22 straipsnio nuostatas, papildytas Konvencijos 1978 m. kovo 17 d. Papildomo protokolo 4 straipsniu, tačiau neturi įtakos jų taikymui valstybių narių ir trečiųjų šalių santykiuose.</w:t>
            </w:r>
          </w:p>
          <w:p w:rsidR="00A26F7A" w:rsidRDefault="00A26F7A" w:rsidP="00A26F7A">
            <w:pPr>
              <w:autoSpaceDE w:val="0"/>
              <w:autoSpaceDN w:val="0"/>
              <w:adjustRightInd w:val="0"/>
              <w:jc w:val="both"/>
              <w:rPr>
                <w:color w:val="000000"/>
                <w:szCs w:val="24"/>
              </w:rPr>
            </w:pPr>
            <w:r w:rsidRPr="00A26F7A">
              <w:rPr>
                <w:color w:val="000000"/>
                <w:szCs w:val="24"/>
              </w:rPr>
              <w:t>4. Sprendimas 2005/876/TVR panaikinamas.</w:t>
            </w:r>
          </w:p>
          <w:p w:rsidR="00A26F7A" w:rsidRDefault="00A26F7A" w:rsidP="00A26F7A">
            <w:pPr>
              <w:autoSpaceDE w:val="0"/>
              <w:autoSpaceDN w:val="0"/>
              <w:adjustRightInd w:val="0"/>
              <w:jc w:val="both"/>
              <w:rPr>
                <w:i/>
                <w:iCs/>
                <w:szCs w:val="24"/>
              </w:rPr>
            </w:pPr>
            <w:r w:rsidRPr="00A26F7A">
              <w:rPr>
                <w:color w:val="000000"/>
                <w:szCs w:val="24"/>
              </w:rPr>
              <w:t>5. Šis pamatinis sprendimas neturi poveikio dvišalėse ar daugiašalėse sutartyse ar susitarimuose tarp valstybių narių numatytų palankesnių nuostatų taikymui.</w:t>
            </w:r>
          </w:p>
        </w:tc>
        <w:tc>
          <w:tcPr>
            <w:tcW w:w="6804" w:type="dxa"/>
            <w:tcBorders>
              <w:bottom w:val="single" w:sz="4" w:space="0" w:color="auto"/>
            </w:tcBorders>
          </w:tcPr>
          <w:p w:rsidR="006C6EA6" w:rsidRPr="007D3592" w:rsidRDefault="006C6EA6" w:rsidP="006B08CC">
            <w:pPr>
              <w:pStyle w:val="Pagrindinistekstas"/>
              <w:tabs>
                <w:tab w:val="left" w:pos="851"/>
              </w:tabs>
              <w:jc w:val="both"/>
              <w:rPr>
                <w:b w:val="0"/>
              </w:rPr>
            </w:pPr>
          </w:p>
        </w:tc>
        <w:tc>
          <w:tcPr>
            <w:tcW w:w="2410" w:type="dxa"/>
          </w:tcPr>
          <w:p w:rsidR="006C6EA6" w:rsidRPr="00BB057B" w:rsidRDefault="005D2D76" w:rsidP="005D2D76">
            <w:pPr>
              <w:keepNext/>
              <w:jc w:val="center"/>
              <w:outlineLvl w:val="1"/>
              <w:rPr>
                <w:bCs/>
              </w:rPr>
            </w:pPr>
            <w:r w:rsidRPr="005D2D76">
              <w:t>Visiškas.</w:t>
            </w:r>
          </w:p>
        </w:tc>
      </w:tr>
      <w:tr w:rsidR="00A26F7A" w:rsidTr="00F14AD5">
        <w:tc>
          <w:tcPr>
            <w:tcW w:w="5920" w:type="dxa"/>
          </w:tcPr>
          <w:p w:rsidR="00A26F7A" w:rsidRDefault="00A26F7A" w:rsidP="006B08CC">
            <w:pPr>
              <w:autoSpaceDE w:val="0"/>
              <w:autoSpaceDN w:val="0"/>
              <w:adjustRightInd w:val="0"/>
              <w:rPr>
                <w:i/>
                <w:iCs/>
                <w:szCs w:val="24"/>
              </w:rPr>
            </w:pPr>
            <w:r>
              <w:rPr>
                <w:i/>
                <w:iCs/>
                <w:szCs w:val="24"/>
              </w:rPr>
              <w:t>13 straipsnis</w:t>
            </w:r>
          </w:p>
          <w:p w:rsidR="00A26F7A" w:rsidRDefault="00A26F7A" w:rsidP="006B08CC">
            <w:pPr>
              <w:autoSpaceDE w:val="0"/>
              <w:autoSpaceDN w:val="0"/>
              <w:adjustRightInd w:val="0"/>
              <w:rPr>
                <w:b/>
                <w:bCs/>
                <w:color w:val="000000"/>
                <w:szCs w:val="24"/>
              </w:rPr>
            </w:pPr>
            <w:r w:rsidRPr="00A26F7A">
              <w:rPr>
                <w:b/>
                <w:bCs/>
                <w:color w:val="000000"/>
                <w:szCs w:val="24"/>
              </w:rPr>
              <w:t>Įgyvendinimas</w:t>
            </w:r>
          </w:p>
          <w:p w:rsidR="00A26F7A" w:rsidRDefault="00A26F7A" w:rsidP="00A26F7A">
            <w:pPr>
              <w:autoSpaceDE w:val="0"/>
              <w:autoSpaceDN w:val="0"/>
              <w:adjustRightInd w:val="0"/>
              <w:jc w:val="both"/>
              <w:rPr>
                <w:color w:val="000000"/>
                <w:szCs w:val="24"/>
              </w:rPr>
            </w:pPr>
            <w:r w:rsidRPr="00A26F7A">
              <w:rPr>
                <w:color w:val="000000"/>
                <w:szCs w:val="24"/>
              </w:rPr>
              <w:t xml:space="preserve">1. Valstybės narės imasi būtinų priemonių, kad laikytųsi šio pamatinio sprendimo ne vėliau kaip nuo 2012 m. kovo 26 d. </w:t>
            </w:r>
          </w:p>
          <w:p w:rsidR="002C4618" w:rsidRDefault="002C4618"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A26F7A" w:rsidRDefault="00A26F7A" w:rsidP="00A26F7A">
            <w:pPr>
              <w:autoSpaceDE w:val="0"/>
              <w:autoSpaceDN w:val="0"/>
              <w:adjustRightInd w:val="0"/>
              <w:jc w:val="both"/>
              <w:rPr>
                <w:color w:val="000000"/>
                <w:szCs w:val="24"/>
              </w:rPr>
            </w:pPr>
            <w:r w:rsidRPr="00A26F7A">
              <w:rPr>
                <w:color w:val="000000"/>
                <w:szCs w:val="24"/>
              </w:rPr>
              <w:t xml:space="preserve">2. Valstybės narės Tarybos generaliniam sekretoriatui ir Komisijai turi pateikti nuostatų, perkeliančių į nacionalinę </w:t>
            </w:r>
            <w:r w:rsidRPr="00A26F7A">
              <w:rPr>
                <w:color w:val="000000"/>
                <w:szCs w:val="24"/>
              </w:rPr>
              <w:lastRenderedPageBreak/>
              <w:t>teisę joms pagal šį pamatinį sprendimą nustatytas pareigas, tekstus.</w:t>
            </w: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F12FB6" w:rsidRDefault="00F12FB6" w:rsidP="00A26F7A">
            <w:pPr>
              <w:autoSpaceDE w:val="0"/>
              <w:autoSpaceDN w:val="0"/>
              <w:adjustRightInd w:val="0"/>
              <w:jc w:val="both"/>
              <w:rPr>
                <w:color w:val="000000"/>
                <w:szCs w:val="24"/>
              </w:rPr>
            </w:pPr>
          </w:p>
          <w:p w:rsidR="00A26F7A" w:rsidRDefault="00A26F7A" w:rsidP="00A26F7A">
            <w:pPr>
              <w:autoSpaceDE w:val="0"/>
              <w:autoSpaceDN w:val="0"/>
              <w:adjustRightInd w:val="0"/>
              <w:jc w:val="both"/>
              <w:rPr>
                <w:i/>
                <w:iCs/>
                <w:szCs w:val="24"/>
              </w:rPr>
            </w:pPr>
            <w:r w:rsidRPr="00A26F7A">
              <w:rPr>
                <w:color w:val="000000"/>
                <w:szCs w:val="24"/>
              </w:rPr>
              <w:t>3. Remdamasi šia informacija, Komisija ne vėliau kaip 2012 m. kovo 26 d. Europos Parlamentui ir Tarybai turi pateikti pranešimą apie šio pamatinio sprendimo taikymą, prireikus kartu su teisėkūros pasiūlymais.</w:t>
            </w:r>
          </w:p>
        </w:tc>
        <w:tc>
          <w:tcPr>
            <w:tcW w:w="6804" w:type="dxa"/>
            <w:tcBorders>
              <w:bottom w:val="single" w:sz="4" w:space="0" w:color="auto"/>
            </w:tcBorders>
          </w:tcPr>
          <w:p w:rsidR="00F12FB6" w:rsidRPr="00F12FB6" w:rsidRDefault="00F12FB6" w:rsidP="00F12FB6">
            <w:pPr>
              <w:pStyle w:val="tactin"/>
              <w:spacing w:before="0" w:beforeAutospacing="0" w:after="0" w:afterAutospacing="0"/>
              <w:jc w:val="both"/>
              <w:rPr>
                <w:b/>
                <w:bCs/>
              </w:rPr>
            </w:pPr>
            <w:r w:rsidRPr="00F12FB6">
              <w:rPr>
                <w:b/>
                <w:bCs/>
              </w:rPr>
              <w:lastRenderedPageBreak/>
              <w:t>Projektas</w:t>
            </w:r>
          </w:p>
          <w:p w:rsidR="00F12FB6" w:rsidRPr="00F12FB6" w:rsidRDefault="00F12FB6" w:rsidP="00F12FB6">
            <w:pPr>
              <w:pStyle w:val="tactin"/>
              <w:spacing w:before="0" w:beforeAutospacing="0" w:after="0" w:afterAutospacing="0"/>
              <w:jc w:val="both"/>
              <w:rPr>
                <w:b/>
                <w:bCs/>
              </w:rPr>
            </w:pPr>
            <w:r w:rsidRPr="00F12FB6">
              <w:rPr>
                <w:b/>
                <w:bCs/>
              </w:rPr>
              <w:t>13.</w:t>
            </w:r>
            <w:r w:rsidRPr="00F12FB6">
              <w:rPr>
                <w:b/>
                <w:bCs/>
              </w:rPr>
              <w:tab/>
              <w:t>Bendrieji Registro duomenys, nurodyti Nuostatų 11.11, 11.13–11.16 papunkčiuose, Registre tvarkomi nuo 2012 m. balandžio 27 d. ir tik tais atvejais, kai juos perduoda Europos Sąjungos valstybių narių centrinės institucijos, paskirtos vadovaujantis Pamatiniu sprendimu (toliau – Europos Sąjungos valstybių narių centrinės institucijos).</w:t>
            </w:r>
          </w:p>
          <w:p w:rsidR="00F12FB6" w:rsidRPr="00F12FB6" w:rsidRDefault="00F12FB6" w:rsidP="00F12FB6">
            <w:pPr>
              <w:pStyle w:val="tactin"/>
              <w:spacing w:before="0" w:beforeAutospacing="0" w:after="0" w:afterAutospacing="0"/>
              <w:jc w:val="both"/>
              <w:rPr>
                <w:b/>
                <w:bCs/>
              </w:rPr>
            </w:pPr>
            <w:r w:rsidRPr="00F12FB6">
              <w:rPr>
                <w:b/>
                <w:bCs/>
              </w:rPr>
              <w:t>35.</w:t>
            </w:r>
            <w:r w:rsidRPr="00F12FB6">
              <w:rPr>
                <w:b/>
                <w:bCs/>
              </w:rPr>
              <w:tab/>
              <w:t>Registro duomenys, nurodyti Nuostatų 27–30 punktuose, Registre tvarkomi nuo 2012 m. balandžio 27 d. ir tik tais atvejais, kai juos perduoda Europos Sąjungos valstybių narių centrinės institucijos.</w:t>
            </w:r>
          </w:p>
          <w:p w:rsidR="00F12FB6" w:rsidRDefault="00F12FB6" w:rsidP="00F12FB6">
            <w:pPr>
              <w:pStyle w:val="tactin"/>
              <w:spacing w:before="0" w:beforeAutospacing="0" w:after="0" w:afterAutospacing="0"/>
              <w:jc w:val="both"/>
              <w:rPr>
                <w:bCs/>
              </w:rPr>
            </w:pPr>
            <w:r>
              <w:rPr>
                <w:bCs/>
              </w:rPr>
              <w:t>Taisyklės</w:t>
            </w:r>
          </w:p>
          <w:p w:rsidR="00F12FB6" w:rsidRPr="000F4EEC" w:rsidRDefault="00F12FB6" w:rsidP="00F12FB6">
            <w:pPr>
              <w:pStyle w:val="tactin"/>
              <w:spacing w:before="0" w:beforeAutospacing="0" w:after="0" w:afterAutospacing="0"/>
              <w:jc w:val="both"/>
              <w:rPr>
                <w:b/>
                <w:bCs/>
              </w:rPr>
            </w:pPr>
            <w:r w:rsidRPr="002830D5">
              <w:rPr>
                <w:bCs/>
              </w:rPr>
              <w:t>70. Nuo Europos nuosprendžių registrų informacinės sistemos ECRIS veiklos pradžios su kitomis Europos Sąjungos valstybėmis narėmis keičiamasi Registro duomenimis ir informacija elektroniniu būdu per ECRIS sistemą.</w:t>
            </w:r>
          </w:p>
          <w:p w:rsidR="002C4618" w:rsidRDefault="002C4618" w:rsidP="006B08CC">
            <w:pPr>
              <w:pStyle w:val="Pagrindinistekstas"/>
              <w:tabs>
                <w:tab w:val="left" w:pos="851"/>
              </w:tabs>
              <w:jc w:val="both"/>
              <w:rPr>
                <w:b w:val="0"/>
              </w:rPr>
            </w:pPr>
          </w:p>
          <w:p w:rsidR="002C4618" w:rsidRPr="00F12FB6" w:rsidRDefault="00BB3391" w:rsidP="002C4618">
            <w:pPr>
              <w:jc w:val="both"/>
            </w:pPr>
            <w:r w:rsidRPr="00F12FB6">
              <w:rPr>
                <w:szCs w:val="24"/>
              </w:rPr>
              <w:t>Nutarimas</w:t>
            </w:r>
          </w:p>
          <w:p w:rsidR="00BB3391" w:rsidRPr="006B08CC" w:rsidRDefault="00BB3391" w:rsidP="00BB3391">
            <w:pPr>
              <w:pStyle w:val="Pagrindinistekstas"/>
              <w:tabs>
                <w:tab w:val="left" w:pos="851"/>
              </w:tabs>
              <w:jc w:val="both"/>
              <w:rPr>
                <w:b w:val="0"/>
              </w:rPr>
            </w:pPr>
            <w:r w:rsidRPr="00F12FB6">
              <w:rPr>
                <w:b w:val="0"/>
              </w:rPr>
              <w:t xml:space="preserve">2. Pavesti Informatikos ir ryšių departamentui prie Lietuvos Respublikos vidaus reikalų ministerijos informuoti Europos </w:t>
            </w:r>
            <w:r w:rsidRPr="00F12FB6">
              <w:rPr>
                <w:b w:val="0"/>
              </w:rPr>
              <w:lastRenderedPageBreak/>
              <w:t>Sąjungos Tarybos generalinį sekretoriatą ir Europos Komisiją apie paskirtą Lietuvos Respublikos centrinę instituciją ir pateikti jiems šio nutarimo ir kitų teisės aktų, perkeliančių į nacionalinę teisę sprendimą 2009/315/TVR, tekstus.</w:t>
            </w:r>
          </w:p>
        </w:tc>
        <w:tc>
          <w:tcPr>
            <w:tcW w:w="2410" w:type="dxa"/>
          </w:tcPr>
          <w:p w:rsidR="00BB3391" w:rsidRPr="00FC62E0" w:rsidRDefault="00BB3391" w:rsidP="00BB3391">
            <w:pPr>
              <w:keepNext/>
              <w:jc w:val="center"/>
              <w:outlineLvl w:val="1"/>
              <w:rPr>
                <w:bCs/>
              </w:rPr>
            </w:pPr>
            <w:r w:rsidRPr="00FC62E0">
              <w:rPr>
                <w:bCs/>
              </w:rPr>
              <w:lastRenderedPageBreak/>
              <w:t>Visiškas.</w:t>
            </w:r>
          </w:p>
          <w:p w:rsidR="00A26F7A" w:rsidRPr="005E370D" w:rsidRDefault="00A26F7A" w:rsidP="0045073B">
            <w:pPr>
              <w:keepNext/>
              <w:jc w:val="both"/>
              <w:outlineLvl w:val="1"/>
              <w:rPr>
                <w:bCs/>
              </w:rPr>
            </w:pPr>
          </w:p>
        </w:tc>
      </w:tr>
      <w:tr w:rsidR="00F8431C" w:rsidTr="00F14AD5">
        <w:tc>
          <w:tcPr>
            <w:tcW w:w="5920" w:type="dxa"/>
            <w:tcBorders>
              <w:right w:val="single" w:sz="4" w:space="0" w:color="auto"/>
            </w:tcBorders>
          </w:tcPr>
          <w:p w:rsidR="006B08CC" w:rsidRDefault="00A26F7A" w:rsidP="006C6EA6">
            <w:pPr>
              <w:jc w:val="both"/>
              <w:rPr>
                <w:i/>
                <w:lang w:eastAsia="en-US"/>
              </w:rPr>
            </w:pPr>
            <w:r w:rsidRPr="00A26F7A">
              <w:rPr>
                <w:i/>
                <w:lang w:eastAsia="en-US"/>
              </w:rPr>
              <w:t>14 straipsnis</w:t>
            </w:r>
          </w:p>
          <w:p w:rsidR="00A26F7A" w:rsidRDefault="00A26F7A" w:rsidP="00A26F7A">
            <w:pPr>
              <w:autoSpaceDE w:val="0"/>
              <w:autoSpaceDN w:val="0"/>
              <w:adjustRightInd w:val="0"/>
              <w:jc w:val="both"/>
              <w:rPr>
                <w:b/>
                <w:bCs/>
                <w:color w:val="000000"/>
                <w:szCs w:val="24"/>
              </w:rPr>
            </w:pPr>
            <w:r w:rsidRPr="00A26F7A">
              <w:rPr>
                <w:b/>
                <w:bCs/>
                <w:color w:val="000000"/>
                <w:szCs w:val="24"/>
              </w:rPr>
              <w:t>Įsigaliojimas</w:t>
            </w:r>
          </w:p>
          <w:p w:rsidR="00A26F7A" w:rsidRPr="00A26F7A" w:rsidRDefault="00A26F7A" w:rsidP="00A26F7A">
            <w:pPr>
              <w:autoSpaceDE w:val="0"/>
              <w:autoSpaceDN w:val="0"/>
              <w:adjustRightInd w:val="0"/>
              <w:jc w:val="both"/>
              <w:rPr>
                <w:i/>
                <w:lang w:eastAsia="en-US"/>
              </w:rPr>
            </w:pPr>
            <w:r w:rsidRPr="00A26F7A">
              <w:rPr>
                <w:color w:val="000000"/>
                <w:szCs w:val="24"/>
              </w:rPr>
              <w:t xml:space="preserve">Šis pamatinis sprendimas įsigalioja dvidešimtą dieną po jo paskelbimo </w:t>
            </w:r>
            <w:r w:rsidRPr="00A26F7A">
              <w:rPr>
                <w:i/>
                <w:iCs/>
                <w:color w:val="000000"/>
                <w:szCs w:val="24"/>
              </w:rPr>
              <w:t>Europos Sąjungos oficialiajame leidinyje</w:t>
            </w:r>
            <w:r w:rsidRPr="00A26F7A">
              <w:rPr>
                <w:color w:val="000000"/>
                <w:szCs w:val="24"/>
              </w:rPr>
              <w:t>.</w:t>
            </w:r>
          </w:p>
        </w:tc>
        <w:tc>
          <w:tcPr>
            <w:tcW w:w="6804" w:type="dxa"/>
            <w:tcBorders>
              <w:top w:val="single" w:sz="4" w:space="0" w:color="auto"/>
              <w:left w:val="single" w:sz="4" w:space="0" w:color="auto"/>
              <w:bottom w:val="single" w:sz="4" w:space="0" w:color="auto"/>
              <w:right w:val="single" w:sz="4" w:space="0" w:color="auto"/>
            </w:tcBorders>
          </w:tcPr>
          <w:p w:rsidR="00553B5D" w:rsidRPr="00624B97" w:rsidRDefault="00553B5D" w:rsidP="006C6EA6">
            <w:pPr>
              <w:jc w:val="both"/>
              <w:rPr>
                <w:b/>
                <w:szCs w:val="24"/>
              </w:rPr>
            </w:pPr>
          </w:p>
        </w:tc>
        <w:tc>
          <w:tcPr>
            <w:tcW w:w="2410" w:type="dxa"/>
            <w:tcBorders>
              <w:left w:val="single" w:sz="4" w:space="0" w:color="auto"/>
            </w:tcBorders>
          </w:tcPr>
          <w:p w:rsidR="00F8431C" w:rsidRDefault="005D2D76" w:rsidP="006B08CC">
            <w:pPr>
              <w:keepNext/>
              <w:jc w:val="center"/>
              <w:outlineLvl w:val="1"/>
              <w:rPr>
                <w:b/>
              </w:rPr>
            </w:pPr>
            <w:r w:rsidRPr="005D2D76">
              <w:t>Visiškas.</w:t>
            </w:r>
          </w:p>
        </w:tc>
      </w:tr>
      <w:tr w:rsidR="00BB057B" w:rsidTr="00F14AD5">
        <w:tc>
          <w:tcPr>
            <w:tcW w:w="5920" w:type="dxa"/>
            <w:tcBorders>
              <w:right w:val="single" w:sz="4" w:space="0" w:color="auto"/>
            </w:tcBorders>
          </w:tcPr>
          <w:p w:rsidR="00BB057B" w:rsidRPr="00BB057B" w:rsidRDefault="00BB057B" w:rsidP="00BB057B">
            <w:pPr>
              <w:jc w:val="both"/>
              <w:rPr>
                <w:i/>
                <w:lang w:eastAsia="en-US"/>
              </w:rPr>
            </w:pPr>
            <w:r w:rsidRPr="00BB057B">
              <w:rPr>
                <w:b/>
                <w:i/>
              </w:rPr>
              <w:t xml:space="preserve">Tarybos pamatinio sprendimo priedas </w:t>
            </w:r>
          </w:p>
        </w:tc>
        <w:tc>
          <w:tcPr>
            <w:tcW w:w="6804" w:type="dxa"/>
            <w:tcBorders>
              <w:top w:val="single" w:sz="4" w:space="0" w:color="auto"/>
              <w:left w:val="single" w:sz="4" w:space="0" w:color="auto"/>
              <w:bottom w:val="single" w:sz="4" w:space="0" w:color="auto"/>
              <w:right w:val="single" w:sz="4" w:space="0" w:color="auto"/>
            </w:tcBorders>
          </w:tcPr>
          <w:p w:rsidR="00F12FB6" w:rsidRDefault="00F12FB6" w:rsidP="00F12FB6">
            <w:pPr>
              <w:jc w:val="both"/>
            </w:pPr>
            <w:r>
              <w:t>Taisyklės</w:t>
            </w:r>
          </w:p>
          <w:p w:rsidR="00BB057B" w:rsidRDefault="00F12FB6" w:rsidP="00F12FB6">
            <w:pPr>
              <w:jc w:val="both"/>
            </w:pPr>
            <w:r>
              <w:t>59. Europos Sąjungos valstybių narių centrinėms institucijoms ir Europos Sąjungos valstybių narių piliečiams Registro duomenys, Registro informacija, Registrui pateikti dokumentai ir (arba) jų kopijos teikiami vadovaujantis Pamatiniu sprendimu ir ECRIS sprendimu.</w:t>
            </w:r>
          </w:p>
          <w:p w:rsidR="00F12FB6" w:rsidRDefault="00F12FB6" w:rsidP="00F12FB6">
            <w:pPr>
              <w:jc w:val="both"/>
            </w:pPr>
            <w:r w:rsidRPr="00F12FB6">
              <w:t>60. Europos Sąjungos valstybių narių centrinės institucijos prašymus Informatikos ir ryšių departamentui dėl Registro duomenų apie fizinį asmenį ir atsakymus į Informatikos ir ryšių departamento prašymus dėl teistumo duomenų pateikia naudojant Pamatinio sprendimo prieduose nustatytas formas, lietuvių arba anglų kalbomis elektroninių ryšių priemonėmis arba paštu.</w:t>
            </w:r>
          </w:p>
          <w:p w:rsidR="00F12FB6" w:rsidRDefault="00F12FB6" w:rsidP="00F12FB6">
            <w:pPr>
              <w:jc w:val="both"/>
            </w:pPr>
            <w:r>
              <w:t>61. Jeigu Europos Sąjungos valstybės narės centrinės institucijos prašymas pateikiamas baudžiamosios bylos tikslais, prie Pamatinio sprendimo priede nustatytos formos atsakymo pridedamas Taisyklių 34 priede nustatytos formos Registro išrašas su informacija apie Registro duomenų bazėje įrašytus fiziniam asmeniui Lietuvos Respublikos teismų priimtus apkaltinamuosius nuosprendžius, pagal kuriuos teistumas nėra išnykęs ar panaikintas, taip pat užsienio valstybių teismų priimtus apkaltinamuosius nuosprendžius, jei nuosprendį priėmusi valstybė nėra informavusi Registro valdytojo apie teistumo išnykimą ar panaikinimą.</w:t>
            </w:r>
          </w:p>
          <w:p w:rsidR="00F12FB6" w:rsidRDefault="00F12FB6" w:rsidP="00F12FB6">
            <w:pPr>
              <w:jc w:val="both"/>
            </w:pPr>
            <w:r>
              <w:t>62. Jeigu Europos Sąjungos valstybės narės centrinės institucijos prašymas pateikiamas ne baudžiamosios bylos tikslais, informacija teikiama įvertinus tokio prašymo teisinį pagrindą. Tais atvejais, kuomet atitinkamas Lietuvos Respublikos teisės aktas reglamentuoja asmens teisių ir laisvių suvaržymą, atsižvelgiant į asmens teistumą, prie Pamatinio sprendimo priede nustatytos formos atsakymo pridedamas Taisyklių 34 priede nustatytos formos Registro išrašas su informacija apie Registro duomenų bazėje įrašytus fiziniam asmeniui Lietuvos Respublikos teismų priimtus apkaltinamuosius nuosprendžius – vadovaujantis atitinkamo Lietuvos Respublikos teisės akto reikalavimais, taip pat užsienio valstybių teismų priimtus apkaltinamuosius nuosprendžius, dėl kurių teistumo išnykimo ar panaikinimo ir tolimesnio perdavimo apribojimų nuosprendį priėmusi valstybė nėra informavusi Registro valdytojo. Tais atvejais, kuomet atitinkamas Lietuvos Respublikos teisės aktas nereglamentuoja asmens teisių ir laisvių suvaržymo, atsižvelgiant į asmens teistumą, arba tokio teisės akto nėra, Registro valdytojas kreipiasi į prašymą pateikusią Europos Sąjungos valstybės narės centrinę instituciją su prašymu pateikti asmens, dėl kurio gautas prašymas, sutikimą tvarkyti jo ypatingus asmens duomenis jam žinomu tikslu.</w:t>
            </w:r>
          </w:p>
        </w:tc>
        <w:tc>
          <w:tcPr>
            <w:tcW w:w="2410" w:type="dxa"/>
            <w:tcBorders>
              <w:left w:val="single" w:sz="4" w:space="0" w:color="auto"/>
            </w:tcBorders>
          </w:tcPr>
          <w:p w:rsidR="00A07FDD" w:rsidRPr="00BB057B" w:rsidRDefault="00F12FB6" w:rsidP="00F12FB6">
            <w:pPr>
              <w:keepNext/>
              <w:jc w:val="center"/>
              <w:outlineLvl w:val="1"/>
            </w:pPr>
            <w:r>
              <w:t>Visiškas.</w:t>
            </w:r>
          </w:p>
        </w:tc>
      </w:tr>
    </w:tbl>
    <w:p w:rsidR="004C78A8" w:rsidRDefault="004C78A8" w:rsidP="00F14AD5"/>
    <w:sectPr w:rsidR="004C78A8" w:rsidSect="00066E49">
      <w:headerReference w:type="even" r:id="rId7"/>
      <w:headerReference w:type="default" r:id="rId8"/>
      <w:footerReference w:type="even" r:id="rId9"/>
      <w:pgSz w:w="16840" w:h="11907" w:orient="landscape" w:code="9"/>
      <w:pgMar w:top="1134" w:right="56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483" w:rsidRDefault="004B0483">
      <w:r>
        <w:separator/>
      </w:r>
    </w:p>
  </w:endnote>
  <w:endnote w:type="continuationSeparator" w:id="0">
    <w:p w:rsidR="004B0483" w:rsidRDefault="004B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63" w:rsidRDefault="00971E63" w:rsidP="000A4A74">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1E63" w:rsidRDefault="00971E6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483" w:rsidRDefault="004B0483">
      <w:r>
        <w:separator/>
      </w:r>
    </w:p>
  </w:footnote>
  <w:footnote w:type="continuationSeparator" w:id="0">
    <w:p w:rsidR="004B0483" w:rsidRDefault="004B0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63" w:rsidRDefault="00971E63" w:rsidP="00D243C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71E63" w:rsidRDefault="00971E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E63" w:rsidRPr="00BB3391" w:rsidRDefault="00971E63" w:rsidP="00D243C6">
    <w:pPr>
      <w:pStyle w:val="Antrats"/>
      <w:framePr w:wrap="around" w:vAnchor="text" w:hAnchor="margin" w:xAlign="center" w:y="1"/>
      <w:rPr>
        <w:rStyle w:val="Puslapionumeris"/>
        <w:sz w:val="24"/>
        <w:szCs w:val="24"/>
      </w:rPr>
    </w:pPr>
    <w:r w:rsidRPr="00BB3391">
      <w:rPr>
        <w:rStyle w:val="Puslapionumeris"/>
        <w:sz w:val="24"/>
        <w:szCs w:val="24"/>
      </w:rPr>
      <w:fldChar w:fldCharType="begin"/>
    </w:r>
    <w:r w:rsidRPr="00BB3391">
      <w:rPr>
        <w:rStyle w:val="Puslapionumeris"/>
        <w:sz w:val="24"/>
        <w:szCs w:val="24"/>
      </w:rPr>
      <w:instrText xml:space="preserve">PAGE  </w:instrText>
    </w:r>
    <w:r w:rsidRPr="00BB3391">
      <w:rPr>
        <w:rStyle w:val="Puslapionumeris"/>
        <w:sz w:val="24"/>
        <w:szCs w:val="24"/>
      </w:rPr>
      <w:fldChar w:fldCharType="separate"/>
    </w:r>
    <w:r w:rsidR="00BE359A">
      <w:rPr>
        <w:rStyle w:val="Puslapionumeris"/>
        <w:noProof/>
        <w:sz w:val="24"/>
        <w:szCs w:val="24"/>
      </w:rPr>
      <w:t>4</w:t>
    </w:r>
    <w:r w:rsidRPr="00BB3391">
      <w:rPr>
        <w:rStyle w:val="Puslapionumeris"/>
        <w:sz w:val="24"/>
        <w:szCs w:val="24"/>
      </w:rPr>
      <w:fldChar w:fldCharType="end"/>
    </w:r>
  </w:p>
  <w:p w:rsidR="00971E63" w:rsidRDefault="00971E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1584B"/>
    <w:multiLevelType w:val="hybridMultilevel"/>
    <w:tmpl w:val="1C02D564"/>
    <w:lvl w:ilvl="0" w:tplc="C4765C9A">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FD63572"/>
    <w:multiLevelType w:val="hybridMultilevel"/>
    <w:tmpl w:val="B20AC0A4"/>
    <w:lvl w:ilvl="0" w:tplc="32648CDE">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1F9"/>
    <w:rsid w:val="00000066"/>
    <w:rsid w:val="000227A1"/>
    <w:rsid w:val="000262C0"/>
    <w:rsid w:val="00043380"/>
    <w:rsid w:val="00047BDD"/>
    <w:rsid w:val="00066E49"/>
    <w:rsid w:val="000677E7"/>
    <w:rsid w:val="000720BC"/>
    <w:rsid w:val="00083A55"/>
    <w:rsid w:val="000871AD"/>
    <w:rsid w:val="0009140D"/>
    <w:rsid w:val="000A4A74"/>
    <w:rsid w:val="000B03D8"/>
    <w:rsid w:val="000B5135"/>
    <w:rsid w:val="000C730E"/>
    <w:rsid w:val="000D345D"/>
    <w:rsid w:val="000E0862"/>
    <w:rsid w:val="000F099A"/>
    <w:rsid w:val="000F4EEC"/>
    <w:rsid w:val="000F60BA"/>
    <w:rsid w:val="00106285"/>
    <w:rsid w:val="00131777"/>
    <w:rsid w:val="00141275"/>
    <w:rsid w:val="0014236B"/>
    <w:rsid w:val="00143EC3"/>
    <w:rsid w:val="00151E0C"/>
    <w:rsid w:val="001606CD"/>
    <w:rsid w:val="00164255"/>
    <w:rsid w:val="00165F6D"/>
    <w:rsid w:val="001967E8"/>
    <w:rsid w:val="001C43AF"/>
    <w:rsid w:val="001D18F0"/>
    <w:rsid w:val="001D6D71"/>
    <w:rsid w:val="001E1763"/>
    <w:rsid w:val="001E237D"/>
    <w:rsid w:val="00230E7A"/>
    <w:rsid w:val="00232C29"/>
    <w:rsid w:val="0024604D"/>
    <w:rsid w:val="0025168D"/>
    <w:rsid w:val="00254E0F"/>
    <w:rsid w:val="0026351A"/>
    <w:rsid w:val="00274966"/>
    <w:rsid w:val="002830D5"/>
    <w:rsid w:val="00287208"/>
    <w:rsid w:val="002959F8"/>
    <w:rsid w:val="00296D8C"/>
    <w:rsid w:val="002A20F2"/>
    <w:rsid w:val="002A3B3A"/>
    <w:rsid w:val="002A7018"/>
    <w:rsid w:val="002B2DA0"/>
    <w:rsid w:val="002B7E1A"/>
    <w:rsid w:val="002C4618"/>
    <w:rsid w:val="002C7562"/>
    <w:rsid w:val="002D3B84"/>
    <w:rsid w:val="002F0E86"/>
    <w:rsid w:val="002F34CB"/>
    <w:rsid w:val="00301D0D"/>
    <w:rsid w:val="003314D4"/>
    <w:rsid w:val="00344078"/>
    <w:rsid w:val="00346431"/>
    <w:rsid w:val="003476C2"/>
    <w:rsid w:val="00363C3E"/>
    <w:rsid w:val="00370A8E"/>
    <w:rsid w:val="00372E87"/>
    <w:rsid w:val="003C76F7"/>
    <w:rsid w:val="003D1154"/>
    <w:rsid w:val="003E3726"/>
    <w:rsid w:val="003E5C01"/>
    <w:rsid w:val="003E76F2"/>
    <w:rsid w:val="003F4B2C"/>
    <w:rsid w:val="00416AD7"/>
    <w:rsid w:val="00420CC0"/>
    <w:rsid w:val="00445AD9"/>
    <w:rsid w:val="0045073B"/>
    <w:rsid w:val="00463DB7"/>
    <w:rsid w:val="00475D4D"/>
    <w:rsid w:val="00484F10"/>
    <w:rsid w:val="00485C04"/>
    <w:rsid w:val="004A5FEA"/>
    <w:rsid w:val="004B0483"/>
    <w:rsid w:val="004B1121"/>
    <w:rsid w:val="004B5790"/>
    <w:rsid w:val="004B60DE"/>
    <w:rsid w:val="004C78A8"/>
    <w:rsid w:val="004D0A8A"/>
    <w:rsid w:val="004E7578"/>
    <w:rsid w:val="005049F8"/>
    <w:rsid w:val="0051062A"/>
    <w:rsid w:val="00520880"/>
    <w:rsid w:val="00521131"/>
    <w:rsid w:val="005238A4"/>
    <w:rsid w:val="00523D93"/>
    <w:rsid w:val="00527AC4"/>
    <w:rsid w:val="005357AE"/>
    <w:rsid w:val="0054716F"/>
    <w:rsid w:val="00547A4F"/>
    <w:rsid w:val="00553B5D"/>
    <w:rsid w:val="0055457E"/>
    <w:rsid w:val="0055750A"/>
    <w:rsid w:val="00561373"/>
    <w:rsid w:val="005C0E4C"/>
    <w:rsid w:val="005C184A"/>
    <w:rsid w:val="005D2D76"/>
    <w:rsid w:val="005E1AB3"/>
    <w:rsid w:val="005E22DD"/>
    <w:rsid w:val="005E370D"/>
    <w:rsid w:val="005E55F5"/>
    <w:rsid w:val="00610654"/>
    <w:rsid w:val="0061615E"/>
    <w:rsid w:val="00623175"/>
    <w:rsid w:val="00624B97"/>
    <w:rsid w:val="00641B94"/>
    <w:rsid w:val="00654EEE"/>
    <w:rsid w:val="00656854"/>
    <w:rsid w:val="0066471E"/>
    <w:rsid w:val="00666F1E"/>
    <w:rsid w:val="00683DCE"/>
    <w:rsid w:val="00691238"/>
    <w:rsid w:val="006A1BF5"/>
    <w:rsid w:val="006A4C95"/>
    <w:rsid w:val="006A6EAF"/>
    <w:rsid w:val="006B08CC"/>
    <w:rsid w:val="006B229D"/>
    <w:rsid w:val="006B2B35"/>
    <w:rsid w:val="006C6EA6"/>
    <w:rsid w:val="006D61F9"/>
    <w:rsid w:val="006E460B"/>
    <w:rsid w:val="006F5A22"/>
    <w:rsid w:val="006F6127"/>
    <w:rsid w:val="00700BF0"/>
    <w:rsid w:val="00741DB9"/>
    <w:rsid w:val="00765B7D"/>
    <w:rsid w:val="00775E4D"/>
    <w:rsid w:val="00797F15"/>
    <w:rsid w:val="007A2C8A"/>
    <w:rsid w:val="007B020D"/>
    <w:rsid w:val="007C2904"/>
    <w:rsid w:val="007D3592"/>
    <w:rsid w:val="007D45D8"/>
    <w:rsid w:val="007F385D"/>
    <w:rsid w:val="00801453"/>
    <w:rsid w:val="00811F00"/>
    <w:rsid w:val="00813158"/>
    <w:rsid w:val="00820118"/>
    <w:rsid w:val="008243F7"/>
    <w:rsid w:val="00843D7D"/>
    <w:rsid w:val="00843E6A"/>
    <w:rsid w:val="0085657F"/>
    <w:rsid w:val="00857155"/>
    <w:rsid w:val="008576A0"/>
    <w:rsid w:val="00857AE3"/>
    <w:rsid w:val="00875252"/>
    <w:rsid w:val="008838AB"/>
    <w:rsid w:val="008B3FF8"/>
    <w:rsid w:val="008B4BDF"/>
    <w:rsid w:val="008C57A9"/>
    <w:rsid w:val="008E570A"/>
    <w:rsid w:val="008E634D"/>
    <w:rsid w:val="008E713B"/>
    <w:rsid w:val="008F76B3"/>
    <w:rsid w:val="009142FC"/>
    <w:rsid w:val="00925AAE"/>
    <w:rsid w:val="00927AB4"/>
    <w:rsid w:val="009324CB"/>
    <w:rsid w:val="00934520"/>
    <w:rsid w:val="00940B2F"/>
    <w:rsid w:val="009573FD"/>
    <w:rsid w:val="0096689E"/>
    <w:rsid w:val="00971E63"/>
    <w:rsid w:val="0099017F"/>
    <w:rsid w:val="009911DD"/>
    <w:rsid w:val="009975D3"/>
    <w:rsid w:val="009A5206"/>
    <w:rsid w:val="009B3772"/>
    <w:rsid w:val="009B6557"/>
    <w:rsid w:val="009E1950"/>
    <w:rsid w:val="009E3DD3"/>
    <w:rsid w:val="009F2770"/>
    <w:rsid w:val="009F67FA"/>
    <w:rsid w:val="00A07FDD"/>
    <w:rsid w:val="00A161ED"/>
    <w:rsid w:val="00A16688"/>
    <w:rsid w:val="00A203E6"/>
    <w:rsid w:val="00A26F7A"/>
    <w:rsid w:val="00A32AF0"/>
    <w:rsid w:val="00A41C83"/>
    <w:rsid w:val="00A421D1"/>
    <w:rsid w:val="00A45881"/>
    <w:rsid w:val="00A46B0F"/>
    <w:rsid w:val="00A605F6"/>
    <w:rsid w:val="00A70F28"/>
    <w:rsid w:val="00A7134A"/>
    <w:rsid w:val="00A80BE8"/>
    <w:rsid w:val="00A839F2"/>
    <w:rsid w:val="00A844AC"/>
    <w:rsid w:val="00AA6866"/>
    <w:rsid w:val="00AB04C2"/>
    <w:rsid w:val="00AD0FD6"/>
    <w:rsid w:val="00AD198E"/>
    <w:rsid w:val="00AD5488"/>
    <w:rsid w:val="00AE5875"/>
    <w:rsid w:val="00AF047B"/>
    <w:rsid w:val="00AF079B"/>
    <w:rsid w:val="00AF219E"/>
    <w:rsid w:val="00B073C5"/>
    <w:rsid w:val="00B14EB5"/>
    <w:rsid w:val="00B30DE5"/>
    <w:rsid w:val="00B46327"/>
    <w:rsid w:val="00B534D8"/>
    <w:rsid w:val="00B76346"/>
    <w:rsid w:val="00B9491A"/>
    <w:rsid w:val="00B95C07"/>
    <w:rsid w:val="00BA1363"/>
    <w:rsid w:val="00BA75BA"/>
    <w:rsid w:val="00BB057B"/>
    <w:rsid w:val="00BB1638"/>
    <w:rsid w:val="00BB3391"/>
    <w:rsid w:val="00BD0146"/>
    <w:rsid w:val="00BE359A"/>
    <w:rsid w:val="00BF47F8"/>
    <w:rsid w:val="00C10B25"/>
    <w:rsid w:val="00C1578F"/>
    <w:rsid w:val="00C452D2"/>
    <w:rsid w:val="00C545A9"/>
    <w:rsid w:val="00C61A6B"/>
    <w:rsid w:val="00C668A0"/>
    <w:rsid w:val="00C70136"/>
    <w:rsid w:val="00C710ED"/>
    <w:rsid w:val="00C80D04"/>
    <w:rsid w:val="00C81C12"/>
    <w:rsid w:val="00CB7542"/>
    <w:rsid w:val="00CC5A6B"/>
    <w:rsid w:val="00CC712A"/>
    <w:rsid w:val="00CE35FE"/>
    <w:rsid w:val="00CF7373"/>
    <w:rsid w:val="00D007D0"/>
    <w:rsid w:val="00D03190"/>
    <w:rsid w:val="00D05CD0"/>
    <w:rsid w:val="00D243C6"/>
    <w:rsid w:val="00D31329"/>
    <w:rsid w:val="00D43022"/>
    <w:rsid w:val="00D45AF9"/>
    <w:rsid w:val="00D50064"/>
    <w:rsid w:val="00D92B1D"/>
    <w:rsid w:val="00DA777B"/>
    <w:rsid w:val="00DC0B43"/>
    <w:rsid w:val="00DE28D3"/>
    <w:rsid w:val="00DE7AF8"/>
    <w:rsid w:val="00DF49A9"/>
    <w:rsid w:val="00DF4E13"/>
    <w:rsid w:val="00DF55CD"/>
    <w:rsid w:val="00E2093E"/>
    <w:rsid w:val="00E23745"/>
    <w:rsid w:val="00E23790"/>
    <w:rsid w:val="00E61475"/>
    <w:rsid w:val="00E70890"/>
    <w:rsid w:val="00E82CC8"/>
    <w:rsid w:val="00E874CE"/>
    <w:rsid w:val="00E927CA"/>
    <w:rsid w:val="00E9656E"/>
    <w:rsid w:val="00EB5525"/>
    <w:rsid w:val="00EC082B"/>
    <w:rsid w:val="00F127C1"/>
    <w:rsid w:val="00F12FB6"/>
    <w:rsid w:val="00F13DD0"/>
    <w:rsid w:val="00F14AD5"/>
    <w:rsid w:val="00F243FB"/>
    <w:rsid w:val="00F30CE6"/>
    <w:rsid w:val="00F54398"/>
    <w:rsid w:val="00F73C35"/>
    <w:rsid w:val="00F7651A"/>
    <w:rsid w:val="00F80EAA"/>
    <w:rsid w:val="00F8431C"/>
    <w:rsid w:val="00F84953"/>
    <w:rsid w:val="00F86F55"/>
    <w:rsid w:val="00F93B6B"/>
    <w:rsid w:val="00FA2B28"/>
    <w:rsid w:val="00FB1E77"/>
    <w:rsid w:val="00FB41AD"/>
    <w:rsid w:val="00FC62E0"/>
    <w:rsid w:val="00FD204B"/>
    <w:rsid w:val="00FF47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4BB6DE-CDDD-4839-9FAF-73ED8078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both"/>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b/>
    </w:rPr>
  </w:style>
  <w:style w:type="paragraph" w:styleId="Pagrindinistekstas2">
    <w:name w:val="Body Text 2"/>
    <w:basedOn w:val="prastasis"/>
    <w:pPr>
      <w:jc w:val="both"/>
    </w:pPr>
  </w:style>
  <w:style w:type="paragraph" w:styleId="Porat">
    <w:name w:val="footer"/>
    <w:basedOn w:val="prastasis"/>
    <w:rsid w:val="000A4A74"/>
    <w:pPr>
      <w:tabs>
        <w:tab w:val="center" w:pos="4819"/>
        <w:tab w:val="right" w:pos="9638"/>
      </w:tabs>
    </w:pPr>
  </w:style>
  <w:style w:type="character" w:styleId="Puslapionumeris">
    <w:name w:val="page number"/>
    <w:basedOn w:val="Numatytasispastraiposriftas"/>
    <w:rsid w:val="000A4A74"/>
  </w:style>
  <w:style w:type="character" w:styleId="Komentaronuoroda">
    <w:name w:val="annotation reference"/>
    <w:uiPriority w:val="99"/>
    <w:semiHidden/>
    <w:unhideWhenUsed/>
    <w:rsid w:val="00700BF0"/>
    <w:rPr>
      <w:sz w:val="16"/>
      <w:szCs w:val="16"/>
    </w:rPr>
  </w:style>
  <w:style w:type="paragraph" w:styleId="Komentarotekstas">
    <w:name w:val="annotation text"/>
    <w:basedOn w:val="prastasis"/>
    <w:link w:val="KomentarotekstasDiagrama"/>
    <w:uiPriority w:val="99"/>
    <w:semiHidden/>
    <w:unhideWhenUsed/>
    <w:rsid w:val="00700BF0"/>
    <w:rPr>
      <w:sz w:val="20"/>
      <w:lang w:eastAsia="en-US"/>
    </w:rPr>
  </w:style>
  <w:style w:type="character" w:customStyle="1" w:styleId="KomentarotekstasDiagrama">
    <w:name w:val="Komentaro tekstas Diagrama"/>
    <w:link w:val="Komentarotekstas"/>
    <w:uiPriority w:val="99"/>
    <w:semiHidden/>
    <w:rsid w:val="00700BF0"/>
    <w:rPr>
      <w:lang w:val="lt-LT" w:eastAsia="en-US" w:bidi="ar-SA"/>
    </w:rPr>
  </w:style>
  <w:style w:type="paragraph" w:styleId="Debesliotekstas">
    <w:name w:val="Balloon Text"/>
    <w:basedOn w:val="prastasis"/>
    <w:semiHidden/>
    <w:rsid w:val="00700BF0"/>
    <w:rPr>
      <w:rFonts w:ascii="Tahoma" w:hAnsi="Tahoma" w:cs="Tahoma"/>
      <w:sz w:val="16"/>
      <w:szCs w:val="16"/>
    </w:rPr>
  </w:style>
  <w:style w:type="paragraph" w:styleId="prastasiniatinklio">
    <w:name w:val="Normal (Web)"/>
    <w:basedOn w:val="prastasis"/>
    <w:rsid w:val="005C184A"/>
    <w:pPr>
      <w:spacing w:before="100" w:beforeAutospacing="1" w:after="100" w:afterAutospacing="1"/>
    </w:pPr>
    <w:rPr>
      <w:szCs w:val="24"/>
    </w:rPr>
  </w:style>
  <w:style w:type="paragraph" w:styleId="Antrats">
    <w:name w:val="header"/>
    <w:basedOn w:val="prastasis"/>
    <w:link w:val="AntratsDiagrama"/>
    <w:rsid w:val="005C184A"/>
    <w:pPr>
      <w:tabs>
        <w:tab w:val="center" w:pos="4320"/>
        <w:tab w:val="right" w:pos="8640"/>
      </w:tabs>
    </w:pPr>
    <w:rPr>
      <w:sz w:val="20"/>
      <w:lang w:eastAsia="en-US"/>
    </w:rPr>
  </w:style>
  <w:style w:type="character" w:customStyle="1" w:styleId="AntratsDiagrama">
    <w:name w:val="Antraštės Diagrama"/>
    <w:link w:val="Antrats"/>
    <w:rsid w:val="005C184A"/>
    <w:rPr>
      <w:lang w:val="lt-LT" w:eastAsia="en-US" w:bidi="ar-SA"/>
    </w:rPr>
  </w:style>
  <w:style w:type="character" w:styleId="Grietas">
    <w:name w:val="Strong"/>
    <w:qFormat/>
    <w:rsid w:val="00CB7542"/>
    <w:rPr>
      <w:b/>
      <w:bCs/>
    </w:rPr>
  </w:style>
  <w:style w:type="paragraph" w:styleId="Komentarotema">
    <w:name w:val="annotation subject"/>
    <w:basedOn w:val="Komentarotekstas"/>
    <w:next w:val="Komentarotekstas"/>
    <w:semiHidden/>
    <w:rsid w:val="006A1BF5"/>
    <w:rPr>
      <w:b/>
      <w:bCs/>
      <w:lang w:eastAsia="lt-LT"/>
    </w:rPr>
  </w:style>
  <w:style w:type="character" w:customStyle="1" w:styleId="datadiena">
    <w:name w:val="datadiena"/>
    <w:basedOn w:val="Numatytasispastraiposriftas"/>
    <w:rsid w:val="00527AC4"/>
  </w:style>
  <w:style w:type="character" w:styleId="Emfaz">
    <w:name w:val="Emphasis"/>
    <w:qFormat/>
    <w:rsid w:val="000E0862"/>
    <w:rPr>
      <w:i/>
      <w:iCs/>
    </w:rPr>
  </w:style>
  <w:style w:type="paragraph" w:customStyle="1" w:styleId="preformatted">
    <w:name w:val="preformatted"/>
    <w:basedOn w:val="prastasis"/>
    <w:rsid w:val="00A80BE8"/>
    <w:pPr>
      <w:snapToGrid w:val="0"/>
    </w:pPr>
    <w:rPr>
      <w:rFonts w:ascii="Courier New" w:hAnsi="Courier New" w:cs="Courier New"/>
      <w:sz w:val="20"/>
    </w:rPr>
  </w:style>
  <w:style w:type="paragraph" w:customStyle="1" w:styleId="CM4">
    <w:name w:val="CM4"/>
    <w:basedOn w:val="prastasis"/>
    <w:next w:val="prastasis"/>
    <w:uiPriority w:val="99"/>
    <w:rsid w:val="00B30DE5"/>
    <w:pPr>
      <w:autoSpaceDE w:val="0"/>
      <w:autoSpaceDN w:val="0"/>
      <w:adjustRightInd w:val="0"/>
    </w:pPr>
    <w:rPr>
      <w:rFonts w:ascii="EUAlbertina" w:eastAsia="Calibri" w:hAnsi="EUAlbertina"/>
      <w:szCs w:val="24"/>
      <w:lang w:eastAsia="en-US"/>
    </w:rPr>
  </w:style>
  <w:style w:type="paragraph" w:customStyle="1" w:styleId="tajtip">
    <w:name w:val="tajtip"/>
    <w:basedOn w:val="prastasis"/>
    <w:uiPriority w:val="99"/>
    <w:rsid w:val="006E460B"/>
    <w:pPr>
      <w:spacing w:before="100" w:beforeAutospacing="1" w:after="100" w:afterAutospacing="1"/>
    </w:pPr>
    <w:rPr>
      <w:szCs w:val="24"/>
    </w:rPr>
  </w:style>
  <w:style w:type="paragraph" w:customStyle="1" w:styleId="tactin">
    <w:name w:val="tactin"/>
    <w:basedOn w:val="prastasis"/>
    <w:uiPriority w:val="99"/>
    <w:rsid w:val="006E460B"/>
    <w:pPr>
      <w:spacing w:before="100" w:beforeAutospacing="1" w:after="100" w:afterAutospacing="1"/>
    </w:pPr>
    <w:rPr>
      <w:szCs w:val="24"/>
    </w:rPr>
  </w:style>
  <w:style w:type="paragraph" w:customStyle="1" w:styleId="Preformatted0">
    <w:name w:val="Preformatted"/>
    <w:basedOn w:val="prastasis"/>
    <w:uiPriority w:val="99"/>
    <w:rsid w:val="00A421D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styleId="Hipersaitas">
    <w:name w:val="Hyperlink"/>
    <w:uiPriority w:val="99"/>
    <w:unhideWhenUsed/>
    <w:rsid w:val="00AD5488"/>
    <w:rPr>
      <w:strike w:val="0"/>
      <w:dstrike w:val="0"/>
      <w:color w:val="0000FF"/>
      <w:u w:val="none"/>
      <w:effect w:val="none"/>
    </w:rPr>
  </w:style>
  <w:style w:type="paragraph" w:styleId="Pataisymai">
    <w:name w:val="Revision"/>
    <w:hidden/>
    <w:uiPriority w:val="99"/>
    <w:semiHidden/>
    <w:rsid w:val="005049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195524">
      <w:bodyDiv w:val="1"/>
      <w:marLeft w:val="0"/>
      <w:marRight w:val="0"/>
      <w:marTop w:val="0"/>
      <w:marBottom w:val="0"/>
      <w:divBdr>
        <w:top w:val="none" w:sz="0" w:space="0" w:color="auto"/>
        <w:left w:val="none" w:sz="0" w:space="0" w:color="auto"/>
        <w:bottom w:val="none" w:sz="0" w:space="0" w:color="auto"/>
        <w:right w:val="none" w:sz="0" w:space="0" w:color="auto"/>
      </w:divBdr>
      <w:divsChild>
        <w:div w:id="37624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30148</Words>
  <Characters>17185</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2004/77/EB IR NACIONALINIŲ TEISĖS AKTŲ ATITIKTIES LENTELĖ</vt:lpstr>
      <vt:lpstr>DIREKTYVOS 2004/77/EB IR NACIONALINIŲ TEISĖS AKTŲ ATITIKTIES LENTELĖ</vt:lpstr>
    </vt:vector>
  </TitlesOfParts>
  <Company>Respublikinis Mitybos Centras</Company>
  <LinksUpToDate>false</LinksUpToDate>
  <CharactersWithSpaces>47239</CharactersWithSpaces>
  <SharedDoc>false</SharedDoc>
  <HLinks>
    <vt:vector size="6" baseType="variant">
      <vt:variant>
        <vt:i4>2949179</vt:i4>
      </vt:variant>
      <vt:variant>
        <vt:i4>0</vt:i4>
      </vt:variant>
      <vt:variant>
        <vt:i4>0</vt:i4>
      </vt:variant>
      <vt:variant>
        <vt:i4>5</vt:i4>
      </vt:variant>
      <vt:variant>
        <vt:lpwstr>http://www.infolex.lt/ta/78169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2019-03-19T08:04:00Z</dcterms:created>
  <dc:creator>m01869</dc:creator>
  <cp:lastModifiedBy>Nelė Zuj</cp:lastModifiedBy>
  <cp:lastPrinted>2012-03-08T10:28:00Z</cp:lastPrinted>
  <dcterms:modified xsi:type="dcterms:W3CDTF">2019-03-19T08:04:00Z</dcterms:modified>
  <cp:revision>2</cp:revision>
  <dc:title>DIREKTYVOS 2004/77/EB IR NACIONALINIŲ TEISĖS AKTŲ ATITIKTIES LENTELĖ</dc:title>
</cp:coreProperties>
</file>