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DBFBC" w14:textId="77777777" w:rsidR="00E623AD" w:rsidRPr="00E623AD" w:rsidRDefault="00FB462B" w:rsidP="00B516A7">
      <w:pPr>
        <w:jc w:val="center"/>
        <w:rPr>
          <w:b/>
          <w:szCs w:val="24"/>
        </w:rPr>
      </w:pPr>
      <w:r w:rsidRPr="00E623AD">
        <w:rPr>
          <w:b/>
          <w:szCs w:val="24"/>
        </w:rPr>
        <w:t xml:space="preserve">DERINIMO PAŽYMA </w:t>
      </w:r>
    </w:p>
    <w:p w14:paraId="4060CBFB" w14:textId="570672FF" w:rsidR="00B516A7" w:rsidRPr="00E623AD" w:rsidRDefault="00FB462B" w:rsidP="00E623AD">
      <w:pPr>
        <w:jc w:val="center"/>
        <w:rPr>
          <w:b/>
          <w:bCs/>
          <w:szCs w:val="24"/>
        </w:rPr>
      </w:pPr>
      <w:r w:rsidRPr="00E623AD">
        <w:rPr>
          <w:b/>
          <w:szCs w:val="24"/>
        </w:rPr>
        <w:t>DĖL</w:t>
      </w:r>
      <w:r w:rsidR="00E623AD" w:rsidRPr="00E623AD">
        <w:rPr>
          <w:b/>
          <w:szCs w:val="24"/>
        </w:rPr>
        <w:t xml:space="preserve"> </w:t>
      </w:r>
      <w:r w:rsidRPr="00E623AD">
        <w:rPr>
          <w:b/>
          <w:szCs w:val="24"/>
        </w:rPr>
        <w:t>LIETUVOS RESPUBLIKOS VYRIAUSYBĖS NUTARIMO</w:t>
      </w:r>
    </w:p>
    <w:p w14:paraId="5C7E27C9" w14:textId="2AE4C725" w:rsidR="00B516A7" w:rsidRPr="00E623AD" w:rsidRDefault="00E623AD" w:rsidP="00B516A7">
      <w:pPr>
        <w:pStyle w:val="Heading1"/>
        <w:spacing w:before="0" w:line="240" w:lineRule="auto"/>
        <w:jc w:val="center"/>
        <w:rPr>
          <w:rFonts w:ascii="Times New Roman" w:hAnsi="Times New Roman"/>
          <w:bCs w:val="0"/>
          <w:color w:val="auto"/>
          <w:sz w:val="24"/>
          <w:szCs w:val="24"/>
        </w:rPr>
      </w:pPr>
      <w:r>
        <w:rPr>
          <w:rFonts w:ascii="Times New Roman" w:hAnsi="Times New Roman"/>
          <w:color w:val="auto"/>
          <w:sz w:val="24"/>
          <w:szCs w:val="24"/>
        </w:rPr>
        <w:t>„</w:t>
      </w:r>
      <w:r w:rsidR="00DE773B" w:rsidRPr="00E623AD">
        <w:rPr>
          <w:rFonts w:ascii="Times New Roman" w:hAnsi="Times New Roman"/>
          <w:color w:val="auto"/>
          <w:sz w:val="24"/>
          <w:szCs w:val="24"/>
        </w:rPr>
        <w:t>DĖL LIETUVOS RESPUBLIKOS VYRIAUSYBĖS 2009 M. LAPKRIČIO 4 D. NUTARIMO NR. 1456 „DĖL LIETUVOS NACIONALINĖS VIZŲ INFORMACINĖS SISTEMOS ĮSTEIGIMO, JOS NUOSTATŲ PATVIRTINIMO IR VEIKLOS PRADŽIOS NUSTATYMO“ PAKEITIMO</w:t>
      </w:r>
      <w:r>
        <w:rPr>
          <w:rFonts w:ascii="Times New Roman" w:hAnsi="Times New Roman"/>
          <w:color w:val="auto"/>
          <w:sz w:val="24"/>
          <w:szCs w:val="24"/>
        </w:rPr>
        <w:t>“</w:t>
      </w:r>
      <w:r w:rsidR="00DE773B" w:rsidRPr="00E623AD">
        <w:rPr>
          <w:color w:val="auto"/>
        </w:rPr>
        <w:t xml:space="preserve"> </w:t>
      </w:r>
      <w:r w:rsidR="00FB462B" w:rsidRPr="00E623AD">
        <w:rPr>
          <w:rFonts w:ascii="Times New Roman" w:hAnsi="Times New Roman"/>
          <w:bCs w:val="0"/>
          <w:color w:val="auto"/>
          <w:sz w:val="24"/>
          <w:szCs w:val="24"/>
        </w:rPr>
        <w:t xml:space="preserve">PROJEKTO (TOLIAU – NUTARIMO PROJEKTAS) </w:t>
      </w:r>
    </w:p>
    <w:p w14:paraId="6EC92E6C" w14:textId="3AD80925" w:rsidR="00B516A7" w:rsidRPr="00E623AD" w:rsidRDefault="00FB462B" w:rsidP="00B516A7">
      <w:pPr>
        <w:pStyle w:val="Heading1"/>
        <w:spacing w:before="0" w:line="240" w:lineRule="auto"/>
        <w:jc w:val="center"/>
        <w:rPr>
          <w:rFonts w:ascii="Times New Roman" w:hAnsi="Times New Roman"/>
          <w:bCs w:val="0"/>
          <w:color w:val="auto"/>
          <w:sz w:val="24"/>
          <w:szCs w:val="24"/>
        </w:rPr>
      </w:pPr>
      <w:r w:rsidRPr="00E623AD">
        <w:rPr>
          <w:rFonts w:ascii="Times New Roman" w:hAnsi="Times New Roman"/>
          <w:bCs w:val="0"/>
          <w:color w:val="auto"/>
          <w:sz w:val="24"/>
          <w:szCs w:val="24"/>
        </w:rPr>
        <w:t xml:space="preserve">(TAIS NR. </w:t>
      </w:r>
      <w:r w:rsidR="00DE773B" w:rsidRPr="00E623AD">
        <w:rPr>
          <w:rFonts w:ascii="Times New Roman" w:hAnsi="Times New Roman"/>
          <w:color w:val="auto"/>
          <w:sz w:val="24"/>
          <w:szCs w:val="24"/>
        </w:rPr>
        <w:t>19-6410</w:t>
      </w:r>
      <w:r w:rsidRPr="00E623AD">
        <w:rPr>
          <w:rFonts w:ascii="Times New Roman" w:hAnsi="Times New Roman"/>
          <w:bCs w:val="0"/>
          <w:color w:val="auto"/>
          <w:sz w:val="24"/>
          <w:szCs w:val="24"/>
        </w:rPr>
        <w:t>)</w:t>
      </w:r>
    </w:p>
    <w:p w14:paraId="3706CE5C" w14:textId="77777777" w:rsidR="00B516A7" w:rsidRPr="004E4CA4" w:rsidRDefault="00B516A7" w:rsidP="00B516A7">
      <w:pPr>
        <w:rPr>
          <w:highlight w:val="yellow"/>
        </w:rPr>
      </w:pPr>
    </w:p>
    <w:tbl>
      <w:tblPr>
        <w:tblpPr w:leftFromText="180" w:rightFromText="180" w:vertAnchor="text" w:tblpY="1"/>
        <w:tblOverlap w:val="neve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11"/>
        <w:gridCol w:w="5580"/>
        <w:gridCol w:w="5670"/>
      </w:tblGrid>
      <w:tr w:rsidR="006F0911" w:rsidRPr="00BA5F92" w14:paraId="2CF4F5E1" w14:textId="77777777" w:rsidTr="00AB1D43">
        <w:tc>
          <w:tcPr>
            <w:tcW w:w="704" w:type="dxa"/>
          </w:tcPr>
          <w:p w14:paraId="1B277345" w14:textId="77777777" w:rsidR="006F0911" w:rsidRPr="00BA5F92" w:rsidRDefault="006F0911" w:rsidP="006A17DE">
            <w:pPr>
              <w:jc w:val="center"/>
              <w:rPr>
                <w:b/>
                <w:szCs w:val="24"/>
              </w:rPr>
            </w:pPr>
            <w:r>
              <w:rPr>
                <w:b/>
                <w:szCs w:val="24"/>
              </w:rPr>
              <w:t xml:space="preserve">Eil. Nr. </w:t>
            </w:r>
          </w:p>
        </w:tc>
        <w:tc>
          <w:tcPr>
            <w:tcW w:w="3611" w:type="dxa"/>
          </w:tcPr>
          <w:p w14:paraId="537DDB5B" w14:textId="77777777" w:rsidR="006F0911" w:rsidRPr="00BA5F92" w:rsidRDefault="006F0911" w:rsidP="006A17DE">
            <w:pPr>
              <w:jc w:val="center"/>
              <w:rPr>
                <w:b/>
                <w:szCs w:val="24"/>
              </w:rPr>
            </w:pPr>
            <w:r w:rsidRPr="00BA5F92">
              <w:rPr>
                <w:b/>
                <w:szCs w:val="24"/>
              </w:rPr>
              <w:t>Institucijos, su kuria derinta, pavadinimas, rašto data ir numeris</w:t>
            </w:r>
          </w:p>
        </w:tc>
        <w:tc>
          <w:tcPr>
            <w:tcW w:w="5580" w:type="dxa"/>
          </w:tcPr>
          <w:p w14:paraId="1E55223B" w14:textId="77777777" w:rsidR="006F0911" w:rsidRPr="00BA5F92" w:rsidRDefault="006F0911" w:rsidP="006A17DE">
            <w:pPr>
              <w:ind w:firstLine="317"/>
              <w:jc w:val="center"/>
              <w:rPr>
                <w:b/>
                <w:szCs w:val="24"/>
              </w:rPr>
            </w:pPr>
            <w:r w:rsidRPr="00BA5F92">
              <w:rPr>
                <w:b/>
                <w:szCs w:val="24"/>
              </w:rPr>
              <w:t>Pastabos ir pasiūlymai</w:t>
            </w:r>
          </w:p>
        </w:tc>
        <w:tc>
          <w:tcPr>
            <w:tcW w:w="5670" w:type="dxa"/>
          </w:tcPr>
          <w:p w14:paraId="430EE1B0" w14:textId="77777777" w:rsidR="006F0911" w:rsidRPr="00BA5F92" w:rsidRDefault="006F0911" w:rsidP="006A17DE">
            <w:pPr>
              <w:jc w:val="center"/>
              <w:rPr>
                <w:b/>
                <w:szCs w:val="24"/>
              </w:rPr>
            </w:pPr>
            <w:r w:rsidRPr="00BA5F92">
              <w:rPr>
                <w:b/>
                <w:szCs w:val="24"/>
              </w:rPr>
              <w:t>Žyma apie pastabas ir pasiūlymus, į kuriuos</w:t>
            </w:r>
            <w:r w:rsidRPr="00BA5F92">
              <w:rPr>
                <w:b/>
                <w:szCs w:val="24"/>
              </w:rPr>
              <w:br/>
              <w:t>nebuvo atsižvelgta arba atsižvelgta iš dalies</w:t>
            </w:r>
          </w:p>
        </w:tc>
      </w:tr>
      <w:tr w:rsidR="003366AC" w:rsidRPr="00BA5F92" w14:paraId="78440E54" w14:textId="77777777" w:rsidTr="00AB1D43">
        <w:tc>
          <w:tcPr>
            <w:tcW w:w="704" w:type="dxa"/>
            <w:vMerge w:val="restart"/>
          </w:tcPr>
          <w:p w14:paraId="5A49E4FE" w14:textId="77777777" w:rsidR="003366AC" w:rsidRDefault="003366AC" w:rsidP="006F0911">
            <w:pPr>
              <w:rPr>
                <w:iCs/>
                <w:szCs w:val="24"/>
              </w:rPr>
            </w:pPr>
          </w:p>
          <w:p w14:paraId="5FE2C12F" w14:textId="36AB783F" w:rsidR="003366AC" w:rsidRPr="00AB1D43" w:rsidRDefault="003366AC" w:rsidP="00AB1D43">
            <w:pPr>
              <w:rPr>
                <w:szCs w:val="24"/>
              </w:rPr>
            </w:pPr>
            <w:r>
              <w:rPr>
                <w:szCs w:val="24"/>
              </w:rPr>
              <w:t>1.</w:t>
            </w:r>
          </w:p>
          <w:p w14:paraId="5D16D95D" w14:textId="5F66C307" w:rsidR="003366AC" w:rsidRDefault="003366AC" w:rsidP="00C70983">
            <w:pPr>
              <w:rPr>
                <w:iCs/>
                <w:szCs w:val="24"/>
              </w:rPr>
            </w:pPr>
            <w:r>
              <w:rPr>
                <w:szCs w:val="24"/>
              </w:rPr>
              <w:t xml:space="preserve"> </w:t>
            </w:r>
          </w:p>
        </w:tc>
        <w:tc>
          <w:tcPr>
            <w:tcW w:w="3611" w:type="dxa"/>
            <w:vMerge w:val="restart"/>
          </w:tcPr>
          <w:p w14:paraId="6F679613" w14:textId="184110D5" w:rsidR="003366AC" w:rsidRPr="00BA5F92" w:rsidRDefault="003366AC" w:rsidP="005657BE">
            <w:pPr>
              <w:jc w:val="both"/>
              <w:rPr>
                <w:b/>
                <w:szCs w:val="24"/>
              </w:rPr>
            </w:pPr>
            <w:r>
              <w:rPr>
                <w:szCs w:val="24"/>
              </w:rPr>
              <w:t>Lietu</w:t>
            </w:r>
            <w:r w:rsidRPr="005657BE">
              <w:rPr>
                <w:szCs w:val="24"/>
              </w:rPr>
              <w:t xml:space="preserve">vos Respublikos </w:t>
            </w:r>
            <w:r w:rsidR="00DE773B">
              <w:rPr>
                <w:szCs w:val="24"/>
              </w:rPr>
              <w:t>ekonomikos ir inovacijų</w:t>
            </w:r>
            <w:r w:rsidRPr="005657BE">
              <w:rPr>
                <w:szCs w:val="24"/>
              </w:rPr>
              <w:t xml:space="preserve"> ministerija (2019</w:t>
            </w:r>
            <w:r w:rsidR="00E623AD">
              <w:rPr>
                <w:szCs w:val="24"/>
              </w:rPr>
              <w:t xml:space="preserve"> m. birželio </w:t>
            </w:r>
            <w:r w:rsidR="00DE773B">
              <w:rPr>
                <w:szCs w:val="24"/>
              </w:rPr>
              <w:t>5</w:t>
            </w:r>
            <w:r w:rsidRPr="005657BE">
              <w:rPr>
                <w:szCs w:val="24"/>
              </w:rPr>
              <w:t xml:space="preserve"> raštas Nr. </w:t>
            </w:r>
            <w:r w:rsidR="00DE773B">
              <w:t>(41.2-91E) 3-2196</w:t>
            </w:r>
            <w:r w:rsidR="00E623AD">
              <w:t>)</w:t>
            </w:r>
          </w:p>
          <w:p w14:paraId="73F54891" w14:textId="77777777" w:rsidR="003366AC" w:rsidRPr="00AB1D43" w:rsidRDefault="003366AC" w:rsidP="00AB1D43">
            <w:pPr>
              <w:rPr>
                <w:szCs w:val="24"/>
              </w:rPr>
            </w:pPr>
          </w:p>
          <w:p w14:paraId="23EDD1A6" w14:textId="77777777" w:rsidR="003366AC" w:rsidRDefault="003366AC" w:rsidP="00AB1D43">
            <w:pPr>
              <w:rPr>
                <w:szCs w:val="24"/>
              </w:rPr>
            </w:pPr>
          </w:p>
          <w:p w14:paraId="509DB9D3" w14:textId="7590813A" w:rsidR="003366AC" w:rsidRDefault="003366AC" w:rsidP="00AB5697">
            <w:pPr>
              <w:tabs>
                <w:tab w:val="left" w:pos="3015"/>
              </w:tabs>
              <w:rPr>
                <w:szCs w:val="24"/>
              </w:rPr>
            </w:pPr>
            <w:r>
              <w:rPr>
                <w:szCs w:val="24"/>
              </w:rPr>
              <w:tab/>
            </w:r>
          </w:p>
        </w:tc>
        <w:tc>
          <w:tcPr>
            <w:tcW w:w="5580" w:type="dxa"/>
          </w:tcPr>
          <w:p w14:paraId="66028BDF" w14:textId="77777777" w:rsidR="003366AC" w:rsidRDefault="00DE773B" w:rsidP="00DE773B">
            <w:pPr>
              <w:pStyle w:val="ListParagraph"/>
              <w:tabs>
                <w:tab w:val="left" w:pos="492"/>
              </w:tabs>
              <w:suppressAutoHyphens/>
              <w:ind w:left="0"/>
              <w:contextualSpacing/>
              <w:jc w:val="both"/>
            </w:pPr>
            <w:r>
              <w:t>Lietuvos Respublikos ekonomikos ir inovacijų ministerija, įvertinusi pateiktą derinti Lietuvos Respublikos Vyriausybės  nutarimo „Dėl Lietuvos Respublikos Vyriausybės 2009 m. lapkričio 4 d. nutarimo Nr. 1456 „Dėl Lietuvos nacionalinės vizų informacinės sistemos įsteigimo, jos nuostatų patvirtinimo ir veiklos pradžios nustatymo“ pakeitimo“ projektą (toliau – projektas), siūlomiems pakeitimams esminių pastabų neturi, tačiau atkreipia dėmesį, kad šiuo metu galiojantys  Lietuvos nacionalinės vizų informacinės sistemos nuostatai (toliau – nuostatai) neatitinka Valstybės informacinių išteklių valdymo įstatyme ir Valstybės informacinių sistemų steigimo, kūrimo, modernizavimo ir likvidavimo tvarkos apraše, patvirtintame Lietuvos Respublikos Vyriausybės 2013 m. vasario 27 d. nutarimu Nr. 180 „Dėl Valstybės informacinių sistemų steigimo, kūrimo, modernizavimo ir likvidavimo tvarkos aprašo patvirtinimo“ (toliau – Aprašas) nustatytų reikalavimų. Atsižvelgdami į tai, siūlome iš esmės peržiūrėti nuostatus ir dėstyti juos nauja redakcija.</w:t>
            </w:r>
          </w:p>
          <w:p w14:paraId="4DEEA2DA" w14:textId="164C6141" w:rsidR="003C093C" w:rsidRDefault="003C093C" w:rsidP="00DE773B">
            <w:pPr>
              <w:pStyle w:val="ListParagraph"/>
              <w:tabs>
                <w:tab w:val="left" w:pos="492"/>
              </w:tabs>
              <w:suppressAutoHyphens/>
              <w:ind w:left="0"/>
              <w:contextualSpacing/>
              <w:jc w:val="both"/>
            </w:pPr>
          </w:p>
        </w:tc>
        <w:tc>
          <w:tcPr>
            <w:tcW w:w="5670" w:type="dxa"/>
          </w:tcPr>
          <w:p w14:paraId="44462769" w14:textId="1E2134B5" w:rsidR="00E623AD" w:rsidRDefault="00DE773B" w:rsidP="00073E0F">
            <w:pPr>
              <w:jc w:val="both"/>
              <w:rPr>
                <w:szCs w:val="24"/>
                <w:lang w:eastAsia="lt-LT"/>
              </w:rPr>
            </w:pPr>
            <w:r>
              <w:rPr>
                <w:b/>
                <w:szCs w:val="24"/>
              </w:rPr>
              <w:t>Neatsižvelgta</w:t>
            </w:r>
            <w:r w:rsidR="003366AC">
              <w:rPr>
                <w:b/>
                <w:szCs w:val="24"/>
              </w:rPr>
              <w:t xml:space="preserve">. </w:t>
            </w:r>
            <w:r w:rsidR="00B85ED7">
              <w:rPr>
                <w:szCs w:val="24"/>
                <w:lang w:eastAsia="lt-LT"/>
              </w:rPr>
              <w:t>Nutarimo projektas parengtas</w:t>
            </w:r>
            <w:r w:rsidR="00B85ED7" w:rsidRPr="00C43A51">
              <w:t xml:space="preserve"> siekiant įgyvendinti Lietuvos Respublikos įstatymo „Dėl užsieniečių teisinės padėties“ Nr. IX-2206 pakeitimo įstatymo Nr. XIII-1864 (toliau – Įstatymas)</w:t>
            </w:r>
            <w:r w:rsidR="00B85ED7" w:rsidRPr="00C43A51">
              <w:rPr>
                <w:bCs/>
              </w:rPr>
              <w:t xml:space="preserve"> </w:t>
            </w:r>
            <w:r w:rsidR="00B85ED7" w:rsidRPr="00C43A51">
              <w:t xml:space="preserve">nuostatas, pagal kurias </w:t>
            </w:r>
            <w:r w:rsidR="00B85ED7" w:rsidRPr="00C43A51">
              <w:rPr>
                <w:bCs/>
              </w:rPr>
              <w:t xml:space="preserve">migracijos valdymo funkcijos perduodamos iš </w:t>
            </w:r>
            <w:r w:rsidR="00B85ED7" w:rsidRPr="00C43A51">
              <w:t xml:space="preserve">apskričių vyriausiųjų policijos komisariatų migracijos padalinių </w:t>
            </w:r>
            <w:r w:rsidR="00B85ED7" w:rsidRPr="00C43A51">
              <w:rPr>
                <w:bCs/>
              </w:rPr>
              <w:t>Migracijos departamentui prie Lietuvos Respublikos vidaus reikalų ministerijos.</w:t>
            </w:r>
            <w:r w:rsidR="00B85ED7">
              <w:rPr>
                <w:bCs/>
              </w:rPr>
              <w:t xml:space="preserve"> Atsižvelgiant</w:t>
            </w:r>
            <w:r w:rsidR="009E4648">
              <w:rPr>
                <w:bCs/>
              </w:rPr>
              <w:t xml:space="preserve"> į tai, kad Įstatymo nuostatos įsigalioja 2019 m. liepos 1 d., </w:t>
            </w:r>
            <w:r w:rsidR="00CD3D73">
              <w:rPr>
                <w:bCs/>
              </w:rPr>
              <w:t>N</w:t>
            </w:r>
            <w:r w:rsidR="009E4648">
              <w:rPr>
                <w:bCs/>
              </w:rPr>
              <w:t xml:space="preserve">utarimo projekte yra </w:t>
            </w:r>
            <w:r w:rsidR="00E947D1">
              <w:rPr>
                <w:bCs/>
              </w:rPr>
              <w:t>atliekami</w:t>
            </w:r>
            <w:r w:rsidR="009E4648">
              <w:rPr>
                <w:bCs/>
              </w:rPr>
              <w:t xml:space="preserve"> tik svarbiausi, Įstatymą įgyvendinantys </w:t>
            </w:r>
            <w:r w:rsidR="00773C56">
              <w:rPr>
                <w:bCs/>
              </w:rPr>
              <w:t>pakeitimai ir redakcinio pobūdžio pakeitimai</w:t>
            </w:r>
            <w:r w:rsidR="00E623AD">
              <w:rPr>
                <w:bCs/>
              </w:rPr>
              <w:t>.</w:t>
            </w:r>
            <w:r w:rsidR="00773C56">
              <w:rPr>
                <w:bCs/>
              </w:rPr>
              <w:t xml:space="preserve"> </w:t>
            </w:r>
            <w:r w:rsidR="00E623AD">
              <w:rPr>
                <w:bCs/>
              </w:rPr>
              <w:t>Siekdami užtikrinti tinkamą Įstatymo nuostatų įgyvendinimą, siūlome šiuo metu atlikti tik reikiamus pakeitimus, kurie turi įsigalioti nuo 2019 m. liepos 1 d., o</w:t>
            </w:r>
            <w:r w:rsidR="00E623AD">
              <w:rPr>
                <w:bCs/>
              </w:rPr>
              <w:t xml:space="preserve"> </w:t>
            </w:r>
            <w:r w:rsidR="00E623AD">
              <w:rPr>
                <w:szCs w:val="24"/>
                <w:lang w:eastAsia="lt-LT"/>
              </w:rPr>
              <w:t>L</w:t>
            </w:r>
            <w:r w:rsidR="00E623AD">
              <w:t>ietuvos nacionalinės vizų informacinės sistemos nuostatų atitikimas Aprašo reikalavimams bus įvertintas</w:t>
            </w:r>
            <w:r w:rsidR="00E623AD">
              <w:rPr>
                <w:szCs w:val="24"/>
                <w:lang w:eastAsia="lt-LT"/>
              </w:rPr>
              <w:t xml:space="preserve"> kitą kartą rengiant šių nuostatų pakeitimo projektą</w:t>
            </w:r>
            <w:r w:rsidR="00E623AD">
              <w:t>.</w:t>
            </w:r>
          </w:p>
          <w:p w14:paraId="77F288B8" w14:textId="4F866F59" w:rsidR="00773C56" w:rsidRDefault="00E623AD" w:rsidP="00106008">
            <w:pPr>
              <w:jc w:val="both"/>
              <w:rPr>
                <w:szCs w:val="24"/>
                <w:lang w:eastAsia="lt-LT"/>
              </w:rPr>
            </w:pPr>
            <w:r>
              <w:rPr>
                <w:bCs/>
              </w:rPr>
              <w:t> </w:t>
            </w:r>
          </w:p>
          <w:p w14:paraId="2E73F25B" w14:textId="77777777" w:rsidR="00773C56" w:rsidRDefault="00773C56" w:rsidP="00106008">
            <w:pPr>
              <w:jc w:val="both"/>
              <w:rPr>
                <w:szCs w:val="24"/>
                <w:lang w:eastAsia="lt-LT"/>
              </w:rPr>
            </w:pPr>
          </w:p>
          <w:p w14:paraId="56EA5ECF" w14:textId="45EF3616" w:rsidR="003366AC" w:rsidRDefault="003366AC" w:rsidP="00773C56">
            <w:pPr>
              <w:jc w:val="both"/>
              <w:rPr>
                <w:b/>
                <w:szCs w:val="24"/>
              </w:rPr>
            </w:pPr>
          </w:p>
        </w:tc>
      </w:tr>
      <w:tr w:rsidR="003366AC" w:rsidRPr="00BA5F92" w14:paraId="3ED56C5C" w14:textId="77777777" w:rsidTr="00AB1D43">
        <w:tc>
          <w:tcPr>
            <w:tcW w:w="704" w:type="dxa"/>
            <w:vMerge/>
          </w:tcPr>
          <w:p w14:paraId="65936792" w14:textId="381A2E16" w:rsidR="003366AC" w:rsidRPr="00AB1D43" w:rsidRDefault="003366AC" w:rsidP="00C70983">
            <w:pPr>
              <w:rPr>
                <w:b/>
                <w:szCs w:val="24"/>
              </w:rPr>
            </w:pPr>
          </w:p>
        </w:tc>
        <w:tc>
          <w:tcPr>
            <w:tcW w:w="3611" w:type="dxa"/>
            <w:vMerge/>
          </w:tcPr>
          <w:p w14:paraId="4C898384" w14:textId="77DCDF18" w:rsidR="003366AC" w:rsidRPr="00BA5F92" w:rsidRDefault="003366AC" w:rsidP="00D14F07">
            <w:pPr>
              <w:tabs>
                <w:tab w:val="left" w:pos="3015"/>
              </w:tabs>
              <w:rPr>
                <w:b/>
                <w:szCs w:val="24"/>
              </w:rPr>
            </w:pPr>
          </w:p>
        </w:tc>
        <w:tc>
          <w:tcPr>
            <w:tcW w:w="5580" w:type="dxa"/>
          </w:tcPr>
          <w:p w14:paraId="2A32C30E" w14:textId="1CEDDC8D" w:rsidR="003366AC" w:rsidRPr="00BA5F92" w:rsidRDefault="00773C56" w:rsidP="00773C56">
            <w:pPr>
              <w:pStyle w:val="ListParagraph"/>
              <w:tabs>
                <w:tab w:val="left" w:pos="392"/>
              </w:tabs>
              <w:suppressAutoHyphens/>
              <w:ind w:left="0"/>
              <w:contextualSpacing/>
              <w:jc w:val="both"/>
              <w:rPr>
                <w:b/>
                <w:szCs w:val="24"/>
              </w:rPr>
            </w:pPr>
            <w:r>
              <w:t>Taip pat atkreipiame dėmesį, kad vadovaujantis Aprašo 8 punktu, projektas turi būti suderintas su institucijomis, kurios teiks duomenis iš valstybės informacinių sistemų ir / arba registrų.</w:t>
            </w:r>
          </w:p>
        </w:tc>
        <w:tc>
          <w:tcPr>
            <w:tcW w:w="5670" w:type="dxa"/>
          </w:tcPr>
          <w:p w14:paraId="6B70AF06" w14:textId="56FACEE2" w:rsidR="00E623AD" w:rsidRPr="00073E0F" w:rsidRDefault="003C093C" w:rsidP="003C093C">
            <w:pPr>
              <w:jc w:val="both"/>
              <w:rPr>
                <w:szCs w:val="24"/>
              </w:rPr>
            </w:pPr>
            <w:r>
              <w:rPr>
                <w:b/>
                <w:szCs w:val="24"/>
              </w:rPr>
              <w:t>Neatsižvelgta.</w:t>
            </w:r>
            <w:r w:rsidRPr="0003313E">
              <w:rPr>
                <w:szCs w:val="24"/>
              </w:rPr>
              <w:t xml:space="preserve"> </w:t>
            </w:r>
            <w:r w:rsidR="00E623AD">
              <w:rPr>
                <w:szCs w:val="24"/>
              </w:rPr>
              <w:t xml:space="preserve">Nutarimo projektas derintas su Užsienio reikalų ministerija ir Ekonomikos ir inovacijų ministerija. </w:t>
            </w:r>
            <w:r w:rsidRPr="0003313E">
              <w:rPr>
                <w:szCs w:val="24"/>
              </w:rPr>
              <w:t xml:space="preserve">Atsižvelgiant į tai, kad </w:t>
            </w:r>
            <w:r>
              <w:rPr>
                <w:szCs w:val="24"/>
              </w:rPr>
              <w:t>Nutarimo projektu</w:t>
            </w:r>
            <w:r w:rsidRPr="0003313E">
              <w:rPr>
                <w:szCs w:val="24"/>
              </w:rPr>
              <w:t xml:space="preserve"> nėra keičiamos ar naujai nustatomos taisyklės, susijusios su kitų institucijų kompetencija, </w:t>
            </w:r>
            <w:r>
              <w:rPr>
                <w:szCs w:val="24"/>
              </w:rPr>
              <w:t>Nutarimo projektas</w:t>
            </w:r>
            <w:r w:rsidRPr="0003313E">
              <w:rPr>
                <w:szCs w:val="24"/>
              </w:rPr>
              <w:t xml:space="preserve"> su </w:t>
            </w:r>
            <w:r w:rsidRPr="0003313E">
              <w:rPr>
                <w:szCs w:val="24"/>
              </w:rPr>
              <w:lastRenderedPageBreak/>
              <w:t>kitomis institucijomis</w:t>
            </w:r>
            <w:r w:rsidR="00E623AD">
              <w:rPr>
                <w:szCs w:val="24"/>
              </w:rPr>
              <w:t xml:space="preserve"> nederintas</w:t>
            </w:r>
            <w:r w:rsidRPr="0003313E">
              <w:rPr>
                <w:szCs w:val="24"/>
              </w:rPr>
              <w:t>.</w:t>
            </w:r>
          </w:p>
          <w:p w14:paraId="7871BFBB" w14:textId="4AB4D8B4" w:rsidR="003366AC" w:rsidRPr="00BA5F92" w:rsidRDefault="003366AC" w:rsidP="00564E76">
            <w:pPr>
              <w:jc w:val="both"/>
              <w:rPr>
                <w:b/>
                <w:szCs w:val="24"/>
              </w:rPr>
            </w:pPr>
          </w:p>
        </w:tc>
      </w:tr>
      <w:tr w:rsidR="003366AC" w:rsidRPr="00BA5F92" w14:paraId="5AC92E48" w14:textId="77777777" w:rsidTr="00AB1D43">
        <w:tc>
          <w:tcPr>
            <w:tcW w:w="704" w:type="dxa"/>
            <w:vMerge/>
          </w:tcPr>
          <w:p w14:paraId="4CB5AAF9" w14:textId="4255170E" w:rsidR="003366AC" w:rsidRPr="00A76F23" w:rsidRDefault="003366AC" w:rsidP="00C70983">
            <w:pPr>
              <w:rPr>
                <w:iCs/>
                <w:szCs w:val="24"/>
              </w:rPr>
            </w:pPr>
          </w:p>
        </w:tc>
        <w:tc>
          <w:tcPr>
            <w:tcW w:w="3611" w:type="dxa"/>
            <w:vMerge/>
          </w:tcPr>
          <w:p w14:paraId="0779959B" w14:textId="0DFF379E" w:rsidR="003366AC" w:rsidRPr="00A76F23" w:rsidRDefault="003366AC" w:rsidP="00D14F07">
            <w:pPr>
              <w:tabs>
                <w:tab w:val="left" w:pos="3015"/>
              </w:tabs>
              <w:rPr>
                <w:iCs/>
                <w:szCs w:val="24"/>
              </w:rPr>
            </w:pPr>
          </w:p>
        </w:tc>
        <w:tc>
          <w:tcPr>
            <w:tcW w:w="5580" w:type="dxa"/>
          </w:tcPr>
          <w:p w14:paraId="2DDF0793" w14:textId="77777777" w:rsidR="003C093C" w:rsidRPr="003C093C" w:rsidRDefault="003C093C" w:rsidP="003C093C">
            <w:pPr>
              <w:jc w:val="both"/>
              <w:rPr>
                <w:szCs w:val="24"/>
                <w:lang w:eastAsia="lt-LT"/>
              </w:rPr>
            </w:pPr>
            <w:r w:rsidRPr="003C093C">
              <w:rPr>
                <w:szCs w:val="24"/>
                <w:lang w:eastAsia="lt-LT"/>
              </w:rPr>
              <w:t>Atsižvelgiant į tai, kad Lietuvos nacionaline vizų informacine sistema yra tvarkomi asmens duomenys, projektas turi būti suderintas ir su Valstybine duomenų apsaugos inspekcija.</w:t>
            </w:r>
          </w:p>
          <w:p w14:paraId="603257DC" w14:textId="77777777" w:rsidR="003C093C" w:rsidRPr="003C093C" w:rsidRDefault="003C093C" w:rsidP="003C093C">
            <w:pPr>
              <w:jc w:val="both"/>
              <w:rPr>
                <w:szCs w:val="24"/>
                <w:lang w:eastAsia="lt-LT"/>
              </w:rPr>
            </w:pPr>
            <w:r w:rsidRPr="003C093C">
              <w:rPr>
                <w:szCs w:val="24"/>
                <w:lang w:eastAsia="lt-LT"/>
              </w:rPr>
              <w:t> </w:t>
            </w:r>
          </w:p>
          <w:p w14:paraId="5E6D0BA3" w14:textId="70D4C6E4" w:rsidR="003366AC" w:rsidRDefault="003366AC" w:rsidP="00CD36F9">
            <w:pPr>
              <w:tabs>
                <w:tab w:val="left" w:pos="1418"/>
              </w:tabs>
              <w:suppressAutoHyphens/>
              <w:contextualSpacing/>
              <w:jc w:val="both"/>
            </w:pPr>
          </w:p>
        </w:tc>
        <w:tc>
          <w:tcPr>
            <w:tcW w:w="5670" w:type="dxa"/>
          </w:tcPr>
          <w:p w14:paraId="5691B9F1" w14:textId="6EDF8672" w:rsidR="003366AC" w:rsidRDefault="003366AC" w:rsidP="00056A83">
            <w:pPr>
              <w:jc w:val="both"/>
              <w:rPr>
                <w:szCs w:val="24"/>
                <w:lang w:eastAsia="lt-LT"/>
              </w:rPr>
            </w:pPr>
            <w:r>
              <w:rPr>
                <w:b/>
                <w:szCs w:val="24"/>
              </w:rPr>
              <w:t xml:space="preserve">Neatsižvelgta. </w:t>
            </w:r>
            <w:r w:rsidR="00A61A44">
              <w:rPr>
                <w:szCs w:val="24"/>
              </w:rPr>
              <w:t>Nutarimo projekt</w:t>
            </w:r>
            <w:r w:rsidR="00CD3D73">
              <w:rPr>
                <w:szCs w:val="24"/>
              </w:rPr>
              <w:t>e</w:t>
            </w:r>
            <w:r w:rsidR="00A61A44">
              <w:rPr>
                <w:szCs w:val="24"/>
              </w:rPr>
              <w:t xml:space="preserve"> </w:t>
            </w:r>
            <w:r w:rsidR="00CD3D73">
              <w:rPr>
                <w:bCs/>
              </w:rPr>
              <w:t xml:space="preserve">yra </w:t>
            </w:r>
            <w:r w:rsidR="00E947D1">
              <w:rPr>
                <w:bCs/>
              </w:rPr>
              <w:t>atliekami</w:t>
            </w:r>
            <w:r w:rsidR="00CD3D73">
              <w:rPr>
                <w:bCs/>
              </w:rPr>
              <w:t xml:space="preserve"> tik svarbiausi,</w:t>
            </w:r>
            <w:r w:rsidR="00D27F29">
              <w:rPr>
                <w:bCs/>
              </w:rPr>
              <w:t xml:space="preserve"> 2019 m. liepos 1 d. įsigalio</w:t>
            </w:r>
            <w:r w:rsidR="00E623AD">
              <w:rPr>
                <w:bCs/>
              </w:rPr>
              <w:t>siantį</w:t>
            </w:r>
            <w:bookmarkStart w:id="0" w:name="_GoBack"/>
            <w:bookmarkEnd w:id="0"/>
            <w:r w:rsidR="00CD3D73">
              <w:rPr>
                <w:bCs/>
              </w:rPr>
              <w:t xml:space="preserve"> Įstatymą įgyvendinantys pakeitimai ir redakcinio pobūdžio pakeitimai, ir nėra keičiamos ar naujai nustatomos taisyklės, susijusios su asmens duomenų tvarkymu</w:t>
            </w:r>
            <w:r w:rsidR="00D57EF1">
              <w:rPr>
                <w:bCs/>
              </w:rPr>
              <w:t xml:space="preserve"> ir duomenų subjektų teisių įgyvendinimu</w:t>
            </w:r>
            <w:r w:rsidR="00D27F29">
              <w:rPr>
                <w:bCs/>
              </w:rPr>
              <w:t>.</w:t>
            </w:r>
          </w:p>
          <w:p w14:paraId="24C82520" w14:textId="320CADAC" w:rsidR="00D27F29" w:rsidRDefault="00D27F29" w:rsidP="00056A83">
            <w:pPr>
              <w:jc w:val="both"/>
            </w:pPr>
            <w:r>
              <w:rPr>
                <w:szCs w:val="24"/>
                <w:lang w:eastAsia="lt-LT"/>
              </w:rPr>
              <w:t>Atkreiptinas dėmesys į tai, kad galiojantys</w:t>
            </w:r>
            <w:r>
              <w:t xml:space="preserve"> Lietuvos nacionalinės vizų informacinės sistemos nuostatai yra suderinti su  2008 m. liepos 9 d. Europos Parlamento ir Tarybos reglamento (EB) Nr. 767/2008 dėl Vizų informacinės sistemos (VIS) ir apsikeitimo duomenimis apie trumpalaikes vizas tarp valstybių narių (VIS reglamentas) (OL 2008 L 218, p. 60) su paskutiniais pakeitimais, padarytais 2013 m. birželio 26 d. Europos Parlamento ir Tarybos reglamentu (ES) Nr. 610/2013 (OL 2013 L 182, p. l) normomis, reglamentuojančiomis duomenų subjektų teisių įgyvendinimą.</w:t>
            </w:r>
          </w:p>
          <w:p w14:paraId="76563B45" w14:textId="73E80293" w:rsidR="00D27F29" w:rsidRDefault="00D27F29" w:rsidP="00056A83">
            <w:pPr>
              <w:jc w:val="both"/>
              <w:rPr>
                <w:szCs w:val="24"/>
                <w:lang w:eastAsia="lt-LT"/>
              </w:rPr>
            </w:pPr>
            <w:r>
              <w:t>Atsižvelgdami į tai, manome, kad Nutarimo projektą derinti su Valstybine duomenų apsaugos inspekcija nėra tikslinga. Lietuvos nacionalinės vizų informacinės sistemos nuostatai su Valstybine duomenų apsaugos inspekcija bus suderinti</w:t>
            </w:r>
            <w:r>
              <w:rPr>
                <w:szCs w:val="24"/>
                <w:lang w:eastAsia="lt-LT"/>
              </w:rPr>
              <w:t xml:space="preserve"> kitą kartą rengiant šių nuostatų pakeitimo projektą</w:t>
            </w:r>
            <w:r>
              <w:t>.</w:t>
            </w:r>
          </w:p>
          <w:p w14:paraId="18644C20" w14:textId="1592EAF6" w:rsidR="00A245F5" w:rsidRDefault="00A245F5" w:rsidP="00D57EF1">
            <w:pPr>
              <w:jc w:val="both"/>
              <w:rPr>
                <w:b/>
                <w:szCs w:val="24"/>
              </w:rPr>
            </w:pPr>
          </w:p>
        </w:tc>
      </w:tr>
    </w:tbl>
    <w:p w14:paraId="0737C125" w14:textId="652CBF26" w:rsidR="00DB51D7" w:rsidRDefault="000942E3"/>
    <w:sectPr w:rsidR="00DB51D7" w:rsidSect="00F15A92">
      <w:headerReference w:type="even" r:id="rId8"/>
      <w:headerReference w:type="default" r:id="rId9"/>
      <w:footerReference w:type="even" r:id="rId10"/>
      <w:headerReference w:type="first" r:id="rId11"/>
      <w:pgSz w:w="16840" w:h="11907" w:orient="landscape" w:code="9"/>
      <w:pgMar w:top="993" w:right="567" w:bottom="568" w:left="567" w:header="284"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05940" w14:textId="77777777" w:rsidR="000942E3" w:rsidRDefault="000942E3">
      <w:r>
        <w:separator/>
      </w:r>
    </w:p>
  </w:endnote>
  <w:endnote w:type="continuationSeparator" w:id="0">
    <w:p w14:paraId="0E0C80F6" w14:textId="77777777" w:rsidR="000942E3" w:rsidRDefault="0009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AEF09" w14:textId="77777777" w:rsidR="00342432" w:rsidRDefault="006F0911"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0EB96" w14:textId="77777777" w:rsidR="00342432" w:rsidRDefault="00094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9CB15" w14:textId="77777777" w:rsidR="000942E3" w:rsidRDefault="000942E3">
      <w:r>
        <w:separator/>
      </w:r>
    </w:p>
  </w:footnote>
  <w:footnote w:type="continuationSeparator" w:id="0">
    <w:p w14:paraId="69B8BB78" w14:textId="77777777" w:rsidR="000942E3" w:rsidRDefault="0009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5AE2" w14:textId="77777777" w:rsidR="00342432" w:rsidRDefault="006F0911"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B34860" w14:textId="77777777" w:rsidR="00342432" w:rsidRDefault="00094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F5915" w14:textId="77777777" w:rsidR="00342432" w:rsidRDefault="006F0911"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7999">
      <w:rPr>
        <w:rStyle w:val="PageNumber"/>
        <w:noProof/>
      </w:rPr>
      <w:t>2</w:t>
    </w:r>
    <w:r>
      <w:rPr>
        <w:rStyle w:val="PageNumber"/>
      </w:rPr>
      <w:fldChar w:fldCharType="end"/>
    </w:r>
  </w:p>
  <w:p w14:paraId="0B893A79" w14:textId="77777777" w:rsidR="00342432" w:rsidRDefault="00094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A9791" w14:textId="77777777" w:rsidR="00342432" w:rsidRPr="007D14A0" w:rsidRDefault="000942E3" w:rsidP="007D14A0">
    <w:pPr>
      <w:pStyle w:val="Header"/>
      <w:tabs>
        <w:tab w:val="left" w:pos="13462"/>
      </w:tabs>
      <w:rPr>
        <w:b/>
        <w:i/>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1CE"/>
    <w:multiLevelType w:val="hybridMultilevel"/>
    <w:tmpl w:val="82C89DAC"/>
    <w:lvl w:ilvl="0" w:tplc="20D62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82F170C"/>
    <w:multiLevelType w:val="multilevel"/>
    <w:tmpl w:val="6DF6F16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3A1FD5"/>
    <w:multiLevelType w:val="multilevel"/>
    <w:tmpl w:val="C43A87D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803840"/>
    <w:multiLevelType w:val="hybridMultilevel"/>
    <w:tmpl w:val="03DA2C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A0A4ADA"/>
    <w:multiLevelType w:val="hybridMultilevel"/>
    <w:tmpl w:val="66BA4AB2"/>
    <w:lvl w:ilvl="0" w:tplc="0B1EDED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92238D"/>
    <w:multiLevelType w:val="multilevel"/>
    <w:tmpl w:val="3942094C"/>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3647D8"/>
    <w:multiLevelType w:val="multilevel"/>
    <w:tmpl w:val="E6E8D284"/>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DE2A56"/>
    <w:multiLevelType w:val="multilevel"/>
    <w:tmpl w:val="6DF6F16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BE60E3E"/>
    <w:multiLevelType w:val="multilevel"/>
    <w:tmpl w:val="0FDCB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3E6DDF"/>
    <w:multiLevelType w:val="multilevel"/>
    <w:tmpl w:val="C09E20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BD6FDD"/>
    <w:multiLevelType w:val="multilevel"/>
    <w:tmpl w:val="817E4F92"/>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7C449A"/>
    <w:multiLevelType w:val="hybridMultilevel"/>
    <w:tmpl w:val="43627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1"/>
  </w:num>
  <w:num w:numId="4">
    <w:abstractNumId w:val="9"/>
  </w:num>
  <w:num w:numId="5">
    <w:abstractNumId w:val="8"/>
  </w:num>
  <w:num w:numId="6">
    <w:abstractNumId w:val="2"/>
  </w:num>
  <w:num w:numId="7">
    <w:abstractNumId w:val="7"/>
  </w:num>
  <w:num w:numId="8">
    <w:abstractNumId w:val="10"/>
  </w:num>
  <w:num w:numId="9">
    <w:abstractNumId w:val="4"/>
  </w:num>
  <w:num w:numId="10">
    <w:abstractNumId w:val="3"/>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Jasulaitienė">
    <w15:presenceInfo w15:providerId="AD" w15:userId="S-1-5-21-4209697224-3871758227-447121003-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A7"/>
    <w:rsid w:val="00027093"/>
    <w:rsid w:val="0004090E"/>
    <w:rsid w:val="0004218A"/>
    <w:rsid w:val="00056A83"/>
    <w:rsid w:val="00073E0F"/>
    <w:rsid w:val="000942E3"/>
    <w:rsid w:val="000E4F9C"/>
    <w:rsid w:val="000F5C02"/>
    <w:rsid w:val="00106008"/>
    <w:rsid w:val="0013596B"/>
    <w:rsid w:val="00183CA0"/>
    <w:rsid w:val="00192FDB"/>
    <w:rsid w:val="001B378B"/>
    <w:rsid w:val="001D15EE"/>
    <w:rsid w:val="00211194"/>
    <w:rsid w:val="00217633"/>
    <w:rsid w:val="002B4D19"/>
    <w:rsid w:val="002C4002"/>
    <w:rsid w:val="003214E9"/>
    <w:rsid w:val="00335BE4"/>
    <w:rsid w:val="003366AC"/>
    <w:rsid w:val="003C093C"/>
    <w:rsid w:val="00444892"/>
    <w:rsid w:val="0045120D"/>
    <w:rsid w:val="00470BA3"/>
    <w:rsid w:val="00474236"/>
    <w:rsid w:val="00484618"/>
    <w:rsid w:val="004C652B"/>
    <w:rsid w:val="00500125"/>
    <w:rsid w:val="00564E76"/>
    <w:rsid w:val="005657BE"/>
    <w:rsid w:val="005B2851"/>
    <w:rsid w:val="00602AF3"/>
    <w:rsid w:val="0064412C"/>
    <w:rsid w:val="006A3A1F"/>
    <w:rsid w:val="006D39A1"/>
    <w:rsid w:val="006D5B54"/>
    <w:rsid w:val="006F0911"/>
    <w:rsid w:val="007075A3"/>
    <w:rsid w:val="007409BA"/>
    <w:rsid w:val="00752E81"/>
    <w:rsid w:val="00757D1E"/>
    <w:rsid w:val="00767B8C"/>
    <w:rsid w:val="00773C56"/>
    <w:rsid w:val="00777999"/>
    <w:rsid w:val="00792F3A"/>
    <w:rsid w:val="007953E4"/>
    <w:rsid w:val="007E0235"/>
    <w:rsid w:val="00856BA9"/>
    <w:rsid w:val="00865DD0"/>
    <w:rsid w:val="008A3862"/>
    <w:rsid w:val="008E1158"/>
    <w:rsid w:val="008E3649"/>
    <w:rsid w:val="008E56CB"/>
    <w:rsid w:val="00927114"/>
    <w:rsid w:val="00934E32"/>
    <w:rsid w:val="00977398"/>
    <w:rsid w:val="009E410B"/>
    <w:rsid w:val="009E4648"/>
    <w:rsid w:val="00A209E3"/>
    <w:rsid w:val="00A245F5"/>
    <w:rsid w:val="00A45887"/>
    <w:rsid w:val="00A61A44"/>
    <w:rsid w:val="00A76F23"/>
    <w:rsid w:val="00AA1625"/>
    <w:rsid w:val="00AB1D43"/>
    <w:rsid w:val="00AB1E34"/>
    <w:rsid w:val="00AE478F"/>
    <w:rsid w:val="00B13D5D"/>
    <w:rsid w:val="00B516A7"/>
    <w:rsid w:val="00B517D2"/>
    <w:rsid w:val="00B85ED7"/>
    <w:rsid w:val="00BA7D9B"/>
    <w:rsid w:val="00BC5043"/>
    <w:rsid w:val="00C77284"/>
    <w:rsid w:val="00CC7ED1"/>
    <w:rsid w:val="00CD36F9"/>
    <w:rsid w:val="00CD3D73"/>
    <w:rsid w:val="00D03452"/>
    <w:rsid w:val="00D22022"/>
    <w:rsid w:val="00D27E17"/>
    <w:rsid w:val="00D27F29"/>
    <w:rsid w:val="00D57EF1"/>
    <w:rsid w:val="00DE2FA8"/>
    <w:rsid w:val="00DE773B"/>
    <w:rsid w:val="00E00644"/>
    <w:rsid w:val="00E3185B"/>
    <w:rsid w:val="00E42B7C"/>
    <w:rsid w:val="00E621E0"/>
    <w:rsid w:val="00E623AD"/>
    <w:rsid w:val="00E947D1"/>
    <w:rsid w:val="00F0074C"/>
    <w:rsid w:val="00F171AC"/>
    <w:rsid w:val="00F3090A"/>
    <w:rsid w:val="00F87611"/>
    <w:rsid w:val="00FA36EB"/>
    <w:rsid w:val="00FB462B"/>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A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B516A7"/>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A7"/>
    <w:rPr>
      <w:rFonts w:ascii="Cambria" w:eastAsia="Times New Roman" w:hAnsi="Cambria" w:cs="Times New Roman"/>
      <w:b/>
      <w:bCs/>
      <w:color w:val="365F91"/>
      <w:sz w:val="28"/>
      <w:szCs w:val="28"/>
      <w:lang w:val="lt-LT"/>
    </w:rPr>
  </w:style>
  <w:style w:type="character" w:styleId="PageNumber">
    <w:name w:val="page number"/>
    <w:basedOn w:val="DefaultParagraphFont"/>
    <w:rsid w:val="00B516A7"/>
  </w:style>
  <w:style w:type="paragraph" w:styleId="Header">
    <w:name w:val="header"/>
    <w:basedOn w:val="Normal"/>
    <w:link w:val="HeaderChar"/>
    <w:rsid w:val="00B516A7"/>
    <w:pPr>
      <w:tabs>
        <w:tab w:val="center" w:pos="4320"/>
        <w:tab w:val="right" w:pos="8640"/>
      </w:tabs>
    </w:pPr>
    <w:rPr>
      <w:sz w:val="20"/>
      <w:lang w:val="en-US" w:eastAsia="x-none"/>
    </w:rPr>
  </w:style>
  <w:style w:type="character" w:customStyle="1" w:styleId="HeaderChar">
    <w:name w:val="Header Char"/>
    <w:basedOn w:val="DefaultParagraphFont"/>
    <w:link w:val="Header"/>
    <w:rsid w:val="00B516A7"/>
    <w:rPr>
      <w:rFonts w:ascii="Times New Roman" w:eastAsia="Times New Roman" w:hAnsi="Times New Roman" w:cs="Times New Roman"/>
      <w:sz w:val="20"/>
      <w:szCs w:val="20"/>
      <w:lang w:eastAsia="x-none"/>
    </w:rPr>
  </w:style>
  <w:style w:type="paragraph" w:styleId="Footer">
    <w:name w:val="footer"/>
    <w:basedOn w:val="Normal"/>
    <w:link w:val="FooterChar"/>
    <w:rsid w:val="00B516A7"/>
    <w:pPr>
      <w:tabs>
        <w:tab w:val="center" w:pos="4320"/>
        <w:tab w:val="right" w:pos="8640"/>
      </w:tabs>
    </w:pPr>
    <w:rPr>
      <w:sz w:val="20"/>
      <w:lang w:val="en-US" w:eastAsia="x-none"/>
    </w:rPr>
  </w:style>
  <w:style w:type="character" w:customStyle="1" w:styleId="FooterChar">
    <w:name w:val="Footer Char"/>
    <w:basedOn w:val="DefaultParagraphFont"/>
    <w:link w:val="Footer"/>
    <w:rsid w:val="00B516A7"/>
    <w:rPr>
      <w:rFonts w:ascii="Times New Roman" w:eastAsia="Times New Roman" w:hAnsi="Times New Roman" w:cs="Times New Roman"/>
      <w:sz w:val="20"/>
      <w:szCs w:val="20"/>
      <w:lang w:eastAsia="x-none"/>
    </w:rPr>
  </w:style>
  <w:style w:type="paragraph" w:styleId="ListParagraph">
    <w:name w:val="List Paragraph"/>
    <w:basedOn w:val="Normal"/>
    <w:uiPriority w:val="34"/>
    <w:qFormat/>
    <w:rsid w:val="00B516A7"/>
    <w:pPr>
      <w:ind w:left="720"/>
    </w:pPr>
  </w:style>
  <w:style w:type="character" w:styleId="CommentReference">
    <w:name w:val="annotation reference"/>
    <w:basedOn w:val="DefaultParagraphFont"/>
    <w:unhideWhenUsed/>
    <w:rsid w:val="005657BE"/>
    <w:rPr>
      <w:sz w:val="16"/>
      <w:szCs w:val="16"/>
    </w:rPr>
  </w:style>
  <w:style w:type="paragraph" w:styleId="CommentText">
    <w:name w:val="annotation text"/>
    <w:basedOn w:val="Normal"/>
    <w:link w:val="CommentTextChar"/>
    <w:unhideWhenUsed/>
    <w:rsid w:val="005657BE"/>
    <w:pPr>
      <w:suppressAutoHyphens/>
    </w:pPr>
    <w:rPr>
      <w:sz w:val="20"/>
      <w:lang w:eastAsia="ar-SA"/>
    </w:rPr>
  </w:style>
  <w:style w:type="character" w:customStyle="1" w:styleId="CommentTextChar">
    <w:name w:val="Comment Text Char"/>
    <w:basedOn w:val="DefaultParagraphFont"/>
    <w:link w:val="CommentText"/>
    <w:rsid w:val="005657BE"/>
    <w:rPr>
      <w:rFonts w:ascii="Times New Roman" w:eastAsia="Times New Roman" w:hAnsi="Times New Roman" w:cs="Times New Roman"/>
      <w:sz w:val="20"/>
      <w:szCs w:val="20"/>
      <w:lang w:val="lt-LT" w:eastAsia="ar-SA"/>
    </w:rPr>
  </w:style>
  <w:style w:type="paragraph" w:styleId="BalloonText">
    <w:name w:val="Balloon Text"/>
    <w:basedOn w:val="Normal"/>
    <w:link w:val="BalloonTextChar"/>
    <w:uiPriority w:val="99"/>
    <w:semiHidden/>
    <w:unhideWhenUsed/>
    <w:rsid w:val="00565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BE"/>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8E56CB"/>
    <w:pPr>
      <w:suppressAutoHyphens w:val="0"/>
    </w:pPr>
    <w:rPr>
      <w:b/>
      <w:bCs/>
      <w:lang w:eastAsia="en-US"/>
    </w:rPr>
  </w:style>
  <w:style w:type="character" w:customStyle="1" w:styleId="CommentSubjectChar">
    <w:name w:val="Comment Subject Char"/>
    <w:basedOn w:val="CommentTextChar"/>
    <w:link w:val="CommentSubject"/>
    <w:uiPriority w:val="99"/>
    <w:semiHidden/>
    <w:rsid w:val="008E56CB"/>
    <w:rPr>
      <w:rFonts w:ascii="Times New Roman" w:eastAsia="Times New Roman" w:hAnsi="Times New Roman" w:cs="Times New Roman"/>
      <w:b/>
      <w:bCs/>
      <w:sz w:val="20"/>
      <w:szCs w:val="20"/>
      <w:lang w:val="lt-LT" w:eastAsia="ar-SA"/>
    </w:rPr>
  </w:style>
  <w:style w:type="paragraph" w:customStyle="1" w:styleId="Pagrindinistekstas1">
    <w:name w:val="Pagrindinis tekstas1"/>
    <w:basedOn w:val="Normal"/>
    <w:rsid w:val="00470BA3"/>
    <w:pPr>
      <w:suppressAutoHyphens/>
      <w:autoSpaceDE w:val="0"/>
      <w:autoSpaceDN w:val="0"/>
      <w:adjustRightInd w:val="0"/>
      <w:spacing w:line="297" w:lineRule="auto"/>
      <w:ind w:firstLine="312"/>
      <w:jc w:val="both"/>
    </w:pPr>
    <w:rPr>
      <w:color w:val="000000"/>
      <w:sz w:val="20"/>
      <w:lang w:val="en-US" w:eastAsia="lt-LT"/>
    </w:rPr>
  </w:style>
  <w:style w:type="paragraph" w:customStyle="1" w:styleId="tactin">
    <w:name w:val="tactin"/>
    <w:basedOn w:val="Normal"/>
    <w:rsid w:val="00CD36F9"/>
    <w:pPr>
      <w:spacing w:after="150"/>
    </w:pPr>
    <w:rPr>
      <w:szCs w:val="24"/>
      <w:lang w:eastAsia="lt-LT"/>
    </w:rPr>
  </w:style>
  <w:style w:type="paragraph" w:customStyle="1" w:styleId="taltipfb">
    <w:name w:val="taltipfb"/>
    <w:basedOn w:val="Normal"/>
    <w:rsid w:val="00A245F5"/>
    <w:pPr>
      <w:spacing w:after="150"/>
    </w:pPr>
    <w:rPr>
      <w:szCs w:val="24"/>
      <w:lang w:eastAsia="lt-LT"/>
    </w:rPr>
  </w:style>
  <w:style w:type="paragraph" w:customStyle="1" w:styleId="tajtip">
    <w:name w:val="tajtip"/>
    <w:basedOn w:val="Normal"/>
    <w:rsid w:val="00A245F5"/>
    <w:pPr>
      <w:spacing w:after="150"/>
    </w:pPr>
    <w:rPr>
      <w:szCs w:val="24"/>
      <w:lang w:eastAsia="lt-LT"/>
    </w:rPr>
  </w:style>
  <w:style w:type="paragraph" w:customStyle="1" w:styleId="normal1">
    <w:name w:val="normal1"/>
    <w:basedOn w:val="Normal"/>
    <w:rsid w:val="00D03452"/>
    <w:pPr>
      <w:spacing w:before="120" w:line="312" w:lineRule="atLeast"/>
      <w:jc w:val="both"/>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A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B516A7"/>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A7"/>
    <w:rPr>
      <w:rFonts w:ascii="Cambria" w:eastAsia="Times New Roman" w:hAnsi="Cambria" w:cs="Times New Roman"/>
      <w:b/>
      <w:bCs/>
      <w:color w:val="365F91"/>
      <w:sz w:val="28"/>
      <w:szCs w:val="28"/>
      <w:lang w:val="lt-LT"/>
    </w:rPr>
  </w:style>
  <w:style w:type="character" w:styleId="PageNumber">
    <w:name w:val="page number"/>
    <w:basedOn w:val="DefaultParagraphFont"/>
    <w:rsid w:val="00B516A7"/>
  </w:style>
  <w:style w:type="paragraph" w:styleId="Header">
    <w:name w:val="header"/>
    <w:basedOn w:val="Normal"/>
    <w:link w:val="HeaderChar"/>
    <w:rsid w:val="00B516A7"/>
    <w:pPr>
      <w:tabs>
        <w:tab w:val="center" w:pos="4320"/>
        <w:tab w:val="right" w:pos="8640"/>
      </w:tabs>
    </w:pPr>
    <w:rPr>
      <w:sz w:val="20"/>
      <w:lang w:val="en-US" w:eastAsia="x-none"/>
    </w:rPr>
  </w:style>
  <w:style w:type="character" w:customStyle="1" w:styleId="HeaderChar">
    <w:name w:val="Header Char"/>
    <w:basedOn w:val="DefaultParagraphFont"/>
    <w:link w:val="Header"/>
    <w:rsid w:val="00B516A7"/>
    <w:rPr>
      <w:rFonts w:ascii="Times New Roman" w:eastAsia="Times New Roman" w:hAnsi="Times New Roman" w:cs="Times New Roman"/>
      <w:sz w:val="20"/>
      <w:szCs w:val="20"/>
      <w:lang w:eastAsia="x-none"/>
    </w:rPr>
  </w:style>
  <w:style w:type="paragraph" w:styleId="Footer">
    <w:name w:val="footer"/>
    <w:basedOn w:val="Normal"/>
    <w:link w:val="FooterChar"/>
    <w:rsid w:val="00B516A7"/>
    <w:pPr>
      <w:tabs>
        <w:tab w:val="center" w:pos="4320"/>
        <w:tab w:val="right" w:pos="8640"/>
      </w:tabs>
    </w:pPr>
    <w:rPr>
      <w:sz w:val="20"/>
      <w:lang w:val="en-US" w:eastAsia="x-none"/>
    </w:rPr>
  </w:style>
  <w:style w:type="character" w:customStyle="1" w:styleId="FooterChar">
    <w:name w:val="Footer Char"/>
    <w:basedOn w:val="DefaultParagraphFont"/>
    <w:link w:val="Footer"/>
    <w:rsid w:val="00B516A7"/>
    <w:rPr>
      <w:rFonts w:ascii="Times New Roman" w:eastAsia="Times New Roman" w:hAnsi="Times New Roman" w:cs="Times New Roman"/>
      <w:sz w:val="20"/>
      <w:szCs w:val="20"/>
      <w:lang w:eastAsia="x-none"/>
    </w:rPr>
  </w:style>
  <w:style w:type="paragraph" w:styleId="ListParagraph">
    <w:name w:val="List Paragraph"/>
    <w:basedOn w:val="Normal"/>
    <w:uiPriority w:val="34"/>
    <w:qFormat/>
    <w:rsid w:val="00B516A7"/>
    <w:pPr>
      <w:ind w:left="720"/>
    </w:pPr>
  </w:style>
  <w:style w:type="character" w:styleId="CommentReference">
    <w:name w:val="annotation reference"/>
    <w:basedOn w:val="DefaultParagraphFont"/>
    <w:unhideWhenUsed/>
    <w:rsid w:val="005657BE"/>
    <w:rPr>
      <w:sz w:val="16"/>
      <w:szCs w:val="16"/>
    </w:rPr>
  </w:style>
  <w:style w:type="paragraph" w:styleId="CommentText">
    <w:name w:val="annotation text"/>
    <w:basedOn w:val="Normal"/>
    <w:link w:val="CommentTextChar"/>
    <w:unhideWhenUsed/>
    <w:rsid w:val="005657BE"/>
    <w:pPr>
      <w:suppressAutoHyphens/>
    </w:pPr>
    <w:rPr>
      <w:sz w:val="20"/>
      <w:lang w:eastAsia="ar-SA"/>
    </w:rPr>
  </w:style>
  <w:style w:type="character" w:customStyle="1" w:styleId="CommentTextChar">
    <w:name w:val="Comment Text Char"/>
    <w:basedOn w:val="DefaultParagraphFont"/>
    <w:link w:val="CommentText"/>
    <w:rsid w:val="005657BE"/>
    <w:rPr>
      <w:rFonts w:ascii="Times New Roman" w:eastAsia="Times New Roman" w:hAnsi="Times New Roman" w:cs="Times New Roman"/>
      <w:sz w:val="20"/>
      <w:szCs w:val="20"/>
      <w:lang w:val="lt-LT" w:eastAsia="ar-SA"/>
    </w:rPr>
  </w:style>
  <w:style w:type="paragraph" w:styleId="BalloonText">
    <w:name w:val="Balloon Text"/>
    <w:basedOn w:val="Normal"/>
    <w:link w:val="BalloonTextChar"/>
    <w:uiPriority w:val="99"/>
    <w:semiHidden/>
    <w:unhideWhenUsed/>
    <w:rsid w:val="00565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BE"/>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8E56CB"/>
    <w:pPr>
      <w:suppressAutoHyphens w:val="0"/>
    </w:pPr>
    <w:rPr>
      <w:b/>
      <w:bCs/>
      <w:lang w:eastAsia="en-US"/>
    </w:rPr>
  </w:style>
  <w:style w:type="character" w:customStyle="1" w:styleId="CommentSubjectChar">
    <w:name w:val="Comment Subject Char"/>
    <w:basedOn w:val="CommentTextChar"/>
    <w:link w:val="CommentSubject"/>
    <w:uiPriority w:val="99"/>
    <w:semiHidden/>
    <w:rsid w:val="008E56CB"/>
    <w:rPr>
      <w:rFonts w:ascii="Times New Roman" w:eastAsia="Times New Roman" w:hAnsi="Times New Roman" w:cs="Times New Roman"/>
      <w:b/>
      <w:bCs/>
      <w:sz w:val="20"/>
      <w:szCs w:val="20"/>
      <w:lang w:val="lt-LT" w:eastAsia="ar-SA"/>
    </w:rPr>
  </w:style>
  <w:style w:type="paragraph" w:customStyle="1" w:styleId="Pagrindinistekstas1">
    <w:name w:val="Pagrindinis tekstas1"/>
    <w:basedOn w:val="Normal"/>
    <w:rsid w:val="00470BA3"/>
    <w:pPr>
      <w:suppressAutoHyphens/>
      <w:autoSpaceDE w:val="0"/>
      <w:autoSpaceDN w:val="0"/>
      <w:adjustRightInd w:val="0"/>
      <w:spacing w:line="297" w:lineRule="auto"/>
      <w:ind w:firstLine="312"/>
      <w:jc w:val="both"/>
    </w:pPr>
    <w:rPr>
      <w:color w:val="000000"/>
      <w:sz w:val="20"/>
      <w:lang w:val="en-US" w:eastAsia="lt-LT"/>
    </w:rPr>
  </w:style>
  <w:style w:type="paragraph" w:customStyle="1" w:styleId="tactin">
    <w:name w:val="tactin"/>
    <w:basedOn w:val="Normal"/>
    <w:rsid w:val="00CD36F9"/>
    <w:pPr>
      <w:spacing w:after="150"/>
    </w:pPr>
    <w:rPr>
      <w:szCs w:val="24"/>
      <w:lang w:eastAsia="lt-LT"/>
    </w:rPr>
  </w:style>
  <w:style w:type="paragraph" w:customStyle="1" w:styleId="taltipfb">
    <w:name w:val="taltipfb"/>
    <w:basedOn w:val="Normal"/>
    <w:rsid w:val="00A245F5"/>
    <w:pPr>
      <w:spacing w:after="150"/>
    </w:pPr>
    <w:rPr>
      <w:szCs w:val="24"/>
      <w:lang w:eastAsia="lt-LT"/>
    </w:rPr>
  </w:style>
  <w:style w:type="paragraph" w:customStyle="1" w:styleId="tajtip">
    <w:name w:val="tajtip"/>
    <w:basedOn w:val="Normal"/>
    <w:rsid w:val="00A245F5"/>
    <w:pPr>
      <w:spacing w:after="150"/>
    </w:pPr>
    <w:rPr>
      <w:szCs w:val="24"/>
      <w:lang w:eastAsia="lt-LT"/>
    </w:rPr>
  </w:style>
  <w:style w:type="paragraph" w:customStyle="1" w:styleId="normal1">
    <w:name w:val="normal1"/>
    <w:basedOn w:val="Normal"/>
    <w:rsid w:val="00D03452"/>
    <w:pPr>
      <w:spacing w:before="120" w:line="312" w:lineRule="atLeast"/>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5941">
      <w:bodyDiv w:val="1"/>
      <w:marLeft w:val="0"/>
      <w:marRight w:val="0"/>
      <w:marTop w:val="0"/>
      <w:marBottom w:val="0"/>
      <w:divBdr>
        <w:top w:val="none" w:sz="0" w:space="0" w:color="auto"/>
        <w:left w:val="none" w:sz="0" w:space="0" w:color="auto"/>
        <w:bottom w:val="none" w:sz="0" w:space="0" w:color="auto"/>
        <w:right w:val="none" w:sz="0" w:space="0" w:color="auto"/>
      </w:divBdr>
    </w:div>
    <w:div w:id="426972609">
      <w:bodyDiv w:val="1"/>
      <w:marLeft w:val="0"/>
      <w:marRight w:val="0"/>
      <w:marTop w:val="0"/>
      <w:marBottom w:val="0"/>
      <w:divBdr>
        <w:top w:val="none" w:sz="0" w:space="0" w:color="auto"/>
        <w:left w:val="none" w:sz="0" w:space="0" w:color="auto"/>
        <w:bottom w:val="none" w:sz="0" w:space="0" w:color="auto"/>
        <w:right w:val="none" w:sz="0" w:space="0" w:color="auto"/>
      </w:divBdr>
    </w:div>
    <w:div w:id="611279003">
      <w:bodyDiv w:val="1"/>
      <w:marLeft w:val="0"/>
      <w:marRight w:val="0"/>
      <w:marTop w:val="0"/>
      <w:marBottom w:val="0"/>
      <w:divBdr>
        <w:top w:val="none" w:sz="0" w:space="0" w:color="auto"/>
        <w:left w:val="none" w:sz="0" w:space="0" w:color="auto"/>
        <w:bottom w:val="none" w:sz="0" w:space="0" w:color="auto"/>
        <w:right w:val="none" w:sz="0" w:space="0" w:color="auto"/>
      </w:divBdr>
      <w:divsChild>
        <w:div w:id="1653829194">
          <w:marLeft w:val="0"/>
          <w:marRight w:val="0"/>
          <w:marTop w:val="0"/>
          <w:marBottom w:val="0"/>
          <w:divBdr>
            <w:top w:val="none" w:sz="0" w:space="0" w:color="auto"/>
            <w:left w:val="none" w:sz="0" w:space="0" w:color="auto"/>
            <w:bottom w:val="none" w:sz="0" w:space="0" w:color="auto"/>
            <w:right w:val="none" w:sz="0" w:space="0" w:color="auto"/>
          </w:divBdr>
          <w:divsChild>
            <w:div w:id="1101612259">
              <w:marLeft w:val="0"/>
              <w:marRight w:val="0"/>
              <w:marTop w:val="0"/>
              <w:marBottom w:val="0"/>
              <w:divBdr>
                <w:top w:val="none" w:sz="0" w:space="0" w:color="auto"/>
                <w:left w:val="none" w:sz="0" w:space="0" w:color="auto"/>
                <w:bottom w:val="none" w:sz="0" w:space="0" w:color="auto"/>
                <w:right w:val="none" w:sz="0" w:space="0" w:color="auto"/>
              </w:divBdr>
              <w:divsChild>
                <w:div w:id="950281744">
                  <w:marLeft w:val="0"/>
                  <w:marRight w:val="0"/>
                  <w:marTop w:val="0"/>
                  <w:marBottom w:val="0"/>
                  <w:divBdr>
                    <w:top w:val="none" w:sz="0" w:space="0" w:color="auto"/>
                    <w:left w:val="none" w:sz="0" w:space="0" w:color="auto"/>
                    <w:bottom w:val="none" w:sz="0" w:space="0" w:color="auto"/>
                    <w:right w:val="none" w:sz="0" w:space="0" w:color="auto"/>
                  </w:divBdr>
                  <w:divsChild>
                    <w:div w:id="1558515174">
                      <w:marLeft w:val="0"/>
                      <w:marRight w:val="0"/>
                      <w:marTop w:val="0"/>
                      <w:marBottom w:val="0"/>
                      <w:divBdr>
                        <w:top w:val="none" w:sz="0" w:space="0" w:color="auto"/>
                        <w:left w:val="none" w:sz="0" w:space="0" w:color="auto"/>
                        <w:bottom w:val="none" w:sz="0" w:space="0" w:color="auto"/>
                        <w:right w:val="none" w:sz="0" w:space="0" w:color="auto"/>
                      </w:divBdr>
                      <w:divsChild>
                        <w:div w:id="13944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13264">
      <w:bodyDiv w:val="1"/>
      <w:marLeft w:val="0"/>
      <w:marRight w:val="0"/>
      <w:marTop w:val="0"/>
      <w:marBottom w:val="0"/>
      <w:divBdr>
        <w:top w:val="none" w:sz="0" w:space="0" w:color="auto"/>
        <w:left w:val="none" w:sz="0" w:space="0" w:color="auto"/>
        <w:bottom w:val="none" w:sz="0" w:space="0" w:color="auto"/>
        <w:right w:val="none" w:sz="0" w:space="0" w:color="auto"/>
      </w:divBdr>
    </w:div>
    <w:div w:id="1360743935">
      <w:bodyDiv w:val="1"/>
      <w:marLeft w:val="0"/>
      <w:marRight w:val="0"/>
      <w:marTop w:val="0"/>
      <w:marBottom w:val="0"/>
      <w:divBdr>
        <w:top w:val="none" w:sz="0" w:space="0" w:color="auto"/>
        <w:left w:val="none" w:sz="0" w:space="0" w:color="auto"/>
        <w:bottom w:val="none" w:sz="0" w:space="0" w:color="auto"/>
        <w:right w:val="none" w:sz="0" w:space="0" w:color="auto"/>
      </w:divBdr>
    </w:div>
    <w:div w:id="1559852940">
      <w:bodyDiv w:val="1"/>
      <w:marLeft w:val="0"/>
      <w:marRight w:val="0"/>
      <w:marTop w:val="0"/>
      <w:marBottom w:val="0"/>
      <w:divBdr>
        <w:top w:val="none" w:sz="0" w:space="0" w:color="auto"/>
        <w:left w:val="none" w:sz="0" w:space="0" w:color="auto"/>
        <w:bottom w:val="none" w:sz="0" w:space="0" w:color="auto"/>
        <w:right w:val="none" w:sz="0" w:space="0" w:color="auto"/>
      </w:divBdr>
    </w:div>
    <w:div w:id="1751468535">
      <w:bodyDiv w:val="1"/>
      <w:marLeft w:val="0"/>
      <w:marRight w:val="0"/>
      <w:marTop w:val="0"/>
      <w:marBottom w:val="0"/>
      <w:divBdr>
        <w:top w:val="none" w:sz="0" w:space="0" w:color="auto"/>
        <w:left w:val="none" w:sz="0" w:space="0" w:color="auto"/>
        <w:bottom w:val="none" w:sz="0" w:space="0" w:color="auto"/>
        <w:right w:val="none" w:sz="0" w:space="0" w:color="auto"/>
      </w:divBdr>
    </w:div>
    <w:div w:id="1784498908">
      <w:bodyDiv w:val="1"/>
      <w:marLeft w:val="0"/>
      <w:marRight w:val="0"/>
      <w:marTop w:val="0"/>
      <w:marBottom w:val="0"/>
      <w:divBdr>
        <w:top w:val="none" w:sz="0" w:space="0" w:color="auto"/>
        <w:left w:val="none" w:sz="0" w:space="0" w:color="auto"/>
        <w:bottom w:val="none" w:sz="0" w:space="0" w:color="auto"/>
        <w:right w:val="none" w:sz="0" w:space="0" w:color="auto"/>
      </w:divBdr>
    </w:div>
    <w:div w:id="1869902434">
      <w:bodyDiv w:val="1"/>
      <w:marLeft w:val="0"/>
      <w:marRight w:val="0"/>
      <w:marTop w:val="0"/>
      <w:marBottom w:val="0"/>
      <w:divBdr>
        <w:top w:val="none" w:sz="0" w:space="0" w:color="auto"/>
        <w:left w:val="none" w:sz="0" w:space="0" w:color="auto"/>
        <w:bottom w:val="none" w:sz="0" w:space="0" w:color="auto"/>
        <w:right w:val="none" w:sz="0" w:space="0" w:color="auto"/>
      </w:divBdr>
      <w:divsChild>
        <w:div w:id="775103573">
          <w:marLeft w:val="0"/>
          <w:marRight w:val="0"/>
          <w:marTop w:val="0"/>
          <w:marBottom w:val="0"/>
          <w:divBdr>
            <w:top w:val="none" w:sz="0" w:space="0" w:color="auto"/>
            <w:left w:val="none" w:sz="0" w:space="0" w:color="auto"/>
            <w:bottom w:val="none" w:sz="0" w:space="0" w:color="auto"/>
            <w:right w:val="none" w:sz="0" w:space="0" w:color="auto"/>
          </w:divBdr>
          <w:divsChild>
            <w:div w:id="201334874">
              <w:marLeft w:val="0"/>
              <w:marRight w:val="0"/>
              <w:marTop w:val="0"/>
              <w:marBottom w:val="0"/>
              <w:divBdr>
                <w:top w:val="none" w:sz="0" w:space="0" w:color="auto"/>
                <w:left w:val="none" w:sz="0" w:space="0" w:color="auto"/>
                <w:bottom w:val="none" w:sz="0" w:space="0" w:color="auto"/>
                <w:right w:val="none" w:sz="0" w:space="0" w:color="auto"/>
              </w:divBdr>
              <w:divsChild>
                <w:div w:id="775906845">
                  <w:marLeft w:val="0"/>
                  <w:marRight w:val="0"/>
                  <w:marTop w:val="0"/>
                  <w:marBottom w:val="0"/>
                  <w:divBdr>
                    <w:top w:val="none" w:sz="0" w:space="0" w:color="auto"/>
                    <w:left w:val="none" w:sz="0" w:space="0" w:color="auto"/>
                    <w:bottom w:val="none" w:sz="0" w:space="0" w:color="auto"/>
                    <w:right w:val="none" w:sz="0" w:space="0" w:color="auto"/>
                  </w:divBdr>
                  <w:divsChild>
                    <w:div w:id="803623923">
                      <w:marLeft w:val="-150"/>
                      <w:marRight w:val="-150"/>
                      <w:marTop w:val="0"/>
                      <w:marBottom w:val="0"/>
                      <w:divBdr>
                        <w:top w:val="none" w:sz="0" w:space="0" w:color="auto"/>
                        <w:left w:val="none" w:sz="0" w:space="0" w:color="auto"/>
                        <w:bottom w:val="none" w:sz="0" w:space="0" w:color="auto"/>
                        <w:right w:val="none" w:sz="0" w:space="0" w:color="auto"/>
                      </w:divBdr>
                      <w:divsChild>
                        <w:div w:id="2144544879">
                          <w:marLeft w:val="0"/>
                          <w:marRight w:val="0"/>
                          <w:marTop w:val="0"/>
                          <w:marBottom w:val="0"/>
                          <w:divBdr>
                            <w:top w:val="none" w:sz="0" w:space="0" w:color="auto"/>
                            <w:left w:val="none" w:sz="0" w:space="0" w:color="auto"/>
                            <w:bottom w:val="none" w:sz="0" w:space="0" w:color="auto"/>
                            <w:right w:val="none" w:sz="0" w:space="0" w:color="auto"/>
                          </w:divBdr>
                          <w:divsChild>
                            <w:div w:id="1703632936">
                              <w:marLeft w:val="0"/>
                              <w:marRight w:val="0"/>
                              <w:marTop w:val="0"/>
                              <w:marBottom w:val="0"/>
                              <w:divBdr>
                                <w:top w:val="none" w:sz="0" w:space="0" w:color="auto"/>
                                <w:left w:val="none" w:sz="0" w:space="0" w:color="auto"/>
                                <w:bottom w:val="none" w:sz="0" w:space="0" w:color="auto"/>
                                <w:right w:val="none" w:sz="0" w:space="0" w:color="auto"/>
                              </w:divBdr>
                              <w:divsChild>
                                <w:div w:id="1561017814">
                                  <w:marLeft w:val="0"/>
                                  <w:marRight w:val="0"/>
                                  <w:marTop w:val="0"/>
                                  <w:marBottom w:val="300"/>
                                  <w:divBdr>
                                    <w:top w:val="none" w:sz="0" w:space="0" w:color="auto"/>
                                    <w:left w:val="none" w:sz="0" w:space="0" w:color="auto"/>
                                    <w:bottom w:val="none" w:sz="0" w:space="0" w:color="auto"/>
                                    <w:right w:val="none" w:sz="0" w:space="0" w:color="auto"/>
                                  </w:divBdr>
                                  <w:divsChild>
                                    <w:div w:id="1180699377">
                                      <w:marLeft w:val="0"/>
                                      <w:marRight w:val="0"/>
                                      <w:marTop w:val="0"/>
                                      <w:marBottom w:val="0"/>
                                      <w:divBdr>
                                        <w:top w:val="none" w:sz="0" w:space="0" w:color="auto"/>
                                        <w:left w:val="none" w:sz="0" w:space="0" w:color="auto"/>
                                        <w:bottom w:val="none" w:sz="0" w:space="0" w:color="auto"/>
                                        <w:right w:val="none" w:sz="0" w:space="0" w:color="auto"/>
                                      </w:divBdr>
                                      <w:divsChild>
                                        <w:div w:id="1279412421">
                                          <w:marLeft w:val="0"/>
                                          <w:marRight w:val="0"/>
                                          <w:marTop w:val="0"/>
                                          <w:marBottom w:val="0"/>
                                          <w:divBdr>
                                            <w:top w:val="none" w:sz="0" w:space="0" w:color="auto"/>
                                            <w:left w:val="none" w:sz="0" w:space="0" w:color="auto"/>
                                            <w:bottom w:val="none" w:sz="0" w:space="0" w:color="auto"/>
                                            <w:right w:val="none" w:sz="0" w:space="0" w:color="auto"/>
                                          </w:divBdr>
                                          <w:divsChild>
                                            <w:div w:id="538322225">
                                              <w:marLeft w:val="0"/>
                                              <w:marRight w:val="0"/>
                                              <w:marTop w:val="0"/>
                                              <w:marBottom w:val="0"/>
                                              <w:divBdr>
                                                <w:top w:val="none" w:sz="0" w:space="0" w:color="auto"/>
                                                <w:left w:val="none" w:sz="0" w:space="0" w:color="auto"/>
                                                <w:bottom w:val="none" w:sz="0" w:space="0" w:color="auto"/>
                                                <w:right w:val="none" w:sz="0" w:space="0" w:color="auto"/>
                                              </w:divBdr>
                                              <w:divsChild>
                                                <w:div w:id="1742942579">
                                                  <w:marLeft w:val="0"/>
                                                  <w:marRight w:val="0"/>
                                                  <w:marTop w:val="0"/>
                                                  <w:marBottom w:val="0"/>
                                                  <w:divBdr>
                                                    <w:top w:val="none" w:sz="0" w:space="0" w:color="auto"/>
                                                    <w:left w:val="none" w:sz="0" w:space="0" w:color="auto"/>
                                                    <w:bottom w:val="none" w:sz="0" w:space="0" w:color="auto"/>
                                                    <w:right w:val="none" w:sz="0" w:space="0" w:color="auto"/>
                                                  </w:divBdr>
                                                  <w:divsChild>
                                                    <w:div w:id="1589122102">
                                                      <w:marLeft w:val="0"/>
                                                      <w:marRight w:val="0"/>
                                                      <w:marTop w:val="0"/>
                                                      <w:marBottom w:val="0"/>
                                                      <w:divBdr>
                                                        <w:top w:val="none" w:sz="0" w:space="0" w:color="auto"/>
                                                        <w:left w:val="none" w:sz="0" w:space="0" w:color="auto"/>
                                                        <w:bottom w:val="none" w:sz="0" w:space="0" w:color="auto"/>
                                                        <w:right w:val="none" w:sz="0" w:space="0" w:color="auto"/>
                                                      </w:divBdr>
                                                      <w:divsChild>
                                                        <w:div w:id="177937139">
                                                          <w:marLeft w:val="0"/>
                                                          <w:marRight w:val="0"/>
                                                          <w:marTop w:val="0"/>
                                                          <w:marBottom w:val="0"/>
                                                          <w:divBdr>
                                                            <w:top w:val="none" w:sz="0" w:space="0" w:color="auto"/>
                                                            <w:left w:val="none" w:sz="0" w:space="0" w:color="auto"/>
                                                            <w:bottom w:val="none" w:sz="0" w:space="0" w:color="auto"/>
                                                            <w:right w:val="none" w:sz="0" w:space="0" w:color="auto"/>
                                                          </w:divBdr>
                                                          <w:divsChild>
                                                            <w:div w:id="314720110">
                                                              <w:marLeft w:val="0"/>
                                                              <w:marRight w:val="0"/>
                                                              <w:marTop w:val="0"/>
                                                              <w:marBottom w:val="0"/>
                                                              <w:divBdr>
                                                                <w:top w:val="none" w:sz="0" w:space="0" w:color="auto"/>
                                                                <w:left w:val="none" w:sz="0" w:space="0" w:color="auto"/>
                                                                <w:bottom w:val="none" w:sz="0" w:space="0" w:color="auto"/>
                                                                <w:right w:val="none" w:sz="0" w:space="0" w:color="auto"/>
                                                              </w:divBdr>
                                                              <w:divsChild>
                                                                <w:div w:id="1476483876">
                                                                  <w:marLeft w:val="0"/>
                                                                  <w:marRight w:val="0"/>
                                                                  <w:marTop w:val="0"/>
                                                                  <w:marBottom w:val="0"/>
                                                                  <w:divBdr>
                                                                    <w:top w:val="none" w:sz="0" w:space="0" w:color="auto"/>
                                                                    <w:left w:val="none" w:sz="0" w:space="0" w:color="auto"/>
                                                                    <w:bottom w:val="none" w:sz="0" w:space="0" w:color="auto"/>
                                                                    <w:right w:val="none" w:sz="0" w:space="0" w:color="auto"/>
                                                                  </w:divBdr>
                                                                  <w:divsChild>
                                                                    <w:div w:id="1350791335">
                                                                      <w:marLeft w:val="0"/>
                                                                      <w:marRight w:val="0"/>
                                                                      <w:marTop w:val="0"/>
                                                                      <w:marBottom w:val="0"/>
                                                                      <w:divBdr>
                                                                        <w:top w:val="none" w:sz="0" w:space="0" w:color="auto"/>
                                                                        <w:left w:val="none" w:sz="0" w:space="0" w:color="auto"/>
                                                                        <w:bottom w:val="none" w:sz="0" w:space="0" w:color="auto"/>
                                                                        <w:right w:val="none" w:sz="0" w:space="0" w:color="auto"/>
                                                                      </w:divBdr>
                                                                      <w:divsChild>
                                                                        <w:div w:id="8088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178015">
      <w:bodyDiv w:val="1"/>
      <w:marLeft w:val="0"/>
      <w:marRight w:val="0"/>
      <w:marTop w:val="0"/>
      <w:marBottom w:val="0"/>
      <w:divBdr>
        <w:top w:val="none" w:sz="0" w:space="0" w:color="auto"/>
        <w:left w:val="none" w:sz="0" w:space="0" w:color="auto"/>
        <w:bottom w:val="none" w:sz="0" w:space="0" w:color="auto"/>
        <w:right w:val="none" w:sz="0" w:space="0" w:color="auto"/>
      </w:divBdr>
      <w:divsChild>
        <w:div w:id="220559482">
          <w:marLeft w:val="0"/>
          <w:marRight w:val="0"/>
          <w:marTop w:val="0"/>
          <w:marBottom w:val="0"/>
          <w:divBdr>
            <w:top w:val="none" w:sz="0" w:space="0" w:color="auto"/>
            <w:left w:val="none" w:sz="0" w:space="0" w:color="auto"/>
            <w:bottom w:val="none" w:sz="0" w:space="0" w:color="auto"/>
            <w:right w:val="none" w:sz="0" w:space="0" w:color="auto"/>
          </w:divBdr>
          <w:divsChild>
            <w:div w:id="197090004">
              <w:marLeft w:val="0"/>
              <w:marRight w:val="0"/>
              <w:marTop w:val="0"/>
              <w:marBottom w:val="0"/>
              <w:divBdr>
                <w:top w:val="none" w:sz="0" w:space="0" w:color="auto"/>
                <w:left w:val="none" w:sz="0" w:space="0" w:color="auto"/>
                <w:bottom w:val="none" w:sz="0" w:space="0" w:color="auto"/>
                <w:right w:val="none" w:sz="0" w:space="0" w:color="auto"/>
              </w:divBdr>
              <w:divsChild>
                <w:div w:id="1730110344">
                  <w:marLeft w:val="0"/>
                  <w:marRight w:val="0"/>
                  <w:marTop w:val="0"/>
                  <w:marBottom w:val="0"/>
                  <w:divBdr>
                    <w:top w:val="none" w:sz="0" w:space="0" w:color="auto"/>
                    <w:left w:val="none" w:sz="0" w:space="0" w:color="auto"/>
                    <w:bottom w:val="none" w:sz="0" w:space="0" w:color="auto"/>
                    <w:right w:val="none" w:sz="0" w:space="0" w:color="auto"/>
                  </w:divBdr>
                  <w:divsChild>
                    <w:div w:id="759326907">
                      <w:marLeft w:val="0"/>
                      <w:marRight w:val="0"/>
                      <w:marTop w:val="0"/>
                      <w:marBottom w:val="0"/>
                      <w:divBdr>
                        <w:top w:val="none" w:sz="0" w:space="0" w:color="auto"/>
                        <w:left w:val="none" w:sz="0" w:space="0" w:color="auto"/>
                        <w:bottom w:val="none" w:sz="0" w:space="0" w:color="auto"/>
                        <w:right w:val="none" w:sz="0" w:space="0" w:color="auto"/>
                      </w:divBdr>
                      <w:divsChild>
                        <w:div w:id="17008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2829</Words>
  <Characters>1614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Samuolytė</dc:creator>
  <cp:lastModifiedBy>Elina Petrauskaitė</cp:lastModifiedBy>
  <cp:revision>5</cp:revision>
  <dcterms:created xsi:type="dcterms:W3CDTF">2019-06-07T04:43:00Z</dcterms:created>
  <dcterms:modified xsi:type="dcterms:W3CDTF">2019-06-07T08:43:00Z</dcterms:modified>
</cp:coreProperties>
</file>