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6117B" w14:textId="77777777" w:rsidR="004455E0" w:rsidRPr="00380491" w:rsidRDefault="004455E0" w:rsidP="004455E0">
      <w:pPr>
        <w:pStyle w:val="Antrats"/>
        <w:tabs>
          <w:tab w:val="clear" w:pos="4153"/>
        </w:tabs>
        <w:jc w:val="center"/>
        <w:rPr>
          <w:sz w:val="20"/>
        </w:rPr>
      </w:pPr>
      <w:r w:rsidRPr="00380491">
        <w:rPr>
          <w:sz w:val="20"/>
        </w:rPr>
        <w:object w:dxaOrig="863" w:dyaOrig="1044" w14:anchorId="02F18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3pt" o:ole="" fillcolor="window">
            <v:imagedata r:id="rId8" o:title=""/>
          </v:shape>
          <o:OLEObject Type="Embed" ProgID="Word.Picture.8" ShapeID="_x0000_i1025" DrawAspect="Content" ObjectID="_1614065308" r:id="rId9"/>
        </w:object>
      </w:r>
    </w:p>
    <w:p w14:paraId="05797A79" w14:textId="77777777" w:rsidR="004455E0" w:rsidRPr="00380491" w:rsidRDefault="004455E0" w:rsidP="004455E0">
      <w:pPr>
        <w:pStyle w:val="Antrats"/>
        <w:tabs>
          <w:tab w:val="clear" w:pos="4153"/>
        </w:tabs>
        <w:jc w:val="center"/>
        <w:rPr>
          <w:sz w:val="16"/>
        </w:rPr>
      </w:pPr>
    </w:p>
    <w:p w14:paraId="205C1ED1" w14:textId="77777777" w:rsidR="004455E0" w:rsidRPr="00380491" w:rsidRDefault="004455E0" w:rsidP="001B2184">
      <w:pPr>
        <w:pStyle w:val="Institucija"/>
        <w:outlineLvl w:val="0"/>
      </w:pPr>
      <w:r w:rsidRPr="00380491">
        <w:t>LIETUVOS RESPUBLIKOS TEISINGUMO MINISTERIJA</w:t>
      </w:r>
    </w:p>
    <w:p w14:paraId="09170DDF" w14:textId="77777777" w:rsidR="004455E0" w:rsidRPr="00380491" w:rsidRDefault="004455E0" w:rsidP="004455E0">
      <w:pPr>
        <w:pStyle w:val="Institucija"/>
      </w:pPr>
    </w:p>
    <w:p w14:paraId="547BE499" w14:textId="77777777" w:rsidR="002B0A96" w:rsidRPr="00380491" w:rsidRDefault="00180F9B" w:rsidP="002B0A96">
      <w:pPr>
        <w:pStyle w:val="Antrats"/>
        <w:pBdr>
          <w:bottom w:val="single" w:sz="4" w:space="1" w:color="auto"/>
        </w:pBdr>
        <w:tabs>
          <w:tab w:val="clear" w:pos="4153"/>
          <w:tab w:val="clear" w:pos="8306"/>
        </w:tabs>
        <w:jc w:val="center"/>
        <w:rPr>
          <w:sz w:val="20"/>
        </w:rPr>
      </w:pPr>
      <w:r w:rsidRPr="00380491">
        <w:rPr>
          <w:sz w:val="20"/>
        </w:rPr>
        <w:t>B</w:t>
      </w:r>
      <w:r w:rsidR="004455E0" w:rsidRPr="00380491">
        <w:rPr>
          <w:sz w:val="20"/>
        </w:rPr>
        <w:t xml:space="preserve">iudžetinė įstaiga, Gedimino pr. 30, LT-01104 Vilnius, </w:t>
      </w:r>
    </w:p>
    <w:p w14:paraId="2FFDB174" w14:textId="77777777" w:rsidR="004455E0" w:rsidRPr="00380491" w:rsidRDefault="004455E0" w:rsidP="004455E0">
      <w:pPr>
        <w:pStyle w:val="Antrats"/>
        <w:pBdr>
          <w:bottom w:val="single" w:sz="4" w:space="1" w:color="auto"/>
        </w:pBdr>
        <w:tabs>
          <w:tab w:val="clear" w:pos="4153"/>
          <w:tab w:val="clear" w:pos="8306"/>
        </w:tabs>
        <w:jc w:val="center"/>
        <w:rPr>
          <w:sz w:val="20"/>
        </w:rPr>
      </w:pPr>
      <w:r w:rsidRPr="00380491">
        <w:rPr>
          <w:sz w:val="20"/>
        </w:rPr>
        <w:t>tel. (8 5) 266 29</w:t>
      </w:r>
      <w:r w:rsidR="00AD06B1" w:rsidRPr="00380491">
        <w:rPr>
          <w:sz w:val="20"/>
        </w:rPr>
        <w:t>84</w:t>
      </w:r>
      <w:r w:rsidRPr="00380491">
        <w:rPr>
          <w:sz w:val="20"/>
        </w:rPr>
        <w:t xml:space="preserve">, faks. (8 5) 262 5940, el. p. </w:t>
      </w:r>
      <w:r w:rsidR="004B0E8C" w:rsidRPr="00380491">
        <w:rPr>
          <w:sz w:val="20"/>
        </w:rPr>
        <w:t>rastine</w:t>
      </w:r>
      <w:r w:rsidRPr="00380491">
        <w:rPr>
          <w:sz w:val="20"/>
        </w:rPr>
        <w:t>@tm.lt,</w:t>
      </w:r>
    </w:p>
    <w:p w14:paraId="328D69E3" w14:textId="77777777" w:rsidR="004455E0" w:rsidRPr="00380491" w:rsidRDefault="004455E0" w:rsidP="004455E0">
      <w:pPr>
        <w:pStyle w:val="Antrats"/>
        <w:pBdr>
          <w:bottom w:val="single" w:sz="4" w:space="1" w:color="auto"/>
        </w:pBdr>
        <w:tabs>
          <w:tab w:val="clear" w:pos="4153"/>
          <w:tab w:val="clear" w:pos="8306"/>
        </w:tabs>
        <w:jc w:val="center"/>
        <w:rPr>
          <w:sz w:val="20"/>
          <w:szCs w:val="20"/>
        </w:rPr>
      </w:pPr>
      <w:r w:rsidRPr="00380491">
        <w:rPr>
          <w:sz w:val="20"/>
        </w:rPr>
        <w:t xml:space="preserve">atsisk. sąskaita </w:t>
      </w:r>
      <w:r w:rsidR="009520B1" w:rsidRPr="00380491">
        <w:rPr>
          <w:sz w:val="20"/>
          <w:szCs w:val="20"/>
        </w:rPr>
        <w:t>LT574010051004670211</w:t>
      </w:r>
      <w:r w:rsidR="009520B1" w:rsidRPr="00380491">
        <w:rPr>
          <w:sz w:val="20"/>
        </w:rPr>
        <w:t xml:space="preserve"> Luminor Bank As</w:t>
      </w:r>
      <w:r w:rsidR="009520B1" w:rsidRPr="00380491">
        <w:rPr>
          <w:sz w:val="20"/>
          <w:szCs w:val="20"/>
        </w:rPr>
        <w:t>, banko kodas 40100.</w:t>
      </w:r>
    </w:p>
    <w:p w14:paraId="7623EC86" w14:textId="77777777" w:rsidR="004455E0" w:rsidRPr="00380491" w:rsidRDefault="004455E0" w:rsidP="004455E0">
      <w:pPr>
        <w:pStyle w:val="Antrats"/>
        <w:pBdr>
          <w:bottom w:val="single" w:sz="4" w:space="1" w:color="auto"/>
        </w:pBdr>
        <w:tabs>
          <w:tab w:val="clear" w:pos="4153"/>
          <w:tab w:val="clear" w:pos="8306"/>
        </w:tabs>
        <w:jc w:val="center"/>
        <w:rPr>
          <w:sz w:val="20"/>
        </w:rPr>
      </w:pPr>
      <w:r w:rsidRPr="00380491">
        <w:rPr>
          <w:sz w:val="20"/>
        </w:rPr>
        <w:t>Duomenys kaupiami ir saugomi Juridinių asmenų registre, kodas 188604955</w:t>
      </w:r>
    </w:p>
    <w:p w14:paraId="5B35C052" w14:textId="77777777" w:rsidR="004455E0" w:rsidRPr="00380491" w:rsidRDefault="004455E0" w:rsidP="004455E0">
      <w:pPr>
        <w:pStyle w:val="Antrats"/>
        <w:tabs>
          <w:tab w:val="clear" w:pos="4153"/>
        </w:tabs>
        <w:jc w:val="center"/>
        <w:rPr>
          <w:sz w:val="20"/>
        </w:rPr>
      </w:pPr>
    </w:p>
    <w:p w14:paraId="381FFC81" w14:textId="77777777" w:rsidR="004455E0" w:rsidRPr="00380491" w:rsidRDefault="004455E0" w:rsidP="004455E0">
      <w:pPr>
        <w:rPr>
          <w:lang w:val="lt-LT"/>
        </w:rPr>
      </w:pPr>
    </w:p>
    <w:tbl>
      <w:tblPr>
        <w:tblW w:w="0" w:type="auto"/>
        <w:tblLayout w:type="fixed"/>
        <w:tblLook w:val="0000" w:firstRow="0" w:lastRow="0" w:firstColumn="0" w:lastColumn="0" w:noHBand="0" w:noVBand="0"/>
      </w:tblPr>
      <w:tblGrid>
        <w:gridCol w:w="1668"/>
        <w:gridCol w:w="2400"/>
        <w:gridCol w:w="16"/>
      </w:tblGrid>
      <w:tr w:rsidR="004455E0" w:rsidRPr="00380491" w14:paraId="494D7910" w14:textId="77777777" w:rsidTr="004455E0">
        <w:trPr>
          <w:cantSplit/>
          <w:trHeight w:val="340"/>
        </w:trPr>
        <w:tc>
          <w:tcPr>
            <w:tcW w:w="1668" w:type="dxa"/>
          </w:tcPr>
          <w:p w14:paraId="3E26BE39" w14:textId="77777777" w:rsidR="004455E0" w:rsidRPr="00380491" w:rsidRDefault="004455E0" w:rsidP="00910FCB">
            <w:pPr>
              <w:framePr w:hSpace="180" w:wrap="around" w:vAnchor="text" w:hAnchor="margin" w:xAlign="right" w:y="10"/>
              <w:ind w:right="-52"/>
              <w:rPr>
                <w:lang w:val="lt-LT"/>
              </w:rPr>
            </w:pPr>
            <w:r w:rsidRPr="00380491">
              <w:rPr>
                <w:lang w:val="lt-LT"/>
              </w:rPr>
              <w:t>20</w:t>
            </w:r>
            <w:r w:rsidR="00C023BA" w:rsidRPr="00380491">
              <w:rPr>
                <w:lang w:val="lt-LT"/>
              </w:rPr>
              <w:t>1</w:t>
            </w:r>
            <w:r w:rsidR="004F2CAA" w:rsidRPr="00380491">
              <w:rPr>
                <w:lang w:val="lt-LT"/>
              </w:rPr>
              <w:t>9</w:t>
            </w:r>
            <w:r w:rsidRPr="00380491">
              <w:rPr>
                <w:lang w:val="lt-LT"/>
              </w:rPr>
              <w:t>-</w:t>
            </w:r>
            <w:r w:rsidR="00910FCB" w:rsidRPr="00380491">
              <w:rPr>
                <w:lang w:val="lt-LT"/>
              </w:rPr>
              <w:t xml:space="preserve">    </w:t>
            </w:r>
            <w:r w:rsidR="00050C58" w:rsidRPr="00380491">
              <w:rPr>
                <w:lang w:val="lt-LT"/>
              </w:rPr>
              <w:t>-</w:t>
            </w:r>
          </w:p>
        </w:tc>
        <w:tc>
          <w:tcPr>
            <w:tcW w:w="2416" w:type="dxa"/>
            <w:gridSpan w:val="2"/>
          </w:tcPr>
          <w:p w14:paraId="6F5C76FB" w14:textId="77777777" w:rsidR="004455E0" w:rsidRPr="00380491" w:rsidRDefault="004455E0" w:rsidP="004455E0">
            <w:pPr>
              <w:framePr w:hSpace="180" w:wrap="around" w:vAnchor="text" w:hAnchor="margin" w:xAlign="right" w:y="10"/>
              <w:rPr>
                <w:lang w:val="lt-LT"/>
              </w:rPr>
            </w:pPr>
            <w:r w:rsidRPr="00380491">
              <w:rPr>
                <w:lang w:val="lt-LT"/>
              </w:rPr>
              <w:t xml:space="preserve">Nr. </w:t>
            </w:r>
          </w:p>
        </w:tc>
      </w:tr>
      <w:tr w:rsidR="004455E0" w:rsidRPr="00380491" w14:paraId="3D714640" w14:textId="77777777" w:rsidTr="004455E0">
        <w:trPr>
          <w:gridAfter w:val="1"/>
          <w:wAfter w:w="16" w:type="dxa"/>
          <w:cantSplit/>
          <w:trHeight w:val="340"/>
        </w:trPr>
        <w:tc>
          <w:tcPr>
            <w:tcW w:w="1668" w:type="dxa"/>
          </w:tcPr>
          <w:p w14:paraId="3C2A3AA5" w14:textId="77777777" w:rsidR="004455E0" w:rsidRPr="00380491" w:rsidRDefault="008C4B25" w:rsidP="00653A86">
            <w:pPr>
              <w:framePr w:hSpace="180" w:wrap="around" w:vAnchor="text" w:hAnchor="margin" w:xAlign="right" w:y="10"/>
              <w:ind w:right="-52"/>
              <w:rPr>
                <w:lang w:val="lt-LT"/>
              </w:rPr>
            </w:pPr>
            <w:r w:rsidRPr="00380491">
              <w:rPr>
                <w:lang w:val="lt-LT"/>
              </w:rPr>
              <w:t xml:space="preserve">Į </w:t>
            </w:r>
            <w:r w:rsidR="00E01B72" w:rsidRPr="00380491">
              <w:rPr>
                <w:lang w:val="lt-LT"/>
              </w:rPr>
              <w:t>201</w:t>
            </w:r>
            <w:r w:rsidR="009520B1" w:rsidRPr="00380491">
              <w:rPr>
                <w:lang w:val="lt-LT"/>
              </w:rPr>
              <w:t>9</w:t>
            </w:r>
            <w:r w:rsidR="00E01B72" w:rsidRPr="00380491">
              <w:rPr>
                <w:lang w:val="lt-LT"/>
              </w:rPr>
              <w:t>-</w:t>
            </w:r>
            <w:r w:rsidR="00653A86" w:rsidRPr="00380491">
              <w:rPr>
                <w:lang w:val="lt-LT"/>
              </w:rPr>
              <w:t>03</w:t>
            </w:r>
            <w:r w:rsidR="00E01B72" w:rsidRPr="00380491">
              <w:rPr>
                <w:lang w:val="lt-LT"/>
              </w:rPr>
              <w:t>-</w:t>
            </w:r>
            <w:r w:rsidR="00653A86" w:rsidRPr="00380491">
              <w:rPr>
                <w:lang w:val="lt-LT"/>
              </w:rPr>
              <w:t>0</w:t>
            </w:r>
            <w:r w:rsidR="00556B17" w:rsidRPr="00380491">
              <w:rPr>
                <w:lang w:val="lt-LT"/>
              </w:rPr>
              <w:t>4</w:t>
            </w:r>
          </w:p>
        </w:tc>
        <w:tc>
          <w:tcPr>
            <w:tcW w:w="2400" w:type="dxa"/>
          </w:tcPr>
          <w:p w14:paraId="3B18B1FF" w14:textId="77777777" w:rsidR="004455E0" w:rsidRPr="00380491" w:rsidRDefault="00E01B72" w:rsidP="00556B17">
            <w:pPr>
              <w:framePr w:hSpace="180" w:wrap="around" w:vAnchor="text" w:hAnchor="margin" w:xAlign="right" w:y="10"/>
              <w:rPr>
                <w:lang w:val="lt-LT"/>
              </w:rPr>
            </w:pPr>
            <w:r w:rsidRPr="00380491">
              <w:rPr>
                <w:lang w:val="lt-LT"/>
              </w:rPr>
              <w:t xml:space="preserve">Nr. </w:t>
            </w:r>
            <w:r w:rsidR="00653A86" w:rsidRPr="00380491">
              <w:rPr>
                <w:lang w:val="lt-LT"/>
              </w:rPr>
              <w:t>S-</w:t>
            </w:r>
            <w:r w:rsidR="00556B17" w:rsidRPr="00380491">
              <w:rPr>
                <w:lang w:val="lt-LT"/>
              </w:rPr>
              <w:t>704</w:t>
            </w:r>
          </w:p>
        </w:tc>
      </w:tr>
    </w:tbl>
    <w:p w14:paraId="3DA0CB15" w14:textId="77777777" w:rsidR="00E01B72" w:rsidRPr="00380491" w:rsidRDefault="00E01B72" w:rsidP="00C305B8">
      <w:pPr>
        <w:pStyle w:val="Adresas"/>
        <w:ind w:right="0"/>
      </w:pPr>
      <w:r w:rsidRPr="00380491">
        <w:t xml:space="preserve">Lietuvos Respublikos </w:t>
      </w:r>
      <w:r w:rsidR="00556B17" w:rsidRPr="00380491">
        <w:t>Vyriausybės kanceliarijai</w:t>
      </w:r>
    </w:p>
    <w:p w14:paraId="5C9BC98E" w14:textId="77777777" w:rsidR="00E01B72" w:rsidRPr="00380491" w:rsidRDefault="00E01B72" w:rsidP="00E01B72">
      <w:pPr>
        <w:pStyle w:val="Adresas"/>
        <w:ind w:right="0"/>
      </w:pPr>
    </w:p>
    <w:p w14:paraId="5F904020" w14:textId="77777777" w:rsidR="00E01B72" w:rsidRPr="00380491" w:rsidRDefault="00E01B72" w:rsidP="00F278DD">
      <w:pPr>
        <w:pStyle w:val="Pavadinimas1"/>
        <w:spacing w:before="0" w:after="0"/>
        <w:ind w:right="0"/>
      </w:pPr>
    </w:p>
    <w:p w14:paraId="3BF8E8E9" w14:textId="77777777" w:rsidR="00EB302B" w:rsidRPr="00380491" w:rsidRDefault="00EB302B" w:rsidP="00F278DD">
      <w:pPr>
        <w:pStyle w:val="Pavadinimas1"/>
        <w:spacing w:before="0" w:after="0"/>
        <w:ind w:right="0"/>
      </w:pPr>
    </w:p>
    <w:p w14:paraId="570C11F4" w14:textId="77777777" w:rsidR="00240506" w:rsidRPr="00380491" w:rsidRDefault="00240506" w:rsidP="00240506">
      <w:pPr>
        <w:pStyle w:val="Betarp"/>
        <w:jc w:val="both"/>
        <w:rPr>
          <w:rFonts w:ascii="Times New Roman" w:hAnsi="Times New Roman"/>
          <w:b/>
          <w:caps/>
          <w:sz w:val="24"/>
          <w:szCs w:val="24"/>
        </w:rPr>
      </w:pPr>
      <w:r w:rsidRPr="00380491">
        <w:rPr>
          <w:rFonts w:ascii="Times New Roman" w:hAnsi="Times New Roman"/>
          <w:b/>
          <w:sz w:val="24"/>
          <w:szCs w:val="24"/>
        </w:rPr>
        <w:t>DĖL</w:t>
      </w:r>
      <w:r w:rsidRPr="00380491">
        <w:rPr>
          <w:rFonts w:ascii="Times New Roman" w:hAnsi="Times New Roman"/>
          <w:b/>
          <w:caps/>
          <w:sz w:val="24"/>
          <w:szCs w:val="24"/>
        </w:rPr>
        <w:t xml:space="preserve"> </w:t>
      </w:r>
      <w:r w:rsidR="00A03552" w:rsidRPr="00380491">
        <w:rPr>
          <w:rFonts w:ascii="Times New Roman" w:hAnsi="Times New Roman"/>
          <w:b/>
          <w:caps/>
          <w:sz w:val="24"/>
          <w:szCs w:val="24"/>
        </w:rPr>
        <w:t>nutarimo projekto</w:t>
      </w:r>
      <w:r w:rsidR="00D14EDD" w:rsidRPr="00380491">
        <w:rPr>
          <w:rFonts w:ascii="Times New Roman" w:hAnsi="Times New Roman"/>
          <w:b/>
          <w:caps/>
          <w:sz w:val="24"/>
          <w:szCs w:val="24"/>
        </w:rPr>
        <w:t xml:space="preserve"> </w:t>
      </w:r>
      <w:r w:rsidR="005E415D" w:rsidRPr="00380491">
        <w:rPr>
          <w:rFonts w:ascii="Times New Roman" w:hAnsi="Times New Roman"/>
          <w:b/>
          <w:caps/>
          <w:sz w:val="24"/>
          <w:szCs w:val="24"/>
        </w:rPr>
        <w:t>derinimo</w:t>
      </w:r>
    </w:p>
    <w:p w14:paraId="05199948" w14:textId="77777777" w:rsidR="00240506" w:rsidRPr="00380491" w:rsidRDefault="00240506" w:rsidP="00240506">
      <w:pPr>
        <w:pStyle w:val="Betarp"/>
        <w:jc w:val="both"/>
      </w:pPr>
    </w:p>
    <w:p w14:paraId="421A1840" w14:textId="77777777" w:rsidR="00B563D3" w:rsidRPr="00380491" w:rsidRDefault="00A43818" w:rsidP="006631FB">
      <w:pPr>
        <w:pStyle w:val="Betarp"/>
        <w:spacing w:line="276" w:lineRule="auto"/>
        <w:ind w:firstLine="993"/>
        <w:jc w:val="both"/>
        <w:rPr>
          <w:rStyle w:val="Hipersaitas"/>
          <w:rFonts w:ascii="Times New Roman" w:hAnsi="Times New Roman"/>
          <w:color w:val="auto"/>
          <w:sz w:val="24"/>
          <w:szCs w:val="24"/>
          <w:u w:val="none"/>
          <w:lang w:eastAsia="ar-SA"/>
        </w:rPr>
      </w:pPr>
      <w:r w:rsidRPr="00380491">
        <w:rPr>
          <w:rFonts w:ascii="Times New Roman" w:hAnsi="Times New Roman"/>
          <w:sz w:val="24"/>
          <w:szCs w:val="24"/>
          <w:lang w:eastAsia="ar-SA"/>
        </w:rPr>
        <w:t xml:space="preserve">Lietuvos Respublikos teisingumo ministerija, </w:t>
      </w:r>
      <w:r w:rsidR="006B7740" w:rsidRPr="00380491">
        <w:rPr>
          <w:rFonts w:ascii="Times New Roman" w:hAnsi="Times New Roman"/>
          <w:sz w:val="24"/>
          <w:szCs w:val="24"/>
          <w:lang w:eastAsia="ar-SA"/>
        </w:rPr>
        <w:t xml:space="preserve">pagal kompetenciją įvertinusi </w:t>
      </w:r>
      <w:r w:rsidR="00960C4F" w:rsidRPr="00380491">
        <w:rPr>
          <w:rFonts w:ascii="Times New Roman" w:hAnsi="Times New Roman"/>
          <w:sz w:val="24"/>
          <w:szCs w:val="24"/>
          <w:lang w:eastAsia="ar-SA"/>
        </w:rPr>
        <w:t>derinimui pateiktą</w:t>
      </w:r>
      <w:r w:rsidR="005E10E5" w:rsidRPr="00380491">
        <w:rPr>
          <w:rFonts w:ascii="Times New Roman" w:hAnsi="Times New Roman"/>
          <w:sz w:val="24"/>
          <w:szCs w:val="24"/>
          <w:lang w:eastAsia="ar-SA"/>
        </w:rPr>
        <w:t xml:space="preserve"> </w:t>
      </w:r>
      <w:hyperlink r:id="rId10" w:history="1">
        <w:r w:rsidR="005E10E5" w:rsidRPr="00380491">
          <w:rPr>
            <w:rStyle w:val="Hipersaitas"/>
            <w:rFonts w:ascii="Times New Roman" w:hAnsi="Times New Roman"/>
            <w:sz w:val="24"/>
            <w:szCs w:val="24"/>
            <w:lang w:eastAsia="ar-SA"/>
          </w:rPr>
          <w:t>Lietuvos Respublikos Vyriausybės nutarimo „</w:t>
        </w:r>
        <w:r w:rsidR="00556B17" w:rsidRPr="00380491">
          <w:rPr>
            <w:rStyle w:val="Hipersaitas"/>
            <w:rFonts w:ascii="Times New Roman" w:hAnsi="Times New Roman"/>
            <w:sz w:val="24"/>
            <w:szCs w:val="24"/>
            <w:lang w:eastAsia="ar-SA"/>
          </w:rPr>
          <w:t>Dėl Lietuvos Respublikos Vyriausybės 1994 m. rugpjūčio 11 d. nutarimo Nr. 728 „Dėl Lietuvos Respublikos Vyriausybės  darbo reglamento patvirtinimo“ pakeitimo</w:t>
        </w:r>
        <w:r w:rsidR="005E10E5" w:rsidRPr="00380491">
          <w:rPr>
            <w:rStyle w:val="Hipersaitas"/>
            <w:rFonts w:ascii="Times New Roman" w:hAnsi="Times New Roman"/>
            <w:sz w:val="24"/>
            <w:szCs w:val="24"/>
            <w:lang w:eastAsia="ar-SA"/>
          </w:rPr>
          <w:t>“ projektą</w:t>
        </w:r>
      </w:hyperlink>
      <w:r w:rsidR="007943B5" w:rsidRPr="00380491">
        <w:rPr>
          <w:rStyle w:val="Hipersaitas"/>
          <w:rFonts w:ascii="Times New Roman" w:hAnsi="Times New Roman"/>
          <w:color w:val="auto"/>
          <w:sz w:val="24"/>
          <w:szCs w:val="24"/>
          <w:u w:val="none"/>
          <w:lang w:eastAsia="ar-SA"/>
        </w:rPr>
        <w:t xml:space="preserve">, </w:t>
      </w:r>
      <w:r w:rsidR="002D0B80" w:rsidRPr="00380491">
        <w:rPr>
          <w:rStyle w:val="Hipersaitas"/>
          <w:rFonts w:ascii="Times New Roman" w:hAnsi="Times New Roman"/>
          <w:color w:val="auto"/>
          <w:sz w:val="24"/>
          <w:szCs w:val="24"/>
          <w:u w:val="none"/>
          <w:lang w:eastAsia="ar-SA"/>
        </w:rPr>
        <w:t>teikia šias pastabas ir pasiūlymus</w:t>
      </w:r>
      <w:r w:rsidR="0076001F" w:rsidRPr="00380491">
        <w:rPr>
          <w:rStyle w:val="Hipersaitas"/>
          <w:rFonts w:ascii="Times New Roman" w:hAnsi="Times New Roman"/>
          <w:color w:val="auto"/>
          <w:sz w:val="24"/>
          <w:szCs w:val="24"/>
          <w:u w:val="none"/>
          <w:lang w:eastAsia="ar-SA"/>
        </w:rPr>
        <w:t>:</w:t>
      </w:r>
    </w:p>
    <w:p w14:paraId="7E2138D2" w14:textId="77777777" w:rsidR="0076001F" w:rsidRPr="00380491" w:rsidRDefault="00556B17" w:rsidP="006631FB">
      <w:pPr>
        <w:pStyle w:val="Betarp"/>
        <w:numPr>
          <w:ilvl w:val="0"/>
          <w:numId w:val="5"/>
        </w:numPr>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Nutarimo projektas pildytinas nuostatomis, apibrėžiančiomis teisėkūros procedūrų, pradėtų iki Vyriausybės darbo reglamento pakeitimų įsigaliojimo, vykdymą po pakeitimų įsigaliojimo.</w:t>
      </w:r>
    </w:p>
    <w:p w14:paraId="5B8DCDDE" w14:textId="77777777" w:rsidR="00556B17" w:rsidRPr="00380491" w:rsidRDefault="00556B17" w:rsidP="006631FB">
      <w:pPr>
        <w:pStyle w:val="Betarp"/>
        <w:numPr>
          <w:ilvl w:val="0"/>
          <w:numId w:val="5"/>
        </w:numPr>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Siūlomos Vyriausybės darbo reglamento 2</w:t>
      </w:r>
      <w:r w:rsidRPr="00380491">
        <w:rPr>
          <w:rFonts w:ascii="Times New Roman" w:hAnsi="Times New Roman"/>
          <w:sz w:val="24"/>
          <w:szCs w:val="24"/>
          <w:vertAlign w:val="superscript"/>
          <w:lang w:eastAsia="lt-LT"/>
        </w:rPr>
        <w:t>1</w:t>
      </w:r>
      <w:r w:rsidRPr="00380491">
        <w:rPr>
          <w:rFonts w:ascii="Times New Roman" w:hAnsi="Times New Roman"/>
          <w:sz w:val="24"/>
          <w:szCs w:val="24"/>
          <w:lang w:eastAsia="lt-LT"/>
        </w:rPr>
        <w:t xml:space="preserve"> ir 2</w:t>
      </w:r>
      <w:r w:rsidRPr="00380491">
        <w:rPr>
          <w:rFonts w:ascii="Times New Roman" w:hAnsi="Times New Roman"/>
          <w:sz w:val="24"/>
          <w:szCs w:val="24"/>
          <w:vertAlign w:val="superscript"/>
          <w:lang w:eastAsia="lt-LT"/>
        </w:rPr>
        <w:t>2</w:t>
      </w:r>
      <w:r w:rsidRPr="00380491">
        <w:rPr>
          <w:rFonts w:ascii="Times New Roman" w:hAnsi="Times New Roman"/>
          <w:sz w:val="24"/>
          <w:szCs w:val="24"/>
          <w:lang w:eastAsia="lt-LT"/>
        </w:rPr>
        <w:t xml:space="preserve"> p. nuostatos laikytinos perteklinėmis ir nesukuriančiomis pridėtinės vertės. Valstybės ir tarnybos paslapčių apsaugos įstatymo, Asmens duomenų </w:t>
      </w:r>
      <w:r w:rsidR="001B5177" w:rsidRPr="00380491">
        <w:rPr>
          <w:rFonts w:ascii="Times New Roman" w:hAnsi="Times New Roman"/>
          <w:sz w:val="24"/>
          <w:szCs w:val="24"/>
          <w:lang w:eastAsia="lt-LT"/>
        </w:rPr>
        <w:t>teisin</w:t>
      </w:r>
      <w:r w:rsidR="00AE7669" w:rsidRPr="00380491">
        <w:rPr>
          <w:rFonts w:ascii="Times New Roman" w:hAnsi="Times New Roman"/>
          <w:sz w:val="24"/>
          <w:szCs w:val="24"/>
          <w:lang w:eastAsia="lt-LT"/>
        </w:rPr>
        <w:t xml:space="preserve">ės </w:t>
      </w:r>
      <w:r w:rsidRPr="00380491">
        <w:rPr>
          <w:rFonts w:ascii="Times New Roman" w:hAnsi="Times New Roman"/>
          <w:sz w:val="24"/>
          <w:szCs w:val="24"/>
          <w:lang w:eastAsia="lt-LT"/>
        </w:rPr>
        <w:t>apsaugos įstatymo, kitų įstatymų ir jų įgyvendinamųjų teisės aktų, kaip ir tiesiogiai taikomų Europos Sąjungos teisės aktų laikymasis</w:t>
      </w:r>
      <w:r w:rsidR="00AE7669" w:rsidRPr="00380491">
        <w:rPr>
          <w:rFonts w:ascii="Times New Roman" w:hAnsi="Times New Roman"/>
          <w:sz w:val="24"/>
          <w:szCs w:val="24"/>
          <w:lang w:eastAsia="lt-LT"/>
        </w:rPr>
        <w:t xml:space="preserve"> ar taikymas </w:t>
      </w:r>
      <w:r w:rsidRPr="00380491">
        <w:rPr>
          <w:rFonts w:ascii="Times New Roman" w:hAnsi="Times New Roman"/>
          <w:sz w:val="24"/>
          <w:szCs w:val="24"/>
          <w:lang w:eastAsia="lt-LT"/>
        </w:rPr>
        <w:t>tiesiogiai išplaukia iš Lietuvos Respublikos Konstitucijos ir Europos Sąjungos steigimo</w:t>
      </w:r>
      <w:r w:rsidR="00575C19" w:rsidRPr="00380491">
        <w:rPr>
          <w:rFonts w:ascii="Times New Roman" w:hAnsi="Times New Roman"/>
          <w:sz w:val="24"/>
          <w:szCs w:val="24"/>
          <w:lang w:eastAsia="lt-LT"/>
        </w:rPr>
        <w:t xml:space="preserve"> sutarties </w:t>
      </w:r>
      <w:r w:rsidRPr="00380491">
        <w:rPr>
          <w:rFonts w:ascii="Times New Roman" w:hAnsi="Times New Roman"/>
          <w:sz w:val="24"/>
          <w:szCs w:val="24"/>
          <w:lang w:eastAsia="lt-LT"/>
        </w:rPr>
        <w:t xml:space="preserve">bei narystės </w:t>
      </w:r>
      <w:r w:rsidR="00AE7669" w:rsidRPr="00380491">
        <w:rPr>
          <w:rFonts w:ascii="Times New Roman" w:hAnsi="Times New Roman"/>
          <w:sz w:val="24"/>
          <w:szCs w:val="24"/>
          <w:lang w:eastAsia="lt-LT"/>
        </w:rPr>
        <w:t xml:space="preserve">Europos Sąjungoje </w:t>
      </w:r>
      <w:r w:rsidRPr="00380491">
        <w:rPr>
          <w:rFonts w:ascii="Times New Roman" w:hAnsi="Times New Roman"/>
          <w:sz w:val="24"/>
          <w:szCs w:val="24"/>
          <w:lang w:eastAsia="lt-LT"/>
        </w:rPr>
        <w:t>dokumentų</w:t>
      </w:r>
      <w:r w:rsidR="00575C19" w:rsidRPr="00380491">
        <w:rPr>
          <w:rFonts w:ascii="Times New Roman" w:hAnsi="Times New Roman"/>
          <w:sz w:val="24"/>
          <w:szCs w:val="24"/>
          <w:lang w:eastAsia="lt-LT"/>
        </w:rPr>
        <w:t>.</w:t>
      </w:r>
      <w:r w:rsidR="002569E7" w:rsidRPr="00380491">
        <w:rPr>
          <w:rFonts w:ascii="Times New Roman" w:hAnsi="Times New Roman"/>
          <w:sz w:val="24"/>
          <w:szCs w:val="24"/>
          <w:lang w:eastAsia="lt-LT"/>
        </w:rPr>
        <w:t xml:space="preserve"> Analogiškai </w:t>
      </w:r>
      <w:r w:rsidR="00380491">
        <w:rPr>
          <w:rFonts w:ascii="Times New Roman" w:hAnsi="Times New Roman"/>
          <w:sz w:val="24"/>
          <w:szCs w:val="24"/>
          <w:lang w:eastAsia="lt-LT"/>
        </w:rPr>
        <w:t xml:space="preserve">vertintinas </w:t>
      </w:r>
      <w:r w:rsidR="002569E7" w:rsidRPr="00380491">
        <w:rPr>
          <w:rFonts w:ascii="Times New Roman" w:hAnsi="Times New Roman"/>
          <w:sz w:val="24"/>
          <w:szCs w:val="24"/>
          <w:lang w:eastAsia="lt-LT"/>
        </w:rPr>
        <w:t>ir Vyriausybės darbo reglamento 140</w:t>
      </w:r>
      <w:r w:rsidR="002569E7" w:rsidRPr="00380491">
        <w:rPr>
          <w:rFonts w:ascii="Times New Roman" w:hAnsi="Times New Roman"/>
          <w:sz w:val="24"/>
          <w:szCs w:val="24"/>
          <w:vertAlign w:val="superscript"/>
          <w:lang w:eastAsia="lt-LT"/>
        </w:rPr>
        <w:t>5</w:t>
      </w:r>
      <w:r w:rsidR="002569E7" w:rsidRPr="00380491">
        <w:rPr>
          <w:rFonts w:ascii="Times New Roman" w:hAnsi="Times New Roman"/>
          <w:sz w:val="24"/>
          <w:szCs w:val="24"/>
          <w:lang w:eastAsia="lt-LT"/>
        </w:rPr>
        <w:t xml:space="preserve"> p.</w:t>
      </w:r>
    </w:p>
    <w:p w14:paraId="6A1FA7F8" w14:textId="0AEEC4C6" w:rsidR="00575C19" w:rsidRPr="00380491" w:rsidRDefault="00575C19" w:rsidP="006631FB">
      <w:pPr>
        <w:pStyle w:val="Betarp"/>
        <w:numPr>
          <w:ilvl w:val="0"/>
          <w:numId w:val="5"/>
        </w:numPr>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Lieka nep</w:t>
      </w:r>
      <w:r w:rsidR="00380491">
        <w:rPr>
          <w:rFonts w:ascii="Times New Roman" w:hAnsi="Times New Roman"/>
          <w:sz w:val="24"/>
          <w:szCs w:val="24"/>
          <w:lang w:eastAsia="lt-LT"/>
        </w:rPr>
        <w:t>a</w:t>
      </w:r>
      <w:r w:rsidRPr="00380491">
        <w:rPr>
          <w:rFonts w:ascii="Times New Roman" w:hAnsi="Times New Roman"/>
          <w:sz w:val="24"/>
          <w:szCs w:val="24"/>
          <w:lang w:eastAsia="lt-LT"/>
        </w:rPr>
        <w:t>grįsta, kokiu tikslu dėstomos Vyriausybės darbo reglamento 8 p. antrosios pastraipos nuostatos. Viena vertus</w:t>
      </w:r>
      <w:r w:rsidR="00AE7669" w:rsidRPr="00380491">
        <w:rPr>
          <w:rFonts w:ascii="Times New Roman" w:hAnsi="Times New Roman"/>
          <w:sz w:val="24"/>
          <w:szCs w:val="24"/>
          <w:lang w:eastAsia="lt-LT"/>
        </w:rPr>
        <w:t>,</w:t>
      </w:r>
      <w:r w:rsidRPr="00380491">
        <w:rPr>
          <w:rFonts w:ascii="Times New Roman" w:hAnsi="Times New Roman"/>
          <w:sz w:val="24"/>
          <w:szCs w:val="24"/>
          <w:lang w:eastAsia="lt-LT"/>
        </w:rPr>
        <w:t xml:space="preserve"> jos skirtos grynai techninio pobūdžio darbinei nuostatai įtvirtinti (garso įrašymo įrenginių (diktofonų) informacijos laikmenos tvarkymui), kita vertus, neaptariamas kitas svarbus momentas – fiksuotos informacijos (ne)perkėlimas į kitą informacinę laikmeną ir tolesnis jos saugojimas. Be to, iš siūlomo reguliavimo lieka neaišku, kas priima sprendimą dėl įrašo darymo tikslingumo. Tuo atveju, jei būtų apsiribojama tik posėdžių protokolų saugojimu, norminis reguliavimas turėtų užtikrinti išsamų gar</w:t>
      </w:r>
      <w:r w:rsidR="00380491">
        <w:rPr>
          <w:rFonts w:ascii="Times New Roman" w:hAnsi="Times New Roman"/>
          <w:sz w:val="24"/>
          <w:szCs w:val="24"/>
          <w:lang w:eastAsia="lt-LT"/>
        </w:rPr>
        <w:t>s</w:t>
      </w:r>
      <w:r w:rsidRPr="00380491">
        <w:rPr>
          <w:rFonts w:ascii="Times New Roman" w:hAnsi="Times New Roman"/>
          <w:sz w:val="24"/>
          <w:szCs w:val="24"/>
          <w:lang w:eastAsia="lt-LT"/>
        </w:rPr>
        <w:t>o įrašo laikmenoje fiksuotos informacijos perkėlimą į posėdžio protokolą.</w:t>
      </w:r>
    </w:p>
    <w:p w14:paraId="5B7BCBA1" w14:textId="2A752B2E" w:rsidR="00575C19" w:rsidRPr="00380491" w:rsidRDefault="00575C19" w:rsidP="006631FB">
      <w:pPr>
        <w:pStyle w:val="Betarp"/>
        <w:numPr>
          <w:ilvl w:val="0"/>
          <w:numId w:val="5"/>
        </w:numPr>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Vertinant Vyriausybės darbo reglamento 10</w:t>
      </w:r>
      <w:r w:rsidRPr="00380491">
        <w:rPr>
          <w:rFonts w:ascii="Times New Roman" w:hAnsi="Times New Roman"/>
          <w:sz w:val="24"/>
          <w:szCs w:val="24"/>
          <w:vertAlign w:val="superscript"/>
          <w:lang w:eastAsia="lt-LT"/>
        </w:rPr>
        <w:t>1</w:t>
      </w:r>
      <w:r w:rsidRPr="00380491">
        <w:rPr>
          <w:rFonts w:ascii="Times New Roman" w:hAnsi="Times New Roman"/>
          <w:sz w:val="24"/>
          <w:szCs w:val="24"/>
          <w:lang w:eastAsia="lt-LT"/>
        </w:rPr>
        <w:t xml:space="preserve"> </w:t>
      </w:r>
      <w:r w:rsidR="00380491">
        <w:rPr>
          <w:rFonts w:ascii="Times New Roman" w:hAnsi="Times New Roman"/>
          <w:sz w:val="24"/>
          <w:szCs w:val="24"/>
          <w:lang w:eastAsia="lt-LT"/>
        </w:rPr>
        <w:t>p</w:t>
      </w:r>
      <w:r w:rsidRPr="00380491">
        <w:rPr>
          <w:rFonts w:ascii="Times New Roman" w:hAnsi="Times New Roman"/>
          <w:sz w:val="24"/>
          <w:szCs w:val="24"/>
          <w:lang w:eastAsia="lt-LT"/>
        </w:rPr>
        <w:t>. nuostatas, siūlytina tikslinti formuluotę „valdo rizikas“ (kieno rizikas?)</w:t>
      </w:r>
      <w:r w:rsidR="007F00AE" w:rsidRPr="00380491">
        <w:rPr>
          <w:rFonts w:ascii="Times New Roman" w:hAnsi="Times New Roman"/>
          <w:sz w:val="24"/>
          <w:szCs w:val="24"/>
          <w:lang w:eastAsia="lt-LT"/>
        </w:rPr>
        <w:t xml:space="preserve"> (analogiškai ir 10</w:t>
      </w:r>
      <w:r w:rsidR="007F00AE" w:rsidRPr="00380491">
        <w:rPr>
          <w:rFonts w:ascii="Times New Roman" w:hAnsi="Times New Roman"/>
          <w:sz w:val="24"/>
          <w:szCs w:val="24"/>
          <w:vertAlign w:val="superscript"/>
          <w:lang w:eastAsia="lt-LT"/>
        </w:rPr>
        <w:t>2</w:t>
      </w:r>
      <w:r w:rsidR="007F00AE" w:rsidRPr="00380491">
        <w:rPr>
          <w:rFonts w:ascii="Times New Roman" w:hAnsi="Times New Roman"/>
          <w:sz w:val="24"/>
          <w:szCs w:val="24"/>
          <w:lang w:eastAsia="lt-LT"/>
        </w:rPr>
        <w:t xml:space="preserve"> p.)</w:t>
      </w:r>
      <w:r w:rsidRPr="00380491">
        <w:rPr>
          <w:rFonts w:ascii="Times New Roman" w:hAnsi="Times New Roman"/>
          <w:sz w:val="24"/>
          <w:szCs w:val="24"/>
          <w:lang w:eastAsia="lt-LT"/>
        </w:rPr>
        <w:t xml:space="preserve"> bei „vertina portfelio projektų įgyvendinimą“ (neapibrėžtas sutrumpinimas „portfelio projektai“ bei</w:t>
      </w:r>
      <w:r w:rsidR="007F00AE" w:rsidRPr="00380491">
        <w:rPr>
          <w:rFonts w:ascii="Times New Roman" w:hAnsi="Times New Roman"/>
          <w:sz w:val="24"/>
          <w:szCs w:val="24"/>
          <w:lang w:eastAsia="lt-LT"/>
        </w:rPr>
        <w:t>,</w:t>
      </w:r>
      <w:r w:rsidRPr="00380491">
        <w:rPr>
          <w:rFonts w:ascii="Times New Roman" w:hAnsi="Times New Roman"/>
          <w:sz w:val="24"/>
          <w:szCs w:val="24"/>
          <w:lang w:eastAsia="lt-LT"/>
        </w:rPr>
        <w:t xml:space="preserve"> kalbant apie proje</w:t>
      </w:r>
      <w:r w:rsidR="007F00AE" w:rsidRPr="00380491">
        <w:rPr>
          <w:rFonts w:ascii="Times New Roman" w:hAnsi="Times New Roman"/>
          <w:sz w:val="24"/>
          <w:szCs w:val="24"/>
          <w:lang w:eastAsia="lt-LT"/>
        </w:rPr>
        <w:t>k</w:t>
      </w:r>
      <w:r w:rsidRPr="00380491">
        <w:rPr>
          <w:rFonts w:ascii="Times New Roman" w:hAnsi="Times New Roman"/>
          <w:sz w:val="24"/>
          <w:szCs w:val="24"/>
          <w:lang w:eastAsia="lt-LT"/>
        </w:rPr>
        <w:t xml:space="preserve">tus, </w:t>
      </w:r>
      <w:r w:rsidR="00380491">
        <w:rPr>
          <w:rFonts w:ascii="Times New Roman" w:hAnsi="Times New Roman"/>
          <w:sz w:val="24"/>
          <w:szCs w:val="24"/>
          <w:lang w:eastAsia="lt-LT"/>
        </w:rPr>
        <w:t xml:space="preserve">šiame kontekste </w:t>
      </w:r>
      <w:r w:rsidRPr="00380491">
        <w:rPr>
          <w:rFonts w:ascii="Times New Roman" w:hAnsi="Times New Roman"/>
          <w:sz w:val="24"/>
          <w:szCs w:val="24"/>
          <w:lang w:eastAsia="lt-LT"/>
        </w:rPr>
        <w:t xml:space="preserve">galima </w:t>
      </w:r>
      <w:r w:rsidR="00380491">
        <w:rPr>
          <w:rFonts w:ascii="Times New Roman" w:hAnsi="Times New Roman"/>
          <w:sz w:val="24"/>
          <w:szCs w:val="24"/>
          <w:lang w:eastAsia="lt-LT"/>
        </w:rPr>
        <w:t>pasisakyti</w:t>
      </w:r>
      <w:r w:rsidR="00380491" w:rsidRPr="00380491">
        <w:rPr>
          <w:rFonts w:ascii="Times New Roman" w:hAnsi="Times New Roman"/>
          <w:sz w:val="24"/>
          <w:szCs w:val="24"/>
          <w:lang w:eastAsia="lt-LT"/>
        </w:rPr>
        <w:t xml:space="preserve"> </w:t>
      </w:r>
      <w:r w:rsidRPr="00380491">
        <w:rPr>
          <w:rFonts w:ascii="Times New Roman" w:hAnsi="Times New Roman"/>
          <w:sz w:val="24"/>
          <w:szCs w:val="24"/>
          <w:lang w:eastAsia="lt-LT"/>
        </w:rPr>
        <w:t>apie jų rengimą ir teikimą</w:t>
      </w:r>
      <w:r w:rsidR="00AE7669" w:rsidRPr="00380491">
        <w:rPr>
          <w:rFonts w:ascii="Times New Roman" w:hAnsi="Times New Roman"/>
          <w:sz w:val="24"/>
          <w:szCs w:val="24"/>
          <w:lang w:eastAsia="lt-LT"/>
        </w:rPr>
        <w:t xml:space="preserve"> ar šių procesų koordinavimą ir kontroliavimą</w:t>
      </w:r>
      <w:r w:rsidRPr="00380491">
        <w:rPr>
          <w:rFonts w:ascii="Times New Roman" w:hAnsi="Times New Roman"/>
          <w:sz w:val="24"/>
          <w:szCs w:val="24"/>
          <w:lang w:eastAsia="lt-LT"/>
        </w:rPr>
        <w:t xml:space="preserve">, o ne apie </w:t>
      </w:r>
      <w:r w:rsidR="00AE7669" w:rsidRPr="00380491">
        <w:rPr>
          <w:rFonts w:ascii="Times New Roman" w:hAnsi="Times New Roman"/>
          <w:sz w:val="24"/>
          <w:szCs w:val="24"/>
          <w:lang w:eastAsia="lt-LT"/>
        </w:rPr>
        <w:t xml:space="preserve">projektų </w:t>
      </w:r>
      <w:r w:rsidRPr="00380491">
        <w:rPr>
          <w:rFonts w:ascii="Times New Roman" w:hAnsi="Times New Roman"/>
          <w:sz w:val="24"/>
          <w:szCs w:val="24"/>
          <w:lang w:eastAsia="lt-LT"/>
        </w:rPr>
        <w:t>įgyven</w:t>
      </w:r>
      <w:r w:rsidR="007F00AE" w:rsidRPr="00380491">
        <w:rPr>
          <w:rFonts w:ascii="Times New Roman" w:hAnsi="Times New Roman"/>
          <w:sz w:val="24"/>
          <w:szCs w:val="24"/>
          <w:lang w:eastAsia="lt-LT"/>
        </w:rPr>
        <w:t>d</w:t>
      </w:r>
      <w:r w:rsidRPr="00380491">
        <w:rPr>
          <w:rFonts w:ascii="Times New Roman" w:hAnsi="Times New Roman"/>
          <w:sz w:val="24"/>
          <w:szCs w:val="24"/>
          <w:lang w:eastAsia="lt-LT"/>
        </w:rPr>
        <w:t>inimą (įgyvendinimas</w:t>
      </w:r>
      <w:r w:rsidR="00380491">
        <w:rPr>
          <w:rFonts w:ascii="Times New Roman" w:hAnsi="Times New Roman"/>
          <w:sz w:val="24"/>
          <w:szCs w:val="24"/>
          <w:lang w:eastAsia="lt-LT"/>
        </w:rPr>
        <w:t xml:space="preserve"> – tai </w:t>
      </w:r>
      <w:r w:rsidRPr="00380491">
        <w:rPr>
          <w:rFonts w:ascii="Times New Roman" w:hAnsi="Times New Roman"/>
          <w:sz w:val="24"/>
          <w:szCs w:val="24"/>
          <w:lang w:eastAsia="lt-LT"/>
        </w:rPr>
        <w:t>vėlesnė jau priimto teisės akto realizavimo stadija</w:t>
      </w:r>
      <w:r w:rsidR="00AE7669" w:rsidRPr="00380491">
        <w:rPr>
          <w:rFonts w:ascii="Times New Roman" w:hAnsi="Times New Roman"/>
          <w:sz w:val="24"/>
          <w:szCs w:val="24"/>
          <w:lang w:eastAsia="lt-LT"/>
        </w:rPr>
        <w:t>)</w:t>
      </w:r>
      <w:r w:rsidR="007F00AE" w:rsidRPr="00380491">
        <w:rPr>
          <w:rFonts w:ascii="Times New Roman" w:hAnsi="Times New Roman"/>
          <w:sz w:val="24"/>
          <w:szCs w:val="24"/>
          <w:lang w:eastAsia="lt-LT"/>
        </w:rPr>
        <w:t>, nebent turimas omenyje ne projektų, o strateginių projektų portfelio įgyvendinimas).</w:t>
      </w:r>
    </w:p>
    <w:p w14:paraId="373FC6F7" w14:textId="4B199F86" w:rsidR="007F00AE" w:rsidRPr="00380491" w:rsidRDefault="007F00AE"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Vyriausybės darbo reglamento 10</w:t>
      </w:r>
      <w:r w:rsidRPr="00380491">
        <w:rPr>
          <w:rFonts w:ascii="Times New Roman" w:hAnsi="Times New Roman"/>
          <w:sz w:val="24"/>
          <w:szCs w:val="24"/>
          <w:vertAlign w:val="superscript"/>
          <w:lang w:eastAsia="lt-LT"/>
        </w:rPr>
        <w:t>2</w:t>
      </w:r>
      <w:r w:rsidRPr="00380491">
        <w:rPr>
          <w:rFonts w:ascii="Times New Roman" w:hAnsi="Times New Roman"/>
          <w:sz w:val="24"/>
          <w:szCs w:val="24"/>
          <w:lang w:eastAsia="lt-LT"/>
        </w:rPr>
        <w:t xml:space="preserve"> p. turinys neatitinka skyriaus pavadinimo. Be to, siūlome įvertinti</w:t>
      </w:r>
      <w:r w:rsidR="00AE7669" w:rsidRPr="00380491">
        <w:rPr>
          <w:rFonts w:ascii="Times New Roman" w:hAnsi="Times New Roman"/>
          <w:sz w:val="24"/>
          <w:szCs w:val="24"/>
          <w:lang w:eastAsia="lt-LT"/>
        </w:rPr>
        <w:t>,</w:t>
      </w:r>
      <w:r w:rsidRPr="00380491">
        <w:rPr>
          <w:rFonts w:ascii="Times New Roman" w:hAnsi="Times New Roman"/>
          <w:sz w:val="24"/>
          <w:szCs w:val="24"/>
          <w:lang w:eastAsia="lt-LT"/>
        </w:rPr>
        <w:t xml:space="preserve"> ar siūlomų 10</w:t>
      </w:r>
      <w:r w:rsidRPr="00380491">
        <w:rPr>
          <w:rFonts w:ascii="Times New Roman" w:hAnsi="Times New Roman"/>
          <w:sz w:val="24"/>
          <w:szCs w:val="24"/>
          <w:vertAlign w:val="superscript"/>
          <w:lang w:eastAsia="lt-LT"/>
        </w:rPr>
        <w:t>1</w:t>
      </w:r>
      <w:r w:rsidRPr="00380491">
        <w:rPr>
          <w:rFonts w:ascii="Times New Roman" w:hAnsi="Times New Roman"/>
          <w:sz w:val="24"/>
          <w:szCs w:val="24"/>
          <w:lang w:eastAsia="lt-LT"/>
        </w:rPr>
        <w:t xml:space="preserve"> ir 10</w:t>
      </w:r>
      <w:r w:rsidRPr="00380491">
        <w:rPr>
          <w:rFonts w:ascii="Times New Roman" w:hAnsi="Times New Roman"/>
          <w:sz w:val="24"/>
          <w:szCs w:val="24"/>
          <w:vertAlign w:val="superscript"/>
          <w:lang w:eastAsia="lt-LT"/>
        </w:rPr>
        <w:t>2</w:t>
      </w:r>
      <w:r w:rsidRPr="00380491">
        <w:rPr>
          <w:rFonts w:ascii="Times New Roman" w:hAnsi="Times New Roman"/>
          <w:sz w:val="24"/>
          <w:szCs w:val="24"/>
          <w:lang w:eastAsia="lt-LT"/>
        </w:rPr>
        <w:t xml:space="preserve"> p. nuostatų, kaip susijusių su teisėkūra, dėstymas nebūtų tikslingesnis Vyriausybės darbo reglamento III skyriuje. Be to, lieka neaišku, kokiais kriterijais </w:t>
      </w:r>
      <w:r w:rsidRPr="00380491">
        <w:rPr>
          <w:rFonts w:ascii="Times New Roman" w:hAnsi="Times New Roman"/>
          <w:sz w:val="24"/>
          <w:szCs w:val="24"/>
          <w:lang w:eastAsia="lt-LT"/>
        </w:rPr>
        <w:lastRenderedPageBreak/>
        <w:t xml:space="preserve">vadovaujantis sudaromi </w:t>
      </w:r>
      <w:r w:rsidR="00DE48D1">
        <w:rPr>
          <w:rFonts w:ascii="Times New Roman" w:hAnsi="Times New Roman"/>
          <w:sz w:val="24"/>
          <w:szCs w:val="24"/>
          <w:lang w:eastAsia="lt-LT"/>
        </w:rPr>
        <w:t xml:space="preserve">institucijų projektų portfeliai, ar neturėtų būti atsižvelgiama į Ministro Pirmininko strateginių projektų portfelį. Kita vertus, </w:t>
      </w:r>
      <w:r w:rsidRPr="00380491">
        <w:rPr>
          <w:rFonts w:ascii="Times New Roman" w:hAnsi="Times New Roman"/>
          <w:sz w:val="24"/>
          <w:szCs w:val="24"/>
          <w:lang w:eastAsia="lt-LT"/>
        </w:rPr>
        <w:t xml:space="preserve">svarstytina, </w:t>
      </w:r>
      <w:r w:rsidR="00DE48D1">
        <w:rPr>
          <w:rFonts w:ascii="Times New Roman" w:hAnsi="Times New Roman"/>
          <w:sz w:val="24"/>
          <w:szCs w:val="24"/>
          <w:lang w:eastAsia="lt-LT"/>
        </w:rPr>
        <w:t>ar projektų rengimo  institucijoje</w:t>
      </w:r>
      <w:r w:rsidRPr="00380491">
        <w:rPr>
          <w:rFonts w:ascii="Times New Roman" w:hAnsi="Times New Roman"/>
          <w:sz w:val="24"/>
          <w:szCs w:val="24"/>
          <w:lang w:eastAsia="lt-LT"/>
        </w:rPr>
        <w:t xml:space="preserve"> tvarka neturėtų būti institucijų darbo tvarką reglamentuojančių teisės aktų </w:t>
      </w:r>
      <w:r w:rsidR="00F01C04" w:rsidRPr="00380491">
        <w:rPr>
          <w:rFonts w:ascii="Times New Roman" w:hAnsi="Times New Roman"/>
          <w:sz w:val="24"/>
          <w:szCs w:val="24"/>
          <w:lang w:eastAsia="lt-LT"/>
        </w:rPr>
        <w:t xml:space="preserve">(institucijos nuostatų, darbo reglamentų) </w:t>
      </w:r>
      <w:r w:rsidRPr="00380491">
        <w:rPr>
          <w:rFonts w:ascii="Times New Roman" w:hAnsi="Times New Roman"/>
          <w:sz w:val="24"/>
          <w:szCs w:val="24"/>
          <w:lang w:eastAsia="lt-LT"/>
        </w:rPr>
        <w:t>reguliavimo dalyku.</w:t>
      </w:r>
    </w:p>
    <w:p w14:paraId="24C0C5A7" w14:textId="77777777" w:rsidR="007F00AE" w:rsidRPr="00380491" w:rsidRDefault="0059049F"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Siūlome įvertinti</w:t>
      </w:r>
      <w:r w:rsidR="009E4BE0">
        <w:rPr>
          <w:rFonts w:ascii="Times New Roman" w:hAnsi="Times New Roman"/>
          <w:sz w:val="24"/>
          <w:szCs w:val="24"/>
          <w:lang w:eastAsia="lt-LT"/>
        </w:rPr>
        <w:t>,</w:t>
      </w:r>
      <w:r w:rsidRPr="00380491">
        <w:rPr>
          <w:rFonts w:ascii="Times New Roman" w:hAnsi="Times New Roman"/>
          <w:sz w:val="24"/>
          <w:szCs w:val="24"/>
          <w:lang w:eastAsia="lt-LT"/>
        </w:rPr>
        <w:t xml:space="preserve"> ar Vyriausybės darbo reglamento 11 p. antrojoje pastraipoje  formuluojama taisyklė neturėtų būti taikoma ir strateginio planavimo dokumentų atžvilgiu (ne tik Vyriausybės siūlymų dėl atitinkamos Seimo sesijos darbų programos</w:t>
      </w:r>
      <w:r w:rsidR="00700472" w:rsidRPr="00380491">
        <w:rPr>
          <w:rFonts w:ascii="Times New Roman" w:hAnsi="Times New Roman"/>
          <w:sz w:val="24"/>
          <w:szCs w:val="24"/>
          <w:lang w:eastAsia="lt-LT"/>
        </w:rPr>
        <w:t xml:space="preserve"> atžvilgiu</w:t>
      </w:r>
      <w:r w:rsidRPr="00380491">
        <w:rPr>
          <w:rFonts w:ascii="Times New Roman" w:hAnsi="Times New Roman"/>
          <w:sz w:val="24"/>
          <w:szCs w:val="24"/>
          <w:lang w:eastAsia="lt-LT"/>
        </w:rPr>
        <w:t>).</w:t>
      </w:r>
    </w:p>
    <w:p w14:paraId="126B5BEE" w14:textId="3109BE08" w:rsidR="0059049F" w:rsidRPr="00380491" w:rsidRDefault="0059049F"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Vyriausybės darbo reglamento 12</w:t>
      </w:r>
      <w:r w:rsidR="00DE48D1" w:rsidRPr="00DE48D1">
        <w:rPr>
          <w:rFonts w:ascii="Times New Roman" w:hAnsi="Times New Roman"/>
          <w:sz w:val="24"/>
          <w:szCs w:val="24"/>
          <w:vertAlign w:val="superscript"/>
          <w:lang w:eastAsia="lt-LT"/>
        </w:rPr>
        <w:t>2</w:t>
      </w:r>
      <w:r w:rsidRPr="00380491">
        <w:rPr>
          <w:rFonts w:ascii="Times New Roman" w:hAnsi="Times New Roman"/>
          <w:sz w:val="24"/>
          <w:szCs w:val="24"/>
          <w:lang w:eastAsia="lt-LT"/>
        </w:rPr>
        <w:t xml:space="preserve"> p. pirmajame sakinyje siūlytina vietoj „projekto rengėjo“ nurodyti </w:t>
      </w:r>
      <w:r w:rsidR="009E4BE0">
        <w:rPr>
          <w:rFonts w:ascii="Times New Roman" w:hAnsi="Times New Roman"/>
          <w:sz w:val="24"/>
          <w:szCs w:val="24"/>
          <w:lang w:eastAsia="lt-LT"/>
        </w:rPr>
        <w:t>„</w:t>
      </w:r>
      <w:r w:rsidRPr="00380491">
        <w:rPr>
          <w:rFonts w:ascii="Times New Roman" w:hAnsi="Times New Roman"/>
          <w:sz w:val="24"/>
          <w:szCs w:val="24"/>
          <w:lang w:eastAsia="lt-LT"/>
        </w:rPr>
        <w:t xml:space="preserve">projektą rengiančią </w:t>
      </w:r>
      <w:r w:rsidR="009E4BE0">
        <w:rPr>
          <w:rFonts w:ascii="Times New Roman" w:hAnsi="Times New Roman"/>
          <w:sz w:val="24"/>
          <w:szCs w:val="24"/>
          <w:lang w:eastAsia="lt-LT"/>
        </w:rPr>
        <w:t>instituciją</w:t>
      </w:r>
      <w:r w:rsidRPr="00380491">
        <w:rPr>
          <w:rFonts w:ascii="Times New Roman" w:hAnsi="Times New Roman"/>
          <w:sz w:val="24"/>
          <w:szCs w:val="24"/>
          <w:lang w:eastAsia="lt-LT"/>
        </w:rPr>
        <w:t>“.</w:t>
      </w:r>
    </w:p>
    <w:p w14:paraId="3BB27F25" w14:textId="79AA330A" w:rsidR="0059049F" w:rsidRPr="00380491" w:rsidRDefault="0059049F"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 xml:space="preserve">Atsižvelgiant į tai, kad konsultacijos su visuomene paprastai vykdomos </w:t>
      </w:r>
      <w:r w:rsidRPr="009B489C">
        <w:rPr>
          <w:rFonts w:ascii="Times New Roman" w:hAnsi="Times New Roman"/>
          <w:i/>
          <w:sz w:val="24"/>
          <w:szCs w:val="24"/>
          <w:lang w:eastAsia="lt-LT"/>
        </w:rPr>
        <w:t>teisės akto projekto rengimo</w:t>
      </w:r>
      <w:r w:rsidRPr="00380491">
        <w:rPr>
          <w:rFonts w:ascii="Times New Roman" w:hAnsi="Times New Roman"/>
          <w:sz w:val="24"/>
          <w:szCs w:val="24"/>
          <w:lang w:eastAsia="lt-LT"/>
        </w:rPr>
        <w:t xml:space="preserve"> stadijoje, </w:t>
      </w:r>
      <w:r w:rsidR="003D00C3">
        <w:rPr>
          <w:rFonts w:ascii="Times New Roman" w:hAnsi="Times New Roman"/>
          <w:sz w:val="24"/>
          <w:szCs w:val="24"/>
          <w:lang w:eastAsia="lt-LT"/>
        </w:rPr>
        <w:t xml:space="preserve">o konsultacijų rengimas </w:t>
      </w:r>
      <w:r w:rsidR="003D00C3" w:rsidRPr="009B489C">
        <w:rPr>
          <w:rFonts w:ascii="Times New Roman" w:hAnsi="Times New Roman"/>
          <w:i/>
          <w:sz w:val="24"/>
          <w:szCs w:val="24"/>
          <w:lang w:eastAsia="lt-LT"/>
        </w:rPr>
        <w:t>teisėkūros iniciatyvos pareiškimo</w:t>
      </w:r>
      <w:r w:rsidR="003D00C3">
        <w:rPr>
          <w:rFonts w:ascii="Times New Roman" w:hAnsi="Times New Roman"/>
          <w:sz w:val="24"/>
          <w:szCs w:val="24"/>
          <w:lang w:eastAsia="lt-LT"/>
        </w:rPr>
        <w:t xml:space="preserve"> stadijoje konkrečiais atvejais gali būti vertinamas kaip perteklinis, </w:t>
      </w:r>
      <w:r w:rsidRPr="00380491">
        <w:rPr>
          <w:rFonts w:ascii="Times New Roman" w:hAnsi="Times New Roman"/>
          <w:sz w:val="24"/>
          <w:szCs w:val="24"/>
          <w:lang w:eastAsia="lt-LT"/>
        </w:rPr>
        <w:t xml:space="preserve">siūlome nurodyti, </w:t>
      </w:r>
      <w:r w:rsidR="003D00C3">
        <w:rPr>
          <w:rFonts w:ascii="Times New Roman" w:hAnsi="Times New Roman"/>
          <w:sz w:val="24"/>
          <w:szCs w:val="24"/>
          <w:lang w:eastAsia="lt-LT"/>
        </w:rPr>
        <w:t>kad konsultacijos paprastai rengiamos būtent teisės akto projekto rengimo stadijoje, o</w:t>
      </w:r>
      <w:r w:rsidRPr="00380491">
        <w:rPr>
          <w:rFonts w:ascii="Times New Roman" w:hAnsi="Times New Roman"/>
          <w:sz w:val="24"/>
          <w:szCs w:val="24"/>
          <w:lang w:eastAsia="lt-LT"/>
        </w:rPr>
        <w:t xml:space="preserve"> kitose stadijose konsultavimasis su visuomene vykdomas pagal poreikį</w:t>
      </w:r>
      <w:r w:rsidR="00700472" w:rsidRPr="00380491">
        <w:rPr>
          <w:rFonts w:ascii="Times New Roman" w:hAnsi="Times New Roman"/>
          <w:sz w:val="24"/>
          <w:szCs w:val="24"/>
          <w:lang w:eastAsia="lt-LT"/>
        </w:rPr>
        <w:t xml:space="preserve"> (Vyriausybės darbo reglamento 12</w:t>
      </w:r>
      <w:r w:rsidR="00700472" w:rsidRPr="00380491">
        <w:rPr>
          <w:rFonts w:ascii="Times New Roman" w:hAnsi="Times New Roman"/>
          <w:sz w:val="24"/>
          <w:szCs w:val="24"/>
          <w:vertAlign w:val="superscript"/>
          <w:lang w:eastAsia="lt-LT"/>
        </w:rPr>
        <w:t>2</w:t>
      </w:r>
      <w:r w:rsidR="00700472" w:rsidRPr="00380491">
        <w:rPr>
          <w:rFonts w:ascii="Times New Roman" w:hAnsi="Times New Roman"/>
          <w:sz w:val="24"/>
          <w:szCs w:val="24"/>
          <w:lang w:eastAsia="lt-LT"/>
        </w:rPr>
        <w:t xml:space="preserve"> p.)</w:t>
      </w:r>
      <w:r w:rsidRPr="00380491">
        <w:rPr>
          <w:rFonts w:ascii="Times New Roman" w:hAnsi="Times New Roman"/>
          <w:sz w:val="24"/>
          <w:szCs w:val="24"/>
          <w:lang w:eastAsia="lt-LT"/>
        </w:rPr>
        <w:t>.</w:t>
      </w:r>
      <w:r w:rsidR="003D00C3">
        <w:rPr>
          <w:rFonts w:ascii="Times New Roman" w:hAnsi="Times New Roman"/>
          <w:sz w:val="24"/>
          <w:szCs w:val="24"/>
          <w:lang w:eastAsia="lt-LT"/>
        </w:rPr>
        <w:t xml:space="preserve"> Be to, lieka neaišku, </w:t>
      </w:r>
      <w:r w:rsidR="002D5A10">
        <w:rPr>
          <w:rFonts w:ascii="Times New Roman" w:hAnsi="Times New Roman"/>
          <w:sz w:val="24"/>
          <w:szCs w:val="24"/>
          <w:lang w:eastAsia="lt-LT"/>
        </w:rPr>
        <w:t>kokia informacija apie viešųjų konsultacijų</w:t>
      </w:r>
      <w:r w:rsidR="003D00C3">
        <w:rPr>
          <w:rFonts w:ascii="Times New Roman" w:hAnsi="Times New Roman"/>
          <w:sz w:val="24"/>
          <w:szCs w:val="24"/>
          <w:lang w:eastAsia="lt-LT"/>
        </w:rPr>
        <w:t xml:space="preserve"> </w:t>
      </w:r>
      <w:r w:rsidR="003D00C3" w:rsidRPr="009B489C">
        <w:rPr>
          <w:rFonts w:ascii="Times New Roman" w:hAnsi="Times New Roman"/>
          <w:i/>
          <w:sz w:val="24"/>
          <w:szCs w:val="24"/>
          <w:lang w:eastAsia="lt-LT"/>
        </w:rPr>
        <w:t>rezultatus</w:t>
      </w:r>
      <w:r w:rsidR="003D00C3">
        <w:rPr>
          <w:rFonts w:ascii="Times New Roman" w:hAnsi="Times New Roman"/>
          <w:sz w:val="24"/>
          <w:szCs w:val="24"/>
          <w:lang w:eastAsia="lt-LT"/>
        </w:rPr>
        <w:t xml:space="preserve"> turėtų būti skelbiama portalo „Mano vyriausybė“ interneto svetainėje „</w:t>
      </w:r>
      <w:r w:rsidR="00DE48D1">
        <w:rPr>
          <w:rFonts w:ascii="Times New Roman" w:hAnsi="Times New Roman"/>
          <w:sz w:val="24"/>
          <w:szCs w:val="24"/>
          <w:lang w:eastAsia="lt-LT"/>
        </w:rPr>
        <w:t>E</w:t>
      </w:r>
      <w:r w:rsidR="003D00C3">
        <w:rPr>
          <w:rFonts w:ascii="Times New Roman" w:hAnsi="Times New Roman"/>
          <w:sz w:val="24"/>
          <w:szCs w:val="24"/>
          <w:lang w:eastAsia="lt-LT"/>
        </w:rPr>
        <w:t>. pilietis“.</w:t>
      </w:r>
    </w:p>
    <w:p w14:paraId="49C4856F" w14:textId="39C0CD10" w:rsidR="00D722F8" w:rsidRPr="00380491" w:rsidRDefault="0059049F"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Įvertinant Teisėkūros pagrindų įstatymo 1 str. 3 ir 5 d. nuostatas, darytina išvada, kad Vyriausybės darbo reglamente galėtų būti nustatytas tik teisės taikymo aktų, kuriuose yra komercinę paslaptį sudarančios informacijos ar asmens duomenų, specialus rengimo, derinimo ir priėmimo reguliavimas. Atsižvelgiant į tai, kalbant apie komercinę paslaptį ar asmens duomenis, Vyriausybės darbo reglamento 16</w:t>
      </w:r>
      <w:r w:rsidR="00D722F8" w:rsidRPr="00380491">
        <w:rPr>
          <w:rFonts w:ascii="Times New Roman" w:hAnsi="Times New Roman"/>
          <w:sz w:val="24"/>
          <w:szCs w:val="24"/>
          <w:lang w:eastAsia="lt-LT"/>
        </w:rPr>
        <w:t>, 3</w:t>
      </w:r>
      <w:r w:rsidR="003D00C3">
        <w:rPr>
          <w:rFonts w:ascii="Times New Roman" w:hAnsi="Times New Roman"/>
          <w:sz w:val="24"/>
          <w:szCs w:val="24"/>
          <w:lang w:eastAsia="lt-LT"/>
        </w:rPr>
        <w:t>2</w:t>
      </w:r>
      <w:r w:rsidR="00D722F8" w:rsidRPr="00380491">
        <w:rPr>
          <w:rFonts w:ascii="Times New Roman" w:hAnsi="Times New Roman"/>
          <w:sz w:val="24"/>
          <w:szCs w:val="24"/>
          <w:lang w:eastAsia="lt-LT"/>
        </w:rPr>
        <w:t>, 41 p.</w:t>
      </w:r>
      <w:r w:rsidRPr="00380491">
        <w:rPr>
          <w:rFonts w:ascii="Times New Roman" w:hAnsi="Times New Roman"/>
          <w:sz w:val="24"/>
          <w:szCs w:val="24"/>
          <w:lang w:eastAsia="lt-LT"/>
        </w:rPr>
        <w:t xml:space="preserve"> ir kt. nuostatose turėtų būti pažymėta, kad turimi om</w:t>
      </w:r>
      <w:r w:rsidR="00D722F8" w:rsidRPr="00380491">
        <w:rPr>
          <w:rFonts w:ascii="Times New Roman" w:hAnsi="Times New Roman"/>
          <w:sz w:val="24"/>
          <w:szCs w:val="24"/>
          <w:lang w:eastAsia="lt-LT"/>
        </w:rPr>
        <w:t>enyje tik teisės taikymo aktai.</w:t>
      </w:r>
    </w:p>
    <w:p w14:paraId="133FC8BF" w14:textId="306360AD" w:rsidR="0059049F" w:rsidRPr="00380491" w:rsidRDefault="0059049F" w:rsidP="006631FB">
      <w:pPr>
        <w:pStyle w:val="Betarp"/>
        <w:tabs>
          <w:tab w:val="left" w:pos="1701"/>
        </w:tabs>
        <w:spacing w:line="276" w:lineRule="auto"/>
        <w:ind w:firstLine="993"/>
        <w:jc w:val="both"/>
        <w:rPr>
          <w:rFonts w:ascii="Times New Roman" w:hAnsi="Times New Roman"/>
          <w:sz w:val="24"/>
          <w:szCs w:val="24"/>
          <w:lang w:eastAsia="lt-LT"/>
        </w:rPr>
      </w:pPr>
      <w:r w:rsidRPr="00380491">
        <w:rPr>
          <w:rFonts w:ascii="Times New Roman" w:hAnsi="Times New Roman"/>
          <w:sz w:val="24"/>
          <w:szCs w:val="24"/>
          <w:lang w:eastAsia="lt-LT"/>
        </w:rPr>
        <w:t>Įvertin</w:t>
      </w:r>
      <w:r w:rsidR="00DE48D1">
        <w:rPr>
          <w:rFonts w:ascii="Times New Roman" w:hAnsi="Times New Roman"/>
          <w:sz w:val="24"/>
          <w:szCs w:val="24"/>
          <w:lang w:eastAsia="lt-LT"/>
        </w:rPr>
        <w:t>us nurodytą</w:t>
      </w:r>
      <w:r w:rsidRPr="00380491">
        <w:rPr>
          <w:rFonts w:ascii="Times New Roman" w:hAnsi="Times New Roman"/>
          <w:sz w:val="24"/>
          <w:szCs w:val="24"/>
          <w:lang w:eastAsia="lt-LT"/>
        </w:rPr>
        <w:t xml:space="preserve">, </w:t>
      </w:r>
      <w:r w:rsidR="00D722F8" w:rsidRPr="00380491">
        <w:rPr>
          <w:rFonts w:ascii="Times New Roman" w:hAnsi="Times New Roman"/>
          <w:sz w:val="24"/>
          <w:szCs w:val="24"/>
          <w:lang w:eastAsia="lt-LT"/>
        </w:rPr>
        <w:t xml:space="preserve">pažymėtina dar ir tai, kad </w:t>
      </w:r>
      <w:r w:rsidRPr="00380491">
        <w:rPr>
          <w:rFonts w:ascii="Times New Roman" w:hAnsi="Times New Roman"/>
          <w:sz w:val="24"/>
          <w:szCs w:val="24"/>
          <w:lang w:eastAsia="lt-LT"/>
        </w:rPr>
        <w:t>16 p. pirmojo sakinio pildymas perteklinis (jau nurodomi teisės taikymo aktai). Norint išlygas taikyti ir normini</w:t>
      </w:r>
      <w:r w:rsidR="00D722F8" w:rsidRPr="00380491">
        <w:rPr>
          <w:rFonts w:ascii="Times New Roman" w:hAnsi="Times New Roman"/>
          <w:sz w:val="24"/>
          <w:szCs w:val="24"/>
          <w:lang w:eastAsia="lt-LT"/>
        </w:rPr>
        <w:t>ų teisės aktų projektams</w:t>
      </w:r>
      <w:r w:rsidRPr="00380491">
        <w:rPr>
          <w:rFonts w:ascii="Times New Roman" w:hAnsi="Times New Roman"/>
          <w:sz w:val="24"/>
          <w:szCs w:val="24"/>
          <w:lang w:eastAsia="lt-LT"/>
        </w:rPr>
        <w:t>, būtinas Teisėkūros pagrindų įstatymo keitimas.</w:t>
      </w:r>
    </w:p>
    <w:p w14:paraId="1104FD90" w14:textId="56D1E42F" w:rsidR="0059049F" w:rsidRPr="00380491" w:rsidRDefault="00D722F8"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Įvertinant tai, kad teisės aktų projektai d</w:t>
      </w:r>
      <w:r w:rsidR="00700472" w:rsidRPr="00380491">
        <w:rPr>
          <w:rFonts w:ascii="Times New Roman" w:hAnsi="Times New Roman"/>
          <w:sz w:val="24"/>
          <w:szCs w:val="24"/>
          <w:lang w:eastAsia="lt-LT"/>
        </w:rPr>
        <w:t>erinimui teikiami jau įvykdžius</w:t>
      </w:r>
      <w:r w:rsidRPr="00380491">
        <w:rPr>
          <w:rFonts w:ascii="Times New Roman" w:hAnsi="Times New Roman"/>
          <w:sz w:val="24"/>
          <w:szCs w:val="24"/>
          <w:lang w:eastAsia="lt-LT"/>
        </w:rPr>
        <w:t xml:space="preserve"> visus parengiamuosius darbus ir reikiamus poveikio vertinimus, svarstytinas Vyriausybės darbo reglamento 18 p. nustatomo termino tinkamumas </w:t>
      </w:r>
      <w:r w:rsidR="003D00C3">
        <w:rPr>
          <w:rFonts w:ascii="Times New Roman" w:hAnsi="Times New Roman"/>
          <w:sz w:val="24"/>
          <w:szCs w:val="24"/>
          <w:lang w:eastAsia="lt-LT"/>
        </w:rPr>
        <w:t xml:space="preserve">ir galimybė </w:t>
      </w:r>
      <w:r w:rsidRPr="00380491">
        <w:rPr>
          <w:rFonts w:ascii="Times New Roman" w:hAnsi="Times New Roman"/>
          <w:sz w:val="24"/>
          <w:szCs w:val="24"/>
          <w:lang w:eastAsia="lt-LT"/>
        </w:rPr>
        <w:t>jį trumpinti.</w:t>
      </w:r>
    </w:p>
    <w:p w14:paraId="07803D4E" w14:textId="4D2BB4B7" w:rsidR="00D722F8" w:rsidRPr="00380491" w:rsidRDefault="00D722F8"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Vyriausybės darbo reglamento 21.2</w:t>
      </w:r>
      <w:r w:rsidR="00700472" w:rsidRPr="00380491">
        <w:rPr>
          <w:rFonts w:ascii="Times New Roman" w:hAnsi="Times New Roman"/>
          <w:sz w:val="24"/>
          <w:szCs w:val="24"/>
          <w:lang w:eastAsia="lt-LT"/>
        </w:rPr>
        <w:t xml:space="preserve"> </w:t>
      </w:r>
      <w:r w:rsidRPr="00380491">
        <w:rPr>
          <w:rFonts w:ascii="Times New Roman" w:hAnsi="Times New Roman"/>
          <w:sz w:val="24"/>
          <w:szCs w:val="24"/>
          <w:lang w:eastAsia="lt-LT"/>
        </w:rPr>
        <w:t xml:space="preserve">p. nuostatos </w:t>
      </w:r>
      <w:r w:rsidR="00700472" w:rsidRPr="00380491">
        <w:rPr>
          <w:rFonts w:ascii="Times New Roman" w:hAnsi="Times New Roman"/>
          <w:sz w:val="24"/>
          <w:szCs w:val="24"/>
          <w:lang w:eastAsia="lt-LT"/>
        </w:rPr>
        <w:t>lems</w:t>
      </w:r>
      <w:r w:rsidRPr="00380491">
        <w:rPr>
          <w:rFonts w:ascii="Times New Roman" w:hAnsi="Times New Roman"/>
          <w:sz w:val="24"/>
          <w:szCs w:val="24"/>
          <w:lang w:eastAsia="lt-LT"/>
        </w:rPr>
        <w:t xml:space="preserve"> aiškinamuosiuose raštuose</w:t>
      </w:r>
      <w:r w:rsidR="00700472" w:rsidRPr="00380491">
        <w:rPr>
          <w:rFonts w:ascii="Times New Roman" w:hAnsi="Times New Roman"/>
          <w:sz w:val="24"/>
          <w:szCs w:val="24"/>
          <w:lang w:eastAsia="lt-LT"/>
        </w:rPr>
        <w:t xml:space="preserve"> teikiamos informacijos dubliavimą lydraščiuose</w:t>
      </w:r>
      <w:r w:rsidRPr="00380491">
        <w:rPr>
          <w:rFonts w:ascii="Times New Roman" w:hAnsi="Times New Roman"/>
          <w:sz w:val="24"/>
          <w:szCs w:val="24"/>
          <w:lang w:eastAsia="lt-LT"/>
        </w:rPr>
        <w:t>. Atsižvelgiant į tai, siūlome palikti išlygą tiems atvejams, kai atitinkama informacija būtų pat</w:t>
      </w:r>
      <w:r w:rsidR="003D00C3">
        <w:rPr>
          <w:rFonts w:ascii="Times New Roman" w:hAnsi="Times New Roman"/>
          <w:sz w:val="24"/>
          <w:szCs w:val="24"/>
          <w:lang w:eastAsia="lt-LT"/>
        </w:rPr>
        <w:t>i</w:t>
      </w:r>
      <w:r w:rsidRPr="00380491">
        <w:rPr>
          <w:rFonts w:ascii="Times New Roman" w:hAnsi="Times New Roman"/>
          <w:sz w:val="24"/>
          <w:szCs w:val="24"/>
          <w:lang w:eastAsia="lt-LT"/>
        </w:rPr>
        <w:t>ekiama aiškinamajame rašte.</w:t>
      </w:r>
    </w:p>
    <w:p w14:paraId="26251138" w14:textId="77777777" w:rsidR="00D722F8" w:rsidRPr="00380491" w:rsidRDefault="00CE16F4"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Vyriausybės darbo reglamento 27 p. ketvirtosios pastraipos nuostatos koreguotinos šiais aspektais:</w:t>
      </w:r>
    </w:p>
    <w:p w14:paraId="77125168" w14:textId="77777777" w:rsidR="00CE16F4" w:rsidRPr="00380491" w:rsidRDefault="00CE16F4" w:rsidP="006631FB">
      <w:pPr>
        <w:pStyle w:val="Betarp"/>
        <w:numPr>
          <w:ilvl w:val="1"/>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 xml:space="preserve"> Formuluotė „suinteresuoti asmenys“ persidengtų su ankstesnėse pastraipose vartojama formuluote „išvadas teikiantys subjektai“ ir liktų neaišku, apie kokius subjektus kalbama.</w:t>
      </w:r>
    </w:p>
    <w:p w14:paraId="14C9E83D" w14:textId="3248C936" w:rsidR="00CE16F4" w:rsidRPr="00380491" w:rsidRDefault="00CE16F4" w:rsidP="006631FB">
      <w:pPr>
        <w:pStyle w:val="Betarp"/>
        <w:numPr>
          <w:ilvl w:val="1"/>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 xml:space="preserve">Vartojama </w:t>
      </w:r>
      <w:r w:rsidR="00700472" w:rsidRPr="00380491">
        <w:rPr>
          <w:rFonts w:ascii="Times New Roman" w:hAnsi="Times New Roman"/>
          <w:sz w:val="24"/>
          <w:szCs w:val="24"/>
          <w:lang w:eastAsia="lt-LT"/>
        </w:rPr>
        <w:t xml:space="preserve">formuluotė „šiame </w:t>
      </w:r>
      <w:r w:rsidRPr="00380491">
        <w:rPr>
          <w:rFonts w:ascii="Times New Roman" w:hAnsi="Times New Roman"/>
          <w:sz w:val="24"/>
          <w:szCs w:val="24"/>
          <w:lang w:eastAsia="lt-LT"/>
        </w:rPr>
        <w:t>punkte nustatytus atvejus“</w:t>
      </w:r>
      <w:r w:rsidR="00E8025C">
        <w:rPr>
          <w:rFonts w:ascii="Times New Roman" w:hAnsi="Times New Roman"/>
          <w:sz w:val="24"/>
          <w:szCs w:val="24"/>
          <w:lang w:eastAsia="lt-LT"/>
        </w:rPr>
        <w:t>,</w:t>
      </w:r>
      <w:r w:rsidRPr="00380491">
        <w:rPr>
          <w:rFonts w:ascii="Times New Roman" w:hAnsi="Times New Roman"/>
          <w:sz w:val="24"/>
          <w:szCs w:val="24"/>
          <w:lang w:eastAsia="lt-LT"/>
        </w:rPr>
        <w:t xml:space="preserve"> jos nedetalizuojant, apimtų visus įmanomus anksčiau nurodytus atvejus, ir taptų neaišku, kurie konkrečiai terminai taikytini kokiu atveju.</w:t>
      </w:r>
    </w:p>
    <w:p w14:paraId="20DF1D8A" w14:textId="34AA2992" w:rsidR="00CE16F4" w:rsidRPr="00380491" w:rsidRDefault="00CE16F4" w:rsidP="00DE48D1">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 xml:space="preserve">Vyriausybės darbo reglamento 28.5 p. apima ir 28.2 p. nurodomą atvejį, dėl </w:t>
      </w:r>
      <w:r w:rsidR="00E8025C">
        <w:rPr>
          <w:rFonts w:ascii="Times New Roman" w:hAnsi="Times New Roman"/>
          <w:sz w:val="24"/>
          <w:szCs w:val="24"/>
          <w:lang w:eastAsia="lt-LT"/>
        </w:rPr>
        <w:t>t</w:t>
      </w:r>
      <w:r w:rsidRPr="00380491">
        <w:rPr>
          <w:rFonts w:ascii="Times New Roman" w:hAnsi="Times New Roman"/>
          <w:sz w:val="24"/>
          <w:szCs w:val="24"/>
          <w:lang w:eastAsia="lt-LT"/>
        </w:rPr>
        <w:t>o 28.2 p. laikytinas pertekliniu.</w:t>
      </w:r>
    </w:p>
    <w:p w14:paraId="2A7D0582" w14:textId="21E979D0" w:rsidR="00CE16F4" w:rsidRPr="00380491" w:rsidRDefault="00CE16F4"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 xml:space="preserve">Vyriausybės darbo reglamento 62 ir 86 p. siūlome įvertinti </w:t>
      </w:r>
      <w:r w:rsidR="008D6235" w:rsidRPr="00380491">
        <w:rPr>
          <w:rFonts w:ascii="Times New Roman" w:hAnsi="Times New Roman"/>
          <w:sz w:val="24"/>
          <w:szCs w:val="24"/>
          <w:lang w:eastAsia="lt-LT"/>
        </w:rPr>
        <w:t>Vyriausybės įstatymo 42 str. 2 d. nuostat</w:t>
      </w:r>
      <w:r w:rsidR="00F518AC">
        <w:rPr>
          <w:rFonts w:ascii="Times New Roman" w:hAnsi="Times New Roman"/>
          <w:sz w:val="24"/>
          <w:szCs w:val="24"/>
          <w:lang w:eastAsia="lt-LT"/>
        </w:rPr>
        <w:t>ų</w:t>
      </w:r>
      <w:r w:rsidR="008D6235" w:rsidRPr="00380491">
        <w:rPr>
          <w:rFonts w:ascii="Times New Roman" w:hAnsi="Times New Roman"/>
          <w:sz w:val="24"/>
          <w:szCs w:val="24"/>
          <w:lang w:eastAsia="lt-LT"/>
        </w:rPr>
        <w:t xml:space="preserve">, pagal kurias </w:t>
      </w:r>
      <w:r w:rsidR="008D6235" w:rsidRPr="00380491">
        <w:rPr>
          <w:rFonts w:ascii="Times New Roman" w:hAnsi="Times New Roman"/>
          <w:sz w:val="24"/>
          <w:szCs w:val="24"/>
        </w:rPr>
        <w:t>Vyriausybės posėdžių ir pasitarimų garso įrašai ir protokolai yra vieši</w:t>
      </w:r>
      <w:r w:rsidR="00F518AC">
        <w:rPr>
          <w:rFonts w:ascii="Times New Roman" w:hAnsi="Times New Roman"/>
          <w:sz w:val="24"/>
          <w:szCs w:val="24"/>
        </w:rPr>
        <w:t>, kontekste</w:t>
      </w:r>
      <w:r w:rsidR="008D6235" w:rsidRPr="00380491">
        <w:rPr>
          <w:rFonts w:ascii="Times New Roman" w:hAnsi="Times New Roman"/>
          <w:sz w:val="24"/>
          <w:szCs w:val="24"/>
        </w:rPr>
        <w:t>.</w:t>
      </w:r>
      <w:r w:rsidR="00570F3E">
        <w:rPr>
          <w:rFonts w:ascii="Times New Roman" w:hAnsi="Times New Roman"/>
          <w:sz w:val="24"/>
          <w:szCs w:val="24"/>
        </w:rPr>
        <w:t xml:space="preserve"> Be to, pagal analogiją su Vyriausybės darbo reglamento 62 p. antrąja pastraipa, 85 p. turėtų būti numatyta, kad posėdžių garso įrašų kompiuterinės laikmenos saugomos Vyriausybės kanceliarijoje.</w:t>
      </w:r>
    </w:p>
    <w:p w14:paraId="194925EB" w14:textId="22DF6B1B" w:rsidR="008D6235" w:rsidRPr="00380491" w:rsidRDefault="008D6235"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rPr>
        <w:lastRenderedPageBreak/>
        <w:t>Vyriausybės posėdžio protokol</w:t>
      </w:r>
      <w:r w:rsidR="0090241E">
        <w:rPr>
          <w:rFonts w:ascii="Times New Roman" w:hAnsi="Times New Roman"/>
          <w:sz w:val="24"/>
          <w:szCs w:val="24"/>
        </w:rPr>
        <w:t>as</w:t>
      </w:r>
      <w:r w:rsidRPr="00380491">
        <w:rPr>
          <w:rFonts w:ascii="Times New Roman" w:hAnsi="Times New Roman"/>
          <w:sz w:val="24"/>
          <w:szCs w:val="24"/>
        </w:rPr>
        <w:t xml:space="preserve">, kuriame fiksuojami paskutiniai Vyriausybei pateikto projekto pakeitimai ir korekcijos posėdžio metu, </w:t>
      </w:r>
      <w:r w:rsidR="002200D5">
        <w:rPr>
          <w:rFonts w:ascii="Times New Roman" w:hAnsi="Times New Roman"/>
          <w:sz w:val="24"/>
          <w:szCs w:val="24"/>
        </w:rPr>
        <w:t xml:space="preserve">siekiant užtikrinti teisėkūros viešumą ir įgyvendinti Teisėkūros pagrindų įstatymo </w:t>
      </w:r>
      <w:r w:rsidR="00C37B89">
        <w:rPr>
          <w:rFonts w:ascii="Times New Roman" w:hAnsi="Times New Roman"/>
          <w:sz w:val="24"/>
          <w:szCs w:val="24"/>
        </w:rPr>
        <w:t>3 str. 2 d. 4 p. įtvirtintus atvirumo ir skaidrumo principus, tais atvejais, kai Vyriausybės posėdžio metu keičiamas TAIS skelbtas teisės akto projektas, turėtų būti viešas ir prieinamas TAIS kartu su projekto medžiaga</w:t>
      </w:r>
      <w:r w:rsidRPr="00380491">
        <w:rPr>
          <w:rFonts w:ascii="Times New Roman" w:hAnsi="Times New Roman"/>
          <w:sz w:val="24"/>
          <w:szCs w:val="24"/>
        </w:rPr>
        <w:t>. Atsižvelgiant į tai, siūlytina visiškai neatsisakyti Vyriausybės darbo reglamento 83 p. paskutiniojo sakinio, o tik jį koreguoti</w:t>
      </w:r>
      <w:r w:rsidR="00700472" w:rsidRPr="00380491">
        <w:rPr>
          <w:rFonts w:ascii="Times New Roman" w:hAnsi="Times New Roman"/>
          <w:sz w:val="24"/>
          <w:szCs w:val="24"/>
        </w:rPr>
        <w:t xml:space="preserve">, apimant atvejus, kai Vyriausybės </w:t>
      </w:r>
      <w:r w:rsidR="00A422F5">
        <w:rPr>
          <w:rFonts w:ascii="Times New Roman" w:hAnsi="Times New Roman"/>
          <w:sz w:val="24"/>
          <w:szCs w:val="24"/>
        </w:rPr>
        <w:t>posėdžio metu buvo atliktos TAIS skelbto t</w:t>
      </w:r>
      <w:r w:rsidR="00700472" w:rsidRPr="00380491">
        <w:rPr>
          <w:rFonts w:ascii="Times New Roman" w:hAnsi="Times New Roman"/>
          <w:sz w:val="24"/>
          <w:szCs w:val="24"/>
        </w:rPr>
        <w:t>eisės akto projekto korekcijos</w:t>
      </w:r>
      <w:r w:rsidRPr="00380491">
        <w:rPr>
          <w:rFonts w:ascii="Times New Roman" w:hAnsi="Times New Roman"/>
          <w:sz w:val="24"/>
          <w:szCs w:val="24"/>
        </w:rPr>
        <w:t>.</w:t>
      </w:r>
    </w:p>
    <w:p w14:paraId="26406C1C" w14:textId="32EA73B3" w:rsidR="007F285E" w:rsidRPr="00380491" w:rsidRDefault="007F285E"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 xml:space="preserve">Atsižvelgiant į tai, kad šiuo metu Vyriausybės darbo reglamento 101 p. nuostatos yra vienintelis pagrindas nustatyti </w:t>
      </w:r>
      <w:r w:rsidR="002569E7" w:rsidRPr="00380491">
        <w:rPr>
          <w:rFonts w:ascii="Times New Roman" w:hAnsi="Times New Roman"/>
          <w:sz w:val="24"/>
          <w:szCs w:val="24"/>
          <w:lang w:eastAsia="lt-LT"/>
        </w:rPr>
        <w:t xml:space="preserve">Teisinio reguliavimo stebėsenos atlikimo tvarką ir teisinio reguliavimo stebėsenos pažymos formą, </w:t>
      </w:r>
      <w:r w:rsidR="0090241E">
        <w:rPr>
          <w:rFonts w:ascii="Times New Roman" w:hAnsi="Times New Roman"/>
          <w:sz w:val="24"/>
          <w:szCs w:val="24"/>
          <w:lang w:eastAsia="lt-LT"/>
        </w:rPr>
        <w:t xml:space="preserve">taip pat būtent pagal šią nuostatą Teisingumo ministerija vykdo teisinio reguliavimo stebėseną koordinuojančios institucijos funkcijas (Teisėkūros pagrindų įstatymo 24 str. 5-6 d.), </w:t>
      </w:r>
      <w:r w:rsidR="002569E7" w:rsidRPr="00380491">
        <w:rPr>
          <w:rFonts w:ascii="Times New Roman" w:hAnsi="Times New Roman"/>
          <w:sz w:val="24"/>
          <w:szCs w:val="24"/>
          <w:lang w:eastAsia="lt-LT"/>
        </w:rPr>
        <w:t>siūlome šių nuostatų neatsisakyti ir palikti galioti.</w:t>
      </w:r>
      <w:r w:rsidR="0090241E">
        <w:rPr>
          <w:rFonts w:ascii="Times New Roman" w:hAnsi="Times New Roman"/>
          <w:sz w:val="24"/>
          <w:szCs w:val="24"/>
          <w:lang w:eastAsia="lt-LT"/>
        </w:rPr>
        <w:t xml:space="preserve"> Atkreiptinas dėmesys, kad</w:t>
      </w:r>
      <w:r w:rsidR="00664790">
        <w:rPr>
          <w:rFonts w:ascii="Times New Roman" w:hAnsi="Times New Roman"/>
          <w:sz w:val="24"/>
          <w:szCs w:val="24"/>
          <w:lang w:eastAsia="lt-LT"/>
        </w:rPr>
        <w:t xml:space="preserve"> pagal Seime šiuo metu </w:t>
      </w:r>
      <w:r w:rsidR="00664790" w:rsidRPr="00664790">
        <w:rPr>
          <w:rFonts w:ascii="Times New Roman" w:hAnsi="Times New Roman"/>
          <w:sz w:val="24"/>
          <w:szCs w:val="24"/>
          <w:lang w:eastAsia="lt-LT"/>
        </w:rPr>
        <w:t>svarstomą</w:t>
      </w:r>
      <w:r w:rsidR="0090241E" w:rsidRPr="00664790">
        <w:rPr>
          <w:rFonts w:ascii="Times New Roman" w:hAnsi="Times New Roman"/>
          <w:sz w:val="24"/>
          <w:szCs w:val="24"/>
          <w:lang w:eastAsia="lt-LT"/>
        </w:rPr>
        <w:t xml:space="preserve"> </w:t>
      </w:r>
      <w:r w:rsidR="00664790" w:rsidRPr="00664790">
        <w:rPr>
          <w:rFonts w:ascii="Times New Roman" w:hAnsi="Times New Roman"/>
          <w:bCs/>
          <w:sz w:val="24"/>
          <w:szCs w:val="24"/>
        </w:rPr>
        <w:t xml:space="preserve">Lietuvos Respublikos teisėkūros pagrindų įstatymo Nr. XI-2220 </w:t>
      </w:r>
      <w:r w:rsidR="00664790" w:rsidRPr="00664790">
        <w:rPr>
          <w:rFonts w:ascii="Times New Roman" w:hAnsi="Times New Roman"/>
          <w:sz w:val="24"/>
          <w:szCs w:val="24"/>
        </w:rPr>
        <w:t>2, 3, 5, 6, 7, 8, 10 straipsnių ir ketvirtojo skirsnio</w:t>
      </w:r>
      <w:r w:rsidR="00664790" w:rsidRPr="00664790">
        <w:rPr>
          <w:rFonts w:ascii="Times New Roman" w:hAnsi="Times New Roman"/>
          <w:bCs/>
          <w:sz w:val="24"/>
          <w:szCs w:val="24"/>
        </w:rPr>
        <w:t xml:space="preserve"> pakeitimo įstatymo projekt</w:t>
      </w:r>
      <w:r w:rsidR="00664790">
        <w:rPr>
          <w:rFonts w:ascii="Times New Roman" w:hAnsi="Times New Roman"/>
          <w:bCs/>
          <w:sz w:val="24"/>
          <w:szCs w:val="24"/>
        </w:rPr>
        <w:t xml:space="preserve">ą </w:t>
      </w:r>
      <w:r w:rsidR="00520E84">
        <w:rPr>
          <w:rFonts w:ascii="Times New Roman" w:hAnsi="Times New Roman"/>
          <w:bCs/>
          <w:sz w:val="24"/>
          <w:szCs w:val="24"/>
        </w:rPr>
        <w:t xml:space="preserve">(registracijos Seime Nr. XIIIP-2647) </w:t>
      </w:r>
      <w:r w:rsidR="00664790">
        <w:rPr>
          <w:rFonts w:ascii="Times New Roman" w:hAnsi="Times New Roman"/>
          <w:bCs/>
          <w:sz w:val="24"/>
          <w:szCs w:val="24"/>
        </w:rPr>
        <w:t>siūlomas baigiamasis teisinio reguliavimo poveikio vertinimas būtų atliekamas tik nuo 2020 m. sausio 1 d.</w:t>
      </w:r>
    </w:p>
    <w:p w14:paraId="10802972" w14:textId="77777777" w:rsidR="002569E7" w:rsidRPr="00380491" w:rsidRDefault="002569E7"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Lieka neapibrėžtas naujų Vyriausybės darbo reglamento 101 p. ir 108</w:t>
      </w:r>
      <w:r w:rsidRPr="00380491">
        <w:rPr>
          <w:rFonts w:ascii="Times New Roman" w:hAnsi="Times New Roman"/>
          <w:sz w:val="24"/>
          <w:szCs w:val="24"/>
          <w:vertAlign w:val="superscript"/>
          <w:lang w:eastAsia="lt-LT"/>
        </w:rPr>
        <w:t>1</w:t>
      </w:r>
      <w:r w:rsidRPr="00380491">
        <w:rPr>
          <w:rFonts w:ascii="Times New Roman" w:hAnsi="Times New Roman"/>
          <w:sz w:val="24"/>
          <w:szCs w:val="24"/>
          <w:lang w:eastAsia="lt-LT"/>
        </w:rPr>
        <w:t xml:space="preserve"> p. nuostatų tikslas ir paskirtis. Valstybės institucijose parengtų dok</w:t>
      </w:r>
      <w:r w:rsidR="00700472" w:rsidRPr="00380491">
        <w:rPr>
          <w:rFonts w:ascii="Times New Roman" w:hAnsi="Times New Roman"/>
          <w:sz w:val="24"/>
          <w:szCs w:val="24"/>
          <w:lang w:eastAsia="lt-LT"/>
        </w:rPr>
        <w:t>umentų saugojimą reglamentuoja D</w:t>
      </w:r>
      <w:r w:rsidRPr="00380491">
        <w:rPr>
          <w:rFonts w:ascii="Times New Roman" w:hAnsi="Times New Roman"/>
          <w:sz w:val="24"/>
          <w:szCs w:val="24"/>
          <w:lang w:eastAsia="lt-LT"/>
        </w:rPr>
        <w:t>okumentų ir archyvų įstatymas ir jo įgyvendinamieji teisės aktai. Atsižvelgiant į tai, neaiškus tikslingumas atitinkamomis nuostatomis pildyti Vyriausybės darbo reglamentą. Jei turimas omenyje Vyriausybei pateiktų dokumentų grąžinimas rengėjams saugojimui, siūlomos nuostatos to aiškiai neapima.</w:t>
      </w:r>
    </w:p>
    <w:p w14:paraId="1FC2A187" w14:textId="7C9BBCE5" w:rsidR="002569E7" w:rsidRPr="00380491" w:rsidRDefault="002569E7"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lang w:eastAsia="lt-LT"/>
        </w:rPr>
        <w:t>Atsižvelgiant į tai, kad padėkų teikimas laikytinas Ministro Pirmininko prerogatyva, o ne pareiga, siūlytina Vyriausybės darbo reglamento 140</w:t>
      </w:r>
      <w:r w:rsidRPr="00380491">
        <w:rPr>
          <w:rFonts w:ascii="Times New Roman" w:hAnsi="Times New Roman"/>
          <w:sz w:val="24"/>
          <w:szCs w:val="24"/>
          <w:vertAlign w:val="superscript"/>
          <w:lang w:eastAsia="lt-LT"/>
        </w:rPr>
        <w:t>1</w:t>
      </w:r>
      <w:r w:rsidRPr="00380491">
        <w:rPr>
          <w:rFonts w:ascii="Times New Roman" w:hAnsi="Times New Roman"/>
          <w:sz w:val="24"/>
          <w:szCs w:val="24"/>
          <w:lang w:eastAsia="lt-LT"/>
        </w:rPr>
        <w:t xml:space="preserve"> p.  pirmajame sakinyje prieš žodį „teikiamos“ įrašyti žodžius „gali būti“.</w:t>
      </w:r>
    </w:p>
    <w:p w14:paraId="08BB8AD8" w14:textId="7B9D868D" w:rsidR="008D6235" w:rsidRDefault="007F285E" w:rsidP="006631FB">
      <w:pPr>
        <w:pStyle w:val="Betarp"/>
        <w:numPr>
          <w:ilvl w:val="0"/>
          <w:numId w:val="5"/>
        </w:numPr>
        <w:tabs>
          <w:tab w:val="left" w:pos="1701"/>
        </w:tabs>
        <w:spacing w:line="276" w:lineRule="auto"/>
        <w:ind w:left="0" w:firstLine="993"/>
        <w:jc w:val="both"/>
        <w:rPr>
          <w:rFonts w:ascii="Times New Roman" w:hAnsi="Times New Roman"/>
          <w:sz w:val="24"/>
          <w:szCs w:val="24"/>
          <w:lang w:eastAsia="lt-LT"/>
        </w:rPr>
      </w:pPr>
      <w:r w:rsidRPr="00380491">
        <w:rPr>
          <w:rFonts w:ascii="Times New Roman" w:hAnsi="Times New Roman"/>
          <w:sz w:val="24"/>
          <w:szCs w:val="24"/>
        </w:rPr>
        <w:t>Vertinant teisės aktų projektų, kuriuose yra komercinę paslaptį sudarančios informacijos ar asmens duomenų</w:t>
      </w:r>
      <w:r w:rsidR="00700472" w:rsidRPr="00380491">
        <w:rPr>
          <w:rFonts w:ascii="Times New Roman" w:hAnsi="Times New Roman"/>
          <w:sz w:val="24"/>
          <w:szCs w:val="24"/>
        </w:rPr>
        <w:t xml:space="preserve">, </w:t>
      </w:r>
      <w:r w:rsidR="00380491" w:rsidRPr="00380491">
        <w:rPr>
          <w:rFonts w:ascii="Times New Roman" w:hAnsi="Times New Roman"/>
          <w:sz w:val="24"/>
          <w:szCs w:val="24"/>
        </w:rPr>
        <w:t>atžvilgiu</w:t>
      </w:r>
      <w:r w:rsidR="00700472" w:rsidRPr="00380491">
        <w:rPr>
          <w:rFonts w:ascii="Times New Roman" w:hAnsi="Times New Roman"/>
          <w:sz w:val="24"/>
          <w:szCs w:val="24"/>
        </w:rPr>
        <w:t xml:space="preserve"> nustatomą reguliavimą</w:t>
      </w:r>
      <w:r w:rsidRPr="00380491">
        <w:rPr>
          <w:rFonts w:ascii="Times New Roman" w:hAnsi="Times New Roman"/>
          <w:sz w:val="24"/>
          <w:szCs w:val="24"/>
        </w:rPr>
        <w:t>, siekiant tinkamo Teisėkūros pagrindų įstatymo 3 str. įtvirtintų atvirumo ir skaidrumo bei proporcingumo principų įgyvendinimo, siūlome įvertinti galimybę ir tik dalies projektą lydinčios medžiagos informacijos neskelbti TAIS (kai pačiuose projektuose nebūtų užfiksuota komercinę paslaptį sudaranti informacija ar asmens duomenys).</w:t>
      </w:r>
    </w:p>
    <w:p w14:paraId="3E1C86AF" w14:textId="2A6018BD" w:rsidR="00804344" w:rsidRPr="00380491" w:rsidRDefault="00804344" w:rsidP="00804344">
      <w:pPr>
        <w:pStyle w:val="Betarp"/>
        <w:tabs>
          <w:tab w:val="left" w:pos="1701"/>
        </w:tabs>
        <w:spacing w:line="276" w:lineRule="auto"/>
        <w:ind w:firstLine="993"/>
        <w:jc w:val="both"/>
        <w:rPr>
          <w:rFonts w:ascii="Times New Roman" w:hAnsi="Times New Roman"/>
          <w:sz w:val="24"/>
          <w:szCs w:val="24"/>
          <w:lang w:eastAsia="lt-LT"/>
        </w:rPr>
      </w:pPr>
      <w:r>
        <w:rPr>
          <w:rFonts w:ascii="Times New Roman" w:hAnsi="Times New Roman"/>
          <w:sz w:val="24"/>
          <w:szCs w:val="24"/>
        </w:rPr>
        <w:t>Tuo pačiu pastebėtina, kad vertinant komercinės paslapties apsaugos instituto įgyvendinimą viešojo administravimo sistemoje, konstatuotina teisinio reguliavimo nepakankamumas ir neišbaigtumas. Pastebėtina, kad šis klausimas tik fragmentiškai reglamentuotas Konkurencijos įstatyme, Viešųjų pirkimų įstatyme</w:t>
      </w:r>
      <w:r w:rsidR="002B7D80">
        <w:rPr>
          <w:rFonts w:ascii="Times New Roman" w:hAnsi="Times New Roman"/>
          <w:sz w:val="24"/>
          <w:szCs w:val="24"/>
        </w:rPr>
        <w:t>, Geležinkelių transporto kodekse, tačiau šis reguliavimais apima tik konkrečius sektorius ir vykdomą konkrečią veiklą. Kitais atvejais šie klausimai nesureglamentuoti, o institucijos, esant poreikiui</w:t>
      </w:r>
      <w:r w:rsidR="00530AF8">
        <w:rPr>
          <w:rFonts w:ascii="Times New Roman" w:hAnsi="Times New Roman"/>
          <w:sz w:val="24"/>
          <w:szCs w:val="24"/>
        </w:rPr>
        <w:t>,</w:t>
      </w:r>
      <w:r w:rsidR="002B7D80">
        <w:rPr>
          <w:rFonts w:ascii="Times New Roman" w:hAnsi="Times New Roman"/>
          <w:sz w:val="24"/>
          <w:szCs w:val="24"/>
        </w:rPr>
        <w:t xml:space="preserve"> negali tokiai informacijai suteikti riboto naudojimo statuso ir priskirti tarnybinei informacijai (nors tokios informacijos atskleidimas ar išviešinimas ir galėtų sukelti neigiamas finansines pasekmes valstybės institucijai)</w:t>
      </w:r>
      <w:r w:rsidR="00530AF8">
        <w:rPr>
          <w:rFonts w:ascii="Times New Roman" w:hAnsi="Times New Roman"/>
          <w:sz w:val="24"/>
          <w:szCs w:val="24"/>
        </w:rPr>
        <w:t>.</w:t>
      </w:r>
      <w:r w:rsidR="002B7D80">
        <w:rPr>
          <w:rFonts w:ascii="Times New Roman" w:hAnsi="Times New Roman"/>
          <w:sz w:val="24"/>
          <w:szCs w:val="24"/>
        </w:rPr>
        <w:t xml:space="preserve"> </w:t>
      </w:r>
      <w:r w:rsidR="00530AF8">
        <w:rPr>
          <w:rFonts w:ascii="Times New Roman" w:hAnsi="Times New Roman"/>
          <w:sz w:val="24"/>
          <w:szCs w:val="24"/>
        </w:rPr>
        <w:t>S</w:t>
      </w:r>
      <w:r w:rsidR="002B7D80">
        <w:rPr>
          <w:rFonts w:ascii="Times New Roman" w:hAnsi="Times New Roman"/>
          <w:sz w:val="24"/>
          <w:szCs w:val="24"/>
        </w:rPr>
        <w:t xml:space="preserve">iūlytina šį klausimą spręsti sistemiškai, peržiūrint ir Valstybės ir tarnybos paslapčių įstatymo 7 str. 2 d. ir </w:t>
      </w:r>
      <w:r w:rsidR="00530AF8">
        <w:rPr>
          <w:rFonts w:ascii="Times New Roman" w:hAnsi="Times New Roman"/>
          <w:sz w:val="24"/>
          <w:szCs w:val="24"/>
        </w:rPr>
        <w:t>įvertinant poreikį nustatyti galimybę</w:t>
      </w:r>
      <w:bookmarkStart w:id="0" w:name="_GoBack"/>
      <w:bookmarkEnd w:id="0"/>
      <w:r w:rsidR="002B7D80">
        <w:rPr>
          <w:rFonts w:ascii="Times New Roman" w:hAnsi="Times New Roman"/>
          <w:sz w:val="24"/>
          <w:szCs w:val="24"/>
        </w:rPr>
        <w:t xml:space="preserve"> komercinei paslapčiai suteikti tarnybinės informacijos statusą</w:t>
      </w:r>
      <w:r w:rsidR="00530AF8">
        <w:rPr>
          <w:rFonts w:ascii="Times New Roman" w:hAnsi="Times New Roman"/>
          <w:sz w:val="24"/>
          <w:szCs w:val="24"/>
        </w:rPr>
        <w:t>.</w:t>
      </w:r>
    </w:p>
    <w:p w14:paraId="1DCA28EF" w14:textId="77777777" w:rsidR="00B563D3" w:rsidRPr="00380491" w:rsidRDefault="00B563D3" w:rsidP="00125100">
      <w:pPr>
        <w:pStyle w:val="Tekstas"/>
        <w:spacing w:before="0" w:after="0"/>
        <w:ind w:firstLine="0"/>
      </w:pPr>
    </w:p>
    <w:p w14:paraId="6F910F98" w14:textId="77777777" w:rsidR="007F285E" w:rsidRPr="00380491" w:rsidRDefault="007F285E" w:rsidP="00125100">
      <w:pPr>
        <w:pStyle w:val="Tekstas"/>
        <w:spacing w:before="0" w:after="0"/>
        <w:ind w:firstLine="0"/>
      </w:pPr>
    </w:p>
    <w:p w14:paraId="2B1031F5" w14:textId="77777777" w:rsidR="00EB302B" w:rsidRPr="00380491" w:rsidRDefault="00125100" w:rsidP="00D14EDD">
      <w:pPr>
        <w:pStyle w:val="Tekstas"/>
        <w:spacing w:before="0" w:after="0"/>
        <w:ind w:firstLine="0"/>
        <w:rPr>
          <w:sz w:val="20"/>
        </w:rPr>
      </w:pPr>
      <w:r w:rsidRPr="00380491">
        <w:t>Teisingumo min</w:t>
      </w:r>
      <w:r w:rsidR="00910FCB" w:rsidRPr="00380491">
        <w:t>istras</w:t>
      </w:r>
      <w:r w:rsidR="00D14EDD" w:rsidRPr="00380491">
        <w:t xml:space="preserve"> </w:t>
      </w:r>
      <w:r w:rsidR="00D14EDD" w:rsidRPr="00380491">
        <w:tab/>
      </w:r>
      <w:r w:rsidR="00D14EDD" w:rsidRPr="00380491">
        <w:tab/>
      </w:r>
      <w:r w:rsidR="00D14EDD" w:rsidRPr="00380491">
        <w:tab/>
      </w:r>
      <w:r w:rsidR="00D14EDD" w:rsidRPr="00380491">
        <w:tab/>
      </w:r>
      <w:r w:rsidR="00D14EDD" w:rsidRPr="00380491">
        <w:tab/>
      </w:r>
      <w:r w:rsidR="00D14EDD" w:rsidRPr="00380491">
        <w:tab/>
      </w:r>
      <w:r w:rsidR="00D14EDD" w:rsidRPr="00380491">
        <w:tab/>
      </w:r>
      <w:r w:rsidR="00D14EDD" w:rsidRPr="00380491">
        <w:tab/>
      </w:r>
      <w:r w:rsidR="00556B17" w:rsidRPr="00380491">
        <w:t xml:space="preserve">        </w:t>
      </w:r>
      <w:r w:rsidR="00910FCB" w:rsidRPr="00380491">
        <w:t>Elvinas Jankevičius</w:t>
      </w:r>
    </w:p>
    <w:p w14:paraId="0CE25E27" w14:textId="77777777" w:rsidR="00E14D06" w:rsidRPr="00380491" w:rsidRDefault="00E14D06" w:rsidP="00B83696">
      <w:pPr>
        <w:rPr>
          <w:sz w:val="20"/>
          <w:lang w:val="lt-LT"/>
        </w:rPr>
      </w:pPr>
    </w:p>
    <w:p w14:paraId="6342B324" w14:textId="77777777" w:rsidR="00EB302B" w:rsidRPr="00380491" w:rsidRDefault="00EB302B" w:rsidP="00B83696">
      <w:pPr>
        <w:rPr>
          <w:sz w:val="20"/>
          <w:lang w:val="lt-LT"/>
        </w:rPr>
      </w:pPr>
    </w:p>
    <w:p w14:paraId="10DF5608" w14:textId="77777777" w:rsidR="006C3A98" w:rsidRPr="00380491" w:rsidRDefault="00CE642E" w:rsidP="00B83696">
      <w:pPr>
        <w:rPr>
          <w:sz w:val="20"/>
          <w:lang w:val="lt-LT"/>
        </w:rPr>
      </w:pPr>
      <w:r w:rsidRPr="00380491">
        <w:rPr>
          <w:sz w:val="20"/>
          <w:szCs w:val="20"/>
          <w:lang w:val="lt-LT"/>
        </w:rPr>
        <w:t xml:space="preserve">Darius Trinkūnas, (8 5) 266 2912, el. p. </w:t>
      </w:r>
      <w:hyperlink r:id="rId11" w:tgtFrame="_parent" w:history="1">
        <w:r w:rsidRPr="00380491">
          <w:rPr>
            <w:rStyle w:val="Hipersaitas"/>
            <w:sz w:val="20"/>
            <w:szCs w:val="20"/>
            <w:lang w:val="lt-LT"/>
          </w:rPr>
          <w:t>darius.trinkunas@tm.lt</w:t>
        </w:r>
      </w:hyperlink>
    </w:p>
    <w:p w14:paraId="4A38DFE1" w14:textId="6C224B26" w:rsidR="007F285E" w:rsidRPr="00380491" w:rsidRDefault="007F285E" w:rsidP="00B83696">
      <w:pPr>
        <w:rPr>
          <w:sz w:val="20"/>
          <w:lang w:val="lt-LT"/>
        </w:rPr>
      </w:pPr>
      <w:r w:rsidRPr="00380491">
        <w:rPr>
          <w:sz w:val="20"/>
          <w:lang w:val="lt-LT"/>
        </w:rPr>
        <w:t xml:space="preserve">Tautginas Mickevičius, (8 5) 266 2859, el. p. </w:t>
      </w:r>
      <w:hyperlink r:id="rId12" w:history="1">
        <w:r w:rsidRPr="00380491">
          <w:rPr>
            <w:rStyle w:val="Hipersaitas"/>
            <w:sz w:val="20"/>
            <w:lang w:val="lt-LT"/>
          </w:rPr>
          <w:t>tautginas.mickevicius@tm.lt</w:t>
        </w:r>
      </w:hyperlink>
    </w:p>
    <w:sectPr w:rsidR="007F285E" w:rsidRPr="00380491" w:rsidSect="00C023BA">
      <w:headerReference w:type="even" r:id="rId13"/>
      <w:headerReference w:type="default" r:id="rId14"/>
      <w:footerReference w:type="first" r:id="rId15"/>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19A69" w14:textId="77777777" w:rsidR="004A3EBE" w:rsidRDefault="004A3EBE">
      <w:r>
        <w:separator/>
      </w:r>
    </w:p>
  </w:endnote>
  <w:endnote w:type="continuationSeparator" w:id="0">
    <w:p w14:paraId="43C421C5" w14:textId="77777777" w:rsidR="004A3EBE" w:rsidRDefault="004A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BEE49" w14:textId="77777777" w:rsidR="00D30F50" w:rsidRDefault="00D30F50" w:rsidP="00526A4D">
    <w:pPr>
      <w:pStyle w:val="Porat"/>
      <w:tabs>
        <w:tab w:val="left" w:pos="8080"/>
        <w:tab w:val="right" w:pos="9356"/>
      </w:tabs>
    </w:pPr>
  </w:p>
  <w:p w14:paraId="00C14096" w14:textId="77777777" w:rsidR="00D30F50" w:rsidRPr="008A5568" w:rsidRDefault="00D30F50" w:rsidP="00526A4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9B2C5" w14:textId="77777777" w:rsidR="004A3EBE" w:rsidRDefault="004A3EBE">
      <w:r>
        <w:separator/>
      </w:r>
    </w:p>
  </w:footnote>
  <w:footnote w:type="continuationSeparator" w:id="0">
    <w:p w14:paraId="4D8BB6CC" w14:textId="77777777" w:rsidR="004A3EBE" w:rsidRDefault="004A3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B6FA" w14:textId="77777777" w:rsidR="00D30F50" w:rsidRDefault="00D30F50" w:rsidP="00EF3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D1544A" w14:textId="77777777" w:rsidR="00D30F50" w:rsidRDefault="00D30F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C9B0E" w14:textId="77777777" w:rsidR="00D30F50" w:rsidRDefault="00D30F50" w:rsidP="00EF35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0AF8">
      <w:rPr>
        <w:rStyle w:val="Puslapionumeris"/>
        <w:noProof/>
      </w:rPr>
      <w:t>3</w:t>
    </w:r>
    <w:r>
      <w:rPr>
        <w:rStyle w:val="Puslapionumeris"/>
      </w:rPr>
      <w:fldChar w:fldCharType="end"/>
    </w:r>
  </w:p>
  <w:p w14:paraId="7F152599" w14:textId="77777777" w:rsidR="00D30F50" w:rsidRDefault="00D30F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3501"/>
    <w:multiLevelType w:val="hybridMultilevel"/>
    <w:tmpl w:val="6F4E976E"/>
    <w:lvl w:ilvl="0" w:tplc="FFC4BB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A8B45DD"/>
    <w:multiLevelType w:val="hybridMultilevel"/>
    <w:tmpl w:val="80F6C624"/>
    <w:lvl w:ilvl="0" w:tplc="AF968CEA">
      <w:start w:val="1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 w15:restartNumberingAfterBreak="0">
    <w:nsid w:val="31E13071"/>
    <w:multiLevelType w:val="multilevel"/>
    <w:tmpl w:val="A43AC20A"/>
    <w:lvl w:ilvl="0">
      <w:start w:val="42"/>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5B5B6E38"/>
    <w:multiLevelType w:val="multilevel"/>
    <w:tmpl w:val="52A62382"/>
    <w:lvl w:ilvl="0">
      <w:start w:val="1"/>
      <w:numFmt w:val="decimal"/>
      <w:lvlText w:val="%1."/>
      <w:lvlJc w:val="left"/>
      <w:pPr>
        <w:ind w:left="1211"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4" w15:restartNumberingAfterBreak="0">
    <w:nsid w:val="769A3128"/>
    <w:multiLevelType w:val="hybridMultilevel"/>
    <w:tmpl w:val="E6B08D58"/>
    <w:lvl w:ilvl="0" w:tplc="FB6ADF6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25"/>
    <w:rsid w:val="00002DE2"/>
    <w:rsid w:val="00011553"/>
    <w:rsid w:val="00015C3F"/>
    <w:rsid w:val="00017455"/>
    <w:rsid w:val="000255CD"/>
    <w:rsid w:val="00025F78"/>
    <w:rsid w:val="00030AE1"/>
    <w:rsid w:val="00032FC4"/>
    <w:rsid w:val="00036207"/>
    <w:rsid w:val="00042C42"/>
    <w:rsid w:val="00050C58"/>
    <w:rsid w:val="00051F1C"/>
    <w:rsid w:val="0005311C"/>
    <w:rsid w:val="00053DF1"/>
    <w:rsid w:val="000575A0"/>
    <w:rsid w:val="000619E7"/>
    <w:rsid w:val="0007208B"/>
    <w:rsid w:val="00072BBE"/>
    <w:rsid w:val="00075B4E"/>
    <w:rsid w:val="000870B9"/>
    <w:rsid w:val="00092166"/>
    <w:rsid w:val="000956D9"/>
    <w:rsid w:val="000A3859"/>
    <w:rsid w:val="000A5D94"/>
    <w:rsid w:val="000A616B"/>
    <w:rsid w:val="000B4EDF"/>
    <w:rsid w:val="000B7E46"/>
    <w:rsid w:val="000D0ED5"/>
    <w:rsid w:val="000D49A0"/>
    <w:rsid w:val="000D52E1"/>
    <w:rsid w:val="000D7358"/>
    <w:rsid w:val="000E5639"/>
    <w:rsid w:val="000F7CC3"/>
    <w:rsid w:val="00102F03"/>
    <w:rsid w:val="00112DEF"/>
    <w:rsid w:val="001203D5"/>
    <w:rsid w:val="00120B50"/>
    <w:rsid w:val="001228A6"/>
    <w:rsid w:val="00125100"/>
    <w:rsid w:val="001416FA"/>
    <w:rsid w:val="001419B9"/>
    <w:rsid w:val="001578D0"/>
    <w:rsid w:val="0016117B"/>
    <w:rsid w:val="00161AEB"/>
    <w:rsid w:val="0016267C"/>
    <w:rsid w:val="001668E5"/>
    <w:rsid w:val="00166A05"/>
    <w:rsid w:val="00172ED6"/>
    <w:rsid w:val="00175DDB"/>
    <w:rsid w:val="001776AD"/>
    <w:rsid w:val="00180F9B"/>
    <w:rsid w:val="00191A24"/>
    <w:rsid w:val="001A661C"/>
    <w:rsid w:val="001B2184"/>
    <w:rsid w:val="001B5177"/>
    <w:rsid w:val="001C605B"/>
    <w:rsid w:val="001D4429"/>
    <w:rsid w:val="001E0332"/>
    <w:rsid w:val="001E4224"/>
    <w:rsid w:val="001E5D55"/>
    <w:rsid w:val="001F0CBF"/>
    <w:rsid w:val="001F1312"/>
    <w:rsid w:val="001F53B1"/>
    <w:rsid w:val="0020134F"/>
    <w:rsid w:val="00201AF0"/>
    <w:rsid w:val="00206908"/>
    <w:rsid w:val="002200D5"/>
    <w:rsid w:val="00222182"/>
    <w:rsid w:val="00226CF8"/>
    <w:rsid w:val="0023016F"/>
    <w:rsid w:val="00237A5B"/>
    <w:rsid w:val="00240506"/>
    <w:rsid w:val="00241541"/>
    <w:rsid w:val="00242D05"/>
    <w:rsid w:val="00246506"/>
    <w:rsid w:val="00254DE4"/>
    <w:rsid w:val="002569E7"/>
    <w:rsid w:val="002629FB"/>
    <w:rsid w:val="002658BE"/>
    <w:rsid w:val="002669C7"/>
    <w:rsid w:val="00267D63"/>
    <w:rsid w:val="00277BFB"/>
    <w:rsid w:val="00285080"/>
    <w:rsid w:val="00293D53"/>
    <w:rsid w:val="00296715"/>
    <w:rsid w:val="002A0D21"/>
    <w:rsid w:val="002A0F99"/>
    <w:rsid w:val="002A4F01"/>
    <w:rsid w:val="002B0A96"/>
    <w:rsid w:val="002B27C0"/>
    <w:rsid w:val="002B3DD9"/>
    <w:rsid w:val="002B68C2"/>
    <w:rsid w:val="002B7D80"/>
    <w:rsid w:val="002D0B80"/>
    <w:rsid w:val="002D1EC4"/>
    <w:rsid w:val="002D5A10"/>
    <w:rsid w:val="002E54AC"/>
    <w:rsid w:val="002F701F"/>
    <w:rsid w:val="003074D1"/>
    <w:rsid w:val="00311D77"/>
    <w:rsid w:val="00315AB6"/>
    <w:rsid w:val="0032200E"/>
    <w:rsid w:val="003269DB"/>
    <w:rsid w:val="00342719"/>
    <w:rsid w:val="00351F03"/>
    <w:rsid w:val="00380491"/>
    <w:rsid w:val="00386A82"/>
    <w:rsid w:val="00391133"/>
    <w:rsid w:val="003933E5"/>
    <w:rsid w:val="00395159"/>
    <w:rsid w:val="003A3691"/>
    <w:rsid w:val="003B485F"/>
    <w:rsid w:val="003D00C3"/>
    <w:rsid w:val="003D7989"/>
    <w:rsid w:val="003F0257"/>
    <w:rsid w:val="003F7F2B"/>
    <w:rsid w:val="00417805"/>
    <w:rsid w:val="0042631E"/>
    <w:rsid w:val="00435807"/>
    <w:rsid w:val="00436E42"/>
    <w:rsid w:val="00441464"/>
    <w:rsid w:val="0044198E"/>
    <w:rsid w:val="004455E0"/>
    <w:rsid w:val="0045017B"/>
    <w:rsid w:val="00455C34"/>
    <w:rsid w:val="00456314"/>
    <w:rsid w:val="00460F0A"/>
    <w:rsid w:val="00476BDB"/>
    <w:rsid w:val="00485D35"/>
    <w:rsid w:val="0049028B"/>
    <w:rsid w:val="004A3EBE"/>
    <w:rsid w:val="004A5D30"/>
    <w:rsid w:val="004B0708"/>
    <w:rsid w:val="004B0E8C"/>
    <w:rsid w:val="004B1DA6"/>
    <w:rsid w:val="004B43F7"/>
    <w:rsid w:val="004B48EF"/>
    <w:rsid w:val="004E7A62"/>
    <w:rsid w:val="004F2CAA"/>
    <w:rsid w:val="00501F1B"/>
    <w:rsid w:val="00503379"/>
    <w:rsid w:val="00516F5D"/>
    <w:rsid w:val="00520E84"/>
    <w:rsid w:val="005263D0"/>
    <w:rsid w:val="00526A4D"/>
    <w:rsid w:val="00527C6D"/>
    <w:rsid w:val="00530AF8"/>
    <w:rsid w:val="0053521B"/>
    <w:rsid w:val="0054401E"/>
    <w:rsid w:val="005460F2"/>
    <w:rsid w:val="005559D8"/>
    <w:rsid w:val="00556B17"/>
    <w:rsid w:val="00562CC3"/>
    <w:rsid w:val="00567F60"/>
    <w:rsid w:val="00570F3E"/>
    <w:rsid w:val="00575C19"/>
    <w:rsid w:val="005845E4"/>
    <w:rsid w:val="005865D6"/>
    <w:rsid w:val="0059049F"/>
    <w:rsid w:val="005923DD"/>
    <w:rsid w:val="005A6CE9"/>
    <w:rsid w:val="005C15E0"/>
    <w:rsid w:val="005C448B"/>
    <w:rsid w:val="005C7A7F"/>
    <w:rsid w:val="005D55C3"/>
    <w:rsid w:val="005E10E5"/>
    <w:rsid w:val="005E415D"/>
    <w:rsid w:val="005E6568"/>
    <w:rsid w:val="005F138C"/>
    <w:rsid w:val="00603A39"/>
    <w:rsid w:val="00606157"/>
    <w:rsid w:val="00610D50"/>
    <w:rsid w:val="00613697"/>
    <w:rsid w:val="00614307"/>
    <w:rsid w:val="00622CD8"/>
    <w:rsid w:val="0062638F"/>
    <w:rsid w:val="00627B25"/>
    <w:rsid w:val="006342D5"/>
    <w:rsid w:val="006365A6"/>
    <w:rsid w:val="00640C06"/>
    <w:rsid w:val="00653A86"/>
    <w:rsid w:val="00655265"/>
    <w:rsid w:val="00657AB2"/>
    <w:rsid w:val="006631FB"/>
    <w:rsid w:val="00664790"/>
    <w:rsid w:val="0066633C"/>
    <w:rsid w:val="00666C91"/>
    <w:rsid w:val="0068073F"/>
    <w:rsid w:val="00686451"/>
    <w:rsid w:val="0069173D"/>
    <w:rsid w:val="006A152C"/>
    <w:rsid w:val="006A5E4D"/>
    <w:rsid w:val="006B7740"/>
    <w:rsid w:val="006C1566"/>
    <w:rsid w:val="006C3A98"/>
    <w:rsid w:val="006C61C3"/>
    <w:rsid w:val="006C67D4"/>
    <w:rsid w:val="006D4027"/>
    <w:rsid w:val="006D4D8D"/>
    <w:rsid w:val="006E58F6"/>
    <w:rsid w:val="006F5C62"/>
    <w:rsid w:val="00700472"/>
    <w:rsid w:val="00701015"/>
    <w:rsid w:val="00701D7C"/>
    <w:rsid w:val="00703D31"/>
    <w:rsid w:val="0071336B"/>
    <w:rsid w:val="00716C2B"/>
    <w:rsid w:val="00716EAB"/>
    <w:rsid w:val="007170DF"/>
    <w:rsid w:val="00720E89"/>
    <w:rsid w:val="007230A4"/>
    <w:rsid w:val="00730CE1"/>
    <w:rsid w:val="00732E8F"/>
    <w:rsid w:val="00734582"/>
    <w:rsid w:val="0073513B"/>
    <w:rsid w:val="007428FA"/>
    <w:rsid w:val="00756E51"/>
    <w:rsid w:val="0076001F"/>
    <w:rsid w:val="00771B55"/>
    <w:rsid w:val="00786F1E"/>
    <w:rsid w:val="007943B5"/>
    <w:rsid w:val="007A10C2"/>
    <w:rsid w:val="007A4989"/>
    <w:rsid w:val="007A55BB"/>
    <w:rsid w:val="007A630B"/>
    <w:rsid w:val="007B2659"/>
    <w:rsid w:val="007C4114"/>
    <w:rsid w:val="007F00AE"/>
    <w:rsid w:val="007F0447"/>
    <w:rsid w:val="007F046C"/>
    <w:rsid w:val="007F285E"/>
    <w:rsid w:val="007F2E38"/>
    <w:rsid w:val="00800A9E"/>
    <w:rsid w:val="00804344"/>
    <w:rsid w:val="00826D5B"/>
    <w:rsid w:val="0083473D"/>
    <w:rsid w:val="008374A3"/>
    <w:rsid w:val="00843B75"/>
    <w:rsid w:val="00851145"/>
    <w:rsid w:val="00863BD7"/>
    <w:rsid w:val="00864A7B"/>
    <w:rsid w:val="00866D50"/>
    <w:rsid w:val="00870889"/>
    <w:rsid w:val="008739A2"/>
    <w:rsid w:val="008807F0"/>
    <w:rsid w:val="00881184"/>
    <w:rsid w:val="00882956"/>
    <w:rsid w:val="00883A88"/>
    <w:rsid w:val="008924FC"/>
    <w:rsid w:val="008953FF"/>
    <w:rsid w:val="00896459"/>
    <w:rsid w:val="00896DBF"/>
    <w:rsid w:val="008A04C4"/>
    <w:rsid w:val="008A5568"/>
    <w:rsid w:val="008B1545"/>
    <w:rsid w:val="008B6343"/>
    <w:rsid w:val="008B69F6"/>
    <w:rsid w:val="008C3100"/>
    <w:rsid w:val="008C34F3"/>
    <w:rsid w:val="008C4B25"/>
    <w:rsid w:val="008C6BF9"/>
    <w:rsid w:val="008C7D0E"/>
    <w:rsid w:val="008D246E"/>
    <w:rsid w:val="008D4C68"/>
    <w:rsid w:val="008D6235"/>
    <w:rsid w:val="008E377A"/>
    <w:rsid w:val="008E7D4F"/>
    <w:rsid w:val="008E7E93"/>
    <w:rsid w:val="008F4F6E"/>
    <w:rsid w:val="0090241E"/>
    <w:rsid w:val="0090277D"/>
    <w:rsid w:val="00910FCB"/>
    <w:rsid w:val="00926CBB"/>
    <w:rsid w:val="0094619B"/>
    <w:rsid w:val="009520B1"/>
    <w:rsid w:val="00953B69"/>
    <w:rsid w:val="00960C4F"/>
    <w:rsid w:val="00961DF8"/>
    <w:rsid w:val="00967A0D"/>
    <w:rsid w:val="00970A13"/>
    <w:rsid w:val="0097711C"/>
    <w:rsid w:val="00982FAE"/>
    <w:rsid w:val="00991F29"/>
    <w:rsid w:val="009A0BBD"/>
    <w:rsid w:val="009A1BA4"/>
    <w:rsid w:val="009A3707"/>
    <w:rsid w:val="009A507A"/>
    <w:rsid w:val="009A7956"/>
    <w:rsid w:val="009B094E"/>
    <w:rsid w:val="009B23FF"/>
    <w:rsid w:val="009B489C"/>
    <w:rsid w:val="009B4C6F"/>
    <w:rsid w:val="009C2B26"/>
    <w:rsid w:val="009C6F17"/>
    <w:rsid w:val="009D6EA4"/>
    <w:rsid w:val="009E3D13"/>
    <w:rsid w:val="009E425F"/>
    <w:rsid w:val="009E4BE0"/>
    <w:rsid w:val="009E5B63"/>
    <w:rsid w:val="009E5E99"/>
    <w:rsid w:val="009E6D1C"/>
    <w:rsid w:val="009E7500"/>
    <w:rsid w:val="009F5633"/>
    <w:rsid w:val="009F765A"/>
    <w:rsid w:val="00A010CD"/>
    <w:rsid w:val="00A01150"/>
    <w:rsid w:val="00A02E00"/>
    <w:rsid w:val="00A03552"/>
    <w:rsid w:val="00A10A80"/>
    <w:rsid w:val="00A126C7"/>
    <w:rsid w:val="00A12A4C"/>
    <w:rsid w:val="00A1775A"/>
    <w:rsid w:val="00A270F5"/>
    <w:rsid w:val="00A34C25"/>
    <w:rsid w:val="00A37F56"/>
    <w:rsid w:val="00A422F5"/>
    <w:rsid w:val="00A43818"/>
    <w:rsid w:val="00A643C6"/>
    <w:rsid w:val="00A65298"/>
    <w:rsid w:val="00A71DC9"/>
    <w:rsid w:val="00A73340"/>
    <w:rsid w:val="00A756E1"/>
    <w:rsid w:val="00A95C1D"/>
    <w:rsid w:val="00AA385D"/>
    <w:rsid w:val="00AB783B"/>
    <w:rsid w:val="00AB7CE7"/>
    <w:rsid w:val="00AD055E"/>
    <w:rsid w:val="00AD06B1"/>
    <w:rsid w:val="00AD3C8C"/>
    <w:rsid w:val="00AE7669"/>
    <w:rsid w:val="00B024A2"/>
    <w:rsid w:val="00B33C0D"/>
    <w:rsid w:val="00B4242F"/>
    <w:rsid w:val="00B436B0"/>
    <w:rsid w:val="00B46C36"/>
    <w:rsid w:val="00B473A1"/>
    <w:rsid w:val="00B563D3"/>
    <w:rsid w:val="00B762AD"/>
    <w:rsid w:val="00B77404"/>
    <w:rsid w:val="00B812C2"/>
    <w:rsid w:val="00B83696"/>
    <w:rsid w:val="00BA1270"/>
    <w:rsid w:val="00BA614F"/>
    <w:rsid w:val="00BB2891"/>
    <w:rsid w:val="00BB3CDB"/>
    <w:rsid w:val="00BB40CB"/>
    <w:rsid w:val="00BC635F"/>
    <w:rsid w:val="00BD0C32"/>
    <w:rsid w:val="00BE0DF7"/>
    <w:rsid w:val="00BE1E2A"/>
    <w:rsid w:val="00BF1901"/>
    <w:rsid w:val="00BF3B52"/>
    <w:rsid w:val="00C023BA"/>
    <w:rsid w:val="00C03B06"/>
    <w:rsid w:val="00C20DC5"/>
    <w:rsid w:val="00C248A2"/>
    <w:rsid w:val="00C305B8"/>
    <w:rsid w:val="00C31206"/>
    <w:rsid w:val="00C37B89"/>
    <w:rsid w:val="00C5191C"/>
    <w:rsid w:val="00C57ED3"/>
    <w:rsid w:val="00C61655"/>
    <w:rsid w:val="00C63AB0"/>
    <w:rsid w:val="00C714C3"/>
    <w:rsid w:val="00C73727"/>
    <w:rsid w:val="00C741BC"/>
    <w:rsid w:val="00C76C8A"/>
    <w:rsid w:val="00C80A9F"/>
    <w:rsid w:val="00C82D3E"/>
    <w:rsid w:val="00C91013"/>
    <w:rsid w:val="00C9142F"/>
    <w:rsid w:val="00C93925"/>
    <w:rsid w:val="00C95F65"/>
    <w:rsid w:val="00CB4DA1"/>
    <w:rsid w:val="00CB6B9D"/>
    <w:rsid w:val="00CC611A"/>
    <w:rsid w:val="00CD2F77"/>
    <w:rsid w:val="00CD634D"/>
    <w:rsid w:val="00CD63BB"/>
    <w:rsid w:val="00CE16F4"/>
    <w:rsid w:val="00CE642E"/>
    <w:rsid w:val="00CF798A"/>
    <w:rsid w:val="00D02702"/>
    <w:rsid w:val="00D06E59"/>
    <w:rsid w:val="00D14EDD"/>
    <w:rsid w:val="00D258C7"/>
    <w:rsid w:val="00D30F50"/>
    <w:rsid w:val="00D31908"/>
    <w:rsid w:val="00D32D81"/>
    <w:rsid w:val="00D35979"/>
    <w:rsid w:val="00D444DD"/>
    <w:rsid w:val="00D664EA"/>
    <w:rsid w:val="00D71F56"/>
    <w:rsid w:val="00D722F8"/>
    <w:rsid w:val="00D749DE"/>
    <w:rsid w:val="00D813D9"/>
    <w:rsid w:val="00DA23C1"/>
    <w:rsid w:val="00DA6735"/>
    <w:rsid w:val="00DA6AB1"/>
    <w:rsid w:val="00DC7EED"/>
    <w:rsid w:val="00DE0E08"/>
    <w:rsid w:val="00DE48D1"/>
    <w:rsid w:val="00DF2E42"/>
    <w:rsid w:val="00DF4281"/>
    <w:rsid w:val="00E01731"/>
    <w:rsid w:val="00E01B72"/>
    <w:rsid w:val="00E14D06"/>
    <w:rsid w:val="00E15DE6"/>
    <w:rsid w:val="00E17EDF"/>
    <w:rsid w:val="00E2631B"/>
    <w:rsid w:val="00E27EC0"/>
    <w:rsid w:val="00E46BA6"/>
    <w:rsid w:val="00E47DEC"/>
    <w:rsid w:val="00E5517D"/>
    <w:rsid w:val="00E64682"/>
    <w:rsid w:val="00E8025C"/>
    <w:rsid w:val="00E81CCE"/>
    <w:rsid w:val="00E83A77"/>
    <w:rsid w:val="00E86B05"/>
    <w:rsid w:val="00E91C7A"/>
    <w:rsid w:val="00E953A7"/>
    <w:rsid w:val="00E970FE"/>
    <w:rsid w:val="00EA37AB"/>
    <w:rsid w:val="00EB302B"/>
    <w:rsid w:val="00EC066F"/>
    <w:rsid w:val="00EC4329"/>
    <w:rsid w:val="00EC6021"/>
    <w:rsid w:val="00ED3D01"/>
    <w:rsid w:val="00ED5D77"/>
    <w:rsid w:val="00ED6385"/>
    <w:rsid w:val="00EE1022"/>
    <w:rsid w:val="00EF1A96"/>
    <w:rsid w:val="00EF352E"/>
    <w:rsid w:val="00EF79DC"/>
    <w:rsid w:val="00F01C04"/>
    <w:rsid w:val="00F01F25"/>
    <w:rsid w:val="00F07EC9"/>
    <w:rsid w:val="00F13835"/>
    <w:rsid w:val="00F15677"/>
    <w:rsid w:val="00F278DD"/>
    <w:rsid w:val="00F30327"/>
    <w:rsid w:val="00F31AF2"/>
    <w:rsid w:val="00F32C0C"/>
    <w:rsid w:val="00F42BC8"/>
    <w:rsid w:val="00F42DCA"/>
    <w:rsid w:val="00F449BD"/>
    <w:rsid w:val="00F518AC"/>
    <w:rsid w:val="00F51D8F"/>
    <w:rsid w:val="00F530A8"/>
    <w:rsid w:val="00F531F9"/>
    <w:rsid w:val="00F5668C"/>
    <w:rsid w:val="00F67E06"/>
    <w:rsid w:val="00F767AC"/>
    <w:rsid w:val="00F90C23"/>
    <w:rsid w:val="00FB6600"/>
    <w:rsid w:val="00FB693A"/>
    <w:rsid w:val="00FD2990"/>
    <w:rsid w:val="00FD422B"/>
    <w:rsid w:val="00FD797D"/>
    <w:rsid w:val="00FE71B2"/>
    <w:rsid w:val="00FF7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AA019"/>
  <w15:docId w15:val="{86F0BDA6-24E1-4055-A635-6A058F08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5E0"/>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4455E0"/>
    <w:pPr>
      <w:tabs>
        <w:tab w:val="center" w:pos="4153"/>
        <w:tab w:val="right" w:pos="8306"/>
      </w:tabs>
    </w:pPr>
    <w:rPr>
      <w:lang w:val="lt-LT"/>
    </w:rPr>
  </w:style>
  <w:style w:type="paragraph" w:customStyle="1" w:styleId="Institucija">
    <w:name w:val="Institucija"/>
    <w:basedOn w:val="Antrats"/>
    <w:rsid w:val="004455E0"/>
    <w:pPr>
      <w:tabs>
        <w:tab w:val="clear" w:pos="4153"/>
        <w:tab w:val="clear" w:pos="8306"/>
      </w:tabs>
      <w:jc w:val="center"/>
    </w:pPr>
    <w:rPr>
      <w:b/>
      <w:bCs/>
      <w:sz w:val="26"/>
    </w:rPr>
  </w:style>
  <w:style w:type="character" w:styleId="Hipersaitas">
    <w:name w:val="Hyperlink"/>
    <w:basedOn w:val="Numatytasispastraiposriftas"/>
    <w:rsid w:val="004455E0"/>
    <w:rPr>
      <w:color w:val="0000FF"/>
      <w:u w:val="single"/>
    </w:rPr>
  </w:style>
  <w:style w:type="paragraph" w:customStyle="1" w:styleId="Pavadinimas1">
    <w:name w:val="Pavadinimas1"/>
    <w:basedOn w:val="prastasis"/>
    <w:rsid w:val="004455E0"/>
    <w:pPr>
      <w:spacing w:before="40" w:after="40"/>
      <w:ind w:right="1959"/>
    </w:pPr>
    <w:rPr>
      <w:caps/>
      <w:lang w:val="lt-LT"/>
    </w:rPr>
  </w:style>
  <w:style w:type="paragraph" w:customStyle="1" w:styleId="Adresas">
    <w:name w:val="Adresas"/>
    <w:basedOn w:val="prastasis"/>
    <w:qFormat/>
    <w:rsid w:val="004455E0"/>
    <w:pPr>
      <w:ind w:right="318"/>
    </w:pPr>
    <w:rPr>
      <w:lang w:val="lt-LT"/>
    </w:rPr>
  </w:style>
  <w:style w:type="paragraph" w:customStyle="1" w:styleId="Kopija">
    <w:name w:val="Kopija"/>
    <w:basedOn w:val="Adresas"/>
    <w:rsid w:val="004455E0"/>
    <w:pPr>
      <w:ind w:right="3999"/>
    </w:pPr>
  </w:style>
  <w:style w:type="paragraph" w:customStyle="1" w:styleId="Tekstas">
    <w:name w:val="Tekstas"/>
    <w:basedOn w:val="prastasis"/>
    <w:rsid w:val="00896DBF"/>
    <w:pPr>
      <w:spacing w:before="40" w:after="40"/>
      <w:ind w:right="40" w:firstLine="1247"/>
      <w:jc w:val="both"/>
    </w:pPr>
    <w:rPr>
      <w:lang w:val="lt-LT"/>
    </w:rPr>
  </w:style>
  <w:style w:type="character" w:styleId="Puslapionumeris">
    <w:name w:val="page number"/>
    <w:basedOn w:val="Numatytasispastraiposriftas"/>
    <w:rsid w:val="00EF352E"/>
  </w:style>
  <w:style w:type="paragraph" w:styleId="Porat">
    <w:name w:val="footer"/>
    <w:basedOn w:val="prastasis"/>
    <w:link w:val="PoratDiagrama"/>
    <w:rsid w:val="00EF352E"/>
    <w:pPr>
      <w:tabs>
        <w:tab w:val="center" w:pos="4819"/>
        <w:tab w:val="right" w:pos="9638"/>
      </w:tabs>
    </w:pPr>
  </w:style>
  <w:style w:type="paragraph" w:styleId="Dokumentostruktra">
    <w:name w:val="Document Map"/>
    <w:basedOn w:val="prastasis"/>
    <w:link w:val="DokumentostruktraDiagrama"/>
    <w:rsid w:val="001B2184"/>
    <w:rPr>
      <w:rFonts w:ascii="Tahoma" w:hAnsi="Tahoma" w:cs="Tahoma"/>
      <w:sz w:val="16"/>
      <w:szCs w:val="16"/>
    </w:rPr>
  </w:style>
  <w:style w:type="character" w:customStyle="1" w:styleId="DokumentostruktraDiagrama">
    <w:name w:val="Dokumento struktūra Diagrama"/>
    <w:basedOn w:val="Numatytasispastraiposriftas"/>
    <w:link w:val="Dokumentostruktra"/>
    <w:rsid w:val="001B2184"/>
    <w:rPr>
      <w:rFonts w:ascii="Tahoma" w:hAnsi="Tahoma" w:cs="Tahoma"/>
      <w:sz w:val="16"/>
      <w:szCs w:val="16"/>
      <w:lang w:val="en-US" w:eastAsia="en-US"/>
    </w:rPr>
  </w:style>
  <w:style w:type="paragraph" w:styleId="Debesliotekstas">
    <w:name w:val="Balloon Text"/>
    <w:basedOn w:val="prastasis"/>
    <w:link w:val="DebesliotekstasDiagrama"/>
    <w:rsid w:val="002F701F"/>
    <w:rPr>
      <w:rFonts w:ascii="Tahoma" w:hAnsi="Tahoma" w:cs="Tahoma"/>
      <w:sz w:val="16"/>
      <w:szCs w:val="16"/>
    </w:rPr>
  </w:style>
  <w:style w:type="character" w:customStyle="1" w:styleId="DebesliotekstasDiagrama">
    <w:name w:val="Debesėlio tekstas Diagrama"/>
    <w:basedOn w:val="Numatytasispastraiposriftas"/>
    <w:link w:val="Debesliotekstas"/>
    <w:rsid w:val="002F701F"/>
    <w:rPr>
      <w:rFonts w:ascii="Tahoma" w:hAnsi="Tahoma" w:cs="Tahoma"/>
      <w:sz w:val="16"/>
      <w:szCs w:val="16"/>
      <w:lang w:val="en-US" w:eastAsia="en-US"/>
    </w:rPr>
  </w:style>
  <w:style w:type="paragraph" w:styleId="Betarp">
    <w:name w:val="No Spacing"/>
    <w:uiPriority w:val="1"/>
    <w:qFormat/>
    <w:rsid w:val="00ED6385"/>
    <w:rPr>
      <w:rFonts w:ascii="Calibri" w:eastAsia="Calibri" w:hAnsi="Calibri"/>
      <w:sz w:val="22"/>
      <w:szCs w:val="22"/>
      <w:lang w:eastAsia="en-US"/>
    </w:rPr>
  </w:style>
  <w:style w:type="paragraph" w:styleId="Sraopastraipa">
    <w:name w:val="List Paragraph"/>
    <w:basedOn w:val="prastasis"/>
    <w:uiPriority w:val="34"/>
    <w:qFormat/>
    <w:rsid w:val="000255CD"/>
    <w:pPr>
      <w:ind w:left="720"/>
      <w:contextualSpacing/>
    </w:pPr>
  </w:style>
  <w:style w:type="character" w:customStyle="1" w:styleId="PoratDiagrama">
    <w:name w:val="Poraštė Diagrama"/>
    <w:basedOn w:val="Numatytasispastraiposriftas"/>
    <w:link w:val="Porat"/>
    <w:rsid w:val="00526A4D"/>
    <w:rPr>
      <w:sz w:val="24"/>
      <w:szCs w:val="24"/>
      <w:lang w:val="en-US" w:eastAsia="en-US"/>
    </w:rPr>
  </w:style>
  <w:style w:type="paragraph" w:customStyle="1" w:styleId="Pavadinimas2">
    <w:name w:val="Pavadinimas2"/>
    <w:basedOn w:val="prastasis"/>
    <w:rsid w:val="00050C58"/>
    <w:pPr>
      <w:suppressLineNumbers/>
      <w:suppressAutoHyphens/>
      <w:spacing w:before="120" w:after="120"/>
    </w:pPr>
    <w:rPr>
      <w:rFonts w:cs="Tahoma"/>
      <w:i/>
      <w:iCs/>
      <w:lang w:val="lt-LT" w:eastAsia="ar-SA"/>
    </w:rPr>
  </w:style>
  <w:style w:type="character" w:styleId="Komentaronuoroda">
    <w:name w:val="annotation reference"/>
    <w:basedOn w:val="Numatytasispastraiposriftas"/>
    <w:semiHidden/>
    <w:unhideWhenUsed/>
    <w:rsid w:val="00F07EC9"/>
    <w:rPr>
      <w:sz w:val="16"/>
      <w:szCs w:val="16"/>
    </w:rPr>
  </w:style>
  <w:style w:type="paragraph" w:styleId="Komentarotekstas">
    <w:name w:val="annotation text"/>
    <w:basedOn w:val="prastasis"/>
    <w:link w:val="KomentarotekstasDiagrama"/>
    <w:semiHidden/>
    <w:unhideWhenUsed/>
    <w:rsid w:val="00F07EC9"/>
    <w:rPr>
      <w:sz w:val="20"/>
      <w:szCs w:val="20"/>
    </w:rPr>
  </w:style>
  <w:style w:type="character" w:customStyle="1" w:styleId="KomentarotekstasDiagrama">
    <w:name w:val="Komentaro tekstas Diagrama"/>
    <w:basedOn w:val="Numatytasispastraiposriftas"/>
    <w:link w:val="Komentarotekstas"/>
    <w:semiHidden/>
    <w:rsid w:val="00F07EC9"/>
    <w:rPr>
      <w:lang w:val="en-US" w:eastAsia="en-US"/>
    </w:rPr>
  </w:style>
  <w:style w:type="paragraph" w:styleId="Komentarotema">
    <w:name w:val="annotation subject"/>
    <w:basedOn w:val="Komentarotekstas"/>
    <w:next w:val="Komentarotekstas"/>
    <w:link w:val="KomentarotemaDiagrama"/>
    <w:semiHidden/>
    <w:unhideWhenUsed/>
    <w:rsid w:val="00F07EC9"/>
    <w:rPr>
      <w:b/>
      <w:bCs/>
    </w:rPr>
  </w:style>
  <w:style w:type="character" w:customStyle="1" w:styleId="KomentarotemaDiagrama">
    <w:name w:val="Komentaro tema Diagrama"/>
    <w:basedOn w:val="KomentarotekstasDiagrama"/>
    <w:link w:val="Komentarotema"/>
    <w:semiHidden/>
    <w:rsid w:val="00F07EC9"/>
    <w:rPr>
      <w:b/>
      <w:bCs/>
      <w:lang w:val="en-US" w:eastAsia="en-US"/>
    </w:rPr>
  </w:style>
  <w:style w:type="character" w:styleId="Perirtashipersaitas">
    <w:name w:val="FollowedHyperlink"/>
    <w:basedOn w:val="Numatytasispastraiposriftas"/>
    <w:semiHidden/>
    <w:unhideWhenUsed/>
    <w:rsid w:val="002405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93857">
      <w:bodyDiv w:val="1"/>
      <w:marLeft w:val="0"/>
      <w:marRight w:val="0"/>
      <w:marTop w:val="0"/>
      <w:marBottom w:val="0"/>
      <w:divBdr>
        <w:top w:val="none" w:sz="0" w:space="0" w:color="auto"/>
        <w:left w:val="none" w:sz="0" w:space="0" w:color="auto"/>
        <w:bottom w:val="none" w:sz="0" w:space="0" w:color="auto"/>
        <w:right w:val="none" w:sz="0" w:space="0" w:color="auto"/>
      </w:divBdr>
    </w:div>
    <w:div w:id="865097704">
      <w:bodyDiv w:val="1"/>
      <w:marLeft w:val="0"/>
      <w:marRight w:val="0"/>
      <w:marTop w:val="0"/>
      <w:marBottom w:val="0"/>
      <w:divBdr>
        <w:top w:val="none" w:sz="0" w:space="0" w:color="auto"/>
        <w:left w:val="none" w:sz="0" w:space="0" w:color="auto"/>
        <w:bottom w:val="none" w:sz="0" w:space="0" w:color="auto"/>
        <w:right w:val="none" w:sz="0" w:space="0" w:color="auto"/>
      </w:divBdr>
    </w:div>
    <w:div w:id="1546721097">
      <w:bodyDiv w:val="1"/>
      <w:marLeft w:val="0"/>
      <w:marRight w:val="0"/>
      <w:marTop w:val="0"/>
      <w:marBottom w:val="0"/>
      <w:divBdr>
        <w:top w:val="none" w:sz="0" w:space="0" w:color="auto"/>
        <w:left w:val="none" w:sz="0" w:space="0" w:color="auto"/>
        <w:bottom w:val="none" w:sz="0" w:space="0" w:color="auto"/>
        <w:right w:val="none" w:sz="0" w:space="0" w:color="auto"/>
      </w:divBdr>
    </w:div>
    <w:div w:id="1887057659">
      <w:bodyDiv w:val="1"/>
      <w:marLeft w:val="0"/>
      <w:marRight w:val="0"/>
      <w:marTop w:val="0"/>
      <w:marBottom w:val="0"/>
      <w:divBdr>
        <w:top w:val="none" w:sz="0" w:space="0" w:color="auto"/>
        <w:left w:val="none" w:sz="0" w:space="0" w:color="auto"/>
        <w:bottom w:val="none" w:sz="0" w:space="0" w:color="auto"/>
        <w:right w:val="none" w:sz="0" w:space="0" w:color="auto"/>
      </w:divBdr>
      <w:divsChild>
        <w:div w:id="192900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lrs.lt/pls/proj/dokpaieska.showdoc_l?p_id=1369212"
                 TargetMode="External"
                 Type="http://schemas.openxmlformats.org/officeDocument/2006/relationships/hyperlink"/>
   <Relationship Id="rId11" Target="mailto:darius.trinkunas@tm.lt" TargetMode="External"
                 Type="http://schemas.openxmlformats.org/officeDocument/2006/relationships/hyperlink"/>
   <Relationship Id="rId12" Target="mailto:tautginas.mickevicius@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settings.xml.rels><?xml version="1.0" encoding="UTF-8" standalone="yes"?>
<Relationships xmlns="http://schemas.openxmlformats.org/package/2006/relationships">
   <Relationship Id="rId1"
                 Target="file:///C:/Users/r.laukis/Documents/Pasirinktiniai%20&#8222;Office&#8220;%20&#353;ablonai/TM%20blankas%202017%202.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81D8-DB1E-4938-A191-76E36968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 blankas 2017 2</Template>
  <TotalTime>138</TotalTime>
  <Pages>3</Pages>
  <Words>6739</Words>
  <Characters>3842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10560</CharactersWithSpaces>
  <SharedDoc>false</SharedDoc>
  <HLinks>
    <vt:vector size="6" baseType="variant">
      <vt:variant>
        <vt:i4>2162759</vt:i4>
      </vt:variant>
      <vt:variant>
        <vt:i4>3</vt:i4>
      </vt:variant>
      <vt:variant>
        <vt:i4>0</vt:i4>
      </vt:variant>
      <vt:variant>
        <vt:i4>5</vt:i4>
      </vt:variant>
      <vt:variant>
        <vt:lpwstr>mailto:r.laukis@tm.lt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2019-03-13T12:31:00Z</dcterms:created>
  <dc:creator>Rimvydas Laukis</dc:creator>
  <cp:lastModifiedBy>Darius Trinkūnas</cp:lastModifiedBy>
  <cp:lastPrinted>2019-03-12T07:17:00Z</cp:lastPrinted>
  <dcterms:modified xsi:type="dcterms:W3CDTF">2019-03-14T08:42:00Z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-1695767054</vt:i4>
  </property>
  <property fmtid="{D5CDD505-2E9C-101B-9397-08002B2CF9AE}" pid="3" name="_ReviewCycleID">
    <vt:i4>-1695767054</vt:i4>
  </property>
  <property fmtid="{D5CDD505-2E9C-101B-9397-08002B2CF9AE}" pid="4" name="_NewReviewCycle">
    <vt:lpwstr/>
  </property>
  <property fmtid="{D5CDD505-2E9C-101B-9397-08002B2CF9AE}" pid="5" name="_EmailEntryID">
    <vt:lpwstr>0000000059920DD334F83F47911C5FB23B393CD30700B6A933E4D57B904E8643382F13CF8706003E80106FF40000785AE9E5C00F4440B9F8317C1D7712C1003E811646D00000</vt:lpwstr>
  </property>
  <property fmtid="{D5CDD505-2E9C-101B-9397-08002B2CF9AE}" pid="6" name="_EmailStoreID0">
    <vt:lpwstr>0000000038A1BB1005E5101AA1BB08002B2A56C20000454D534D44422E444C4C00000000000000001B55FA20AA6611CD9BC800AA002FC45A0C000000544D53455256455233002F6F3D544D2F6F753D45786368616E67652041646D696E6973747261746976652047726F7570202846594449424F484632335350444C54292F6</vt:lpwstr>
  </property>
  <property fmtid="{D5CDD505-2E9C-101B-9397-08002B2CF9AE}" pid="7" name="_EmailStoreID1">
    <vt:lpwstr>36E3D526563697069656E74732F636E3D522E4C61756B697300</vt:lpwstr>
  </property>
  <property fmtid="{D5CDD505-2E9C-101B-9397-08002B2CF9AE}" pid="8" name="_ReviewingToolsShownOnce">
    <vt:lpwstr/>
  </property>
</Properties>
</file>