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E319B" w:rsidRDefault="00B22062" w:rsidP="007F6619">
      <w:pPr>
        <w:ind w:firstLine="142"/>
        <w:jc w:val="center"/>
      </w:pPr>
      <w:r>
        <w:rPr>
          <w:b/>
        </w:rPr>
        <w:t>201</w:t>
      </w:r>
      <w:r w:rsidR="00A97393">
        <w:rPr>
          <w:b/>
        </w:rPr>
        <w:t>8</w:t>
      </w:r>
      <w:r>
        <w:rPr>
          <w:b/>
        </w:rPr>
        <w:t xml:space="preserve"> M. </w:t>
      </w:r>
      <w:r w:rsidR="00A97393">
        <w:rPr>
          <w:b/>
        </w:rPr>
        <w:t>GRUODŽIO</w:t>
      </w:r>
      <w:r>
        <w:rPr>
          <w:b/>
        </w:rPr>
        <w:t xml:space="preserve"> </w:t>
      </w:r>
      <w:r w:rsidR="00A97393">
        <w:rPr>
          <w:b/>
        </w:rPr>
        <w:t>11</w:t>
      </w:r>
      <w:r>
        <w:rPr>
          <w:b/>
        </w:rPr>
        <w:t xml:space="preserve"> D. EUROPOS PARLAMENTO IR TARYBOS DIREKTYVOS 20</w:t>
      </w:r>
      <w:r w:rsidR="00A97393">
        <w:rPr>
          <w:b/>
        </w:rPr>
        <w:t>18</w:t>
      </w:r>
      <w:r>
        <w:rPr>
          <w:b/>
        </w:rPr>
        <w:t>/</w:t>
      </w:r>
      <w:r w:rsidR="00A97393">
        <w:rPr>
          <w:b/>
        </w:rPr>
        <w:t>2002</w:t>
      </w:r>
      <w:r>
        <w:rPr>
          <w:b/>
        </w:rPr>
        <w:t>/ES, KURIA IŠ DALIES KEIČIAM</w:t>
      </w:r>
      <w:r w:rsidR="00A97393">
        <w:rPr>
          <w:b/>
        </w:rPr>
        <w:t>A</w:t>
      </w:r>
      <w:r>
        <w:rPr>
          <w:b/>
        </w:rPr>
        <w:t xml:space="preserve"> DIREKTYV</w:t>
      </w:r>
      <w:r w:rsidR="00A97393">
        <w:rPr>
          <w:b/>
        </w:rPr>
        <w:t>A</w:t>
      </w:r>
      <w:r>
        <w:rPr>
          <w:b/>
        </w:rPr>
        <w:t xml:space="preserve"> 20</w:t>
      </w:r>
      <w:r w:rsidR="00A97393">
        <w:rPr>
          <w:b/>
        </w:rPr>
        <w:t>12</w:t>
      </w:r>
      <w:r>
        <w:rPr>
          <w:b/>
        </w:rPr>
        <w:t>/</w:t>
      </w:r>
      <w:r w:rsidR="00A97393">
        <w:rPr>
          <w:b/>
        </w:rPr>
        <w:t>27</w:t>
      </w:r>
      <w:r>
        <w:rPr>
          <w:b/>
        </w:rPr>
        <w:t>/E</w:t>
      </w:r>
      <w:r w:rsidR="00A97393">
        <w:rPr>
          <w:b/>
        </w:rPr>
        <w:t>S</w:t>
      </w:r>
      <w:r>
        <w:rPr>
          <w:b/>
        </w:rPr>
        <w:t xml:space="preserve"> </w:t>
      </w:r>
      <w:r w:rsidR="00A97393">
        <w:rPr>
          <w:b/>
        </w:rPr>
        <w:t>DĖL ENERGIJOS VARTOJIMO EFEKTYVUMO</w:t>
      </w:r>
      <w:r>
        <w:rPr>
          <w:b/>
        </w:rPr>
        <w:t xml:space="preserve"> IR NACIONALINIŲ TEISĖS AKTŲ</w:t>
      </w:r>
    </w:p>
    <w:p w:rsidR="00EE319B" w:rsidRDefault="00B22062" w:rsidP="007F6619">
      <w:pPr>
        <w:ind w:hanging="426"/>
        <w:jc w:val="center"/>
      </w:pPr>
      <w:r>
        <w:rPr>
          <w:b/>
        </w:rPr>
        <w:t>ATITIKTIES LENTELĖ</w:t>
      </w:r>
    </w:p>
    <w:p w:rsidR="00EE319B" w:rsidRDefault="00EE319B">
      <w:pPr>
        <w:jc w:val="center"/>
      </w:pPr>
    </w:p>
    <w:tbl>
      <w:tblPr>
        <w:tblStyle w:val="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51"/>
        <w:gridCol w:w="7104"/>
        <w:gridCol w:w="1639"/>
      </w:tblGrid>
      <w:tr w:rsidR="00EE319B" w:rsidTr="009C0501">
        <w:trPr>
          <w:jc w:val="center"/>
        </w:trPr>
        <w:tc>
          <w:tcPr>
            <w:tcW w:w="6951" w:type="dxa"/>
            <w:vAlign w:val="center"/>
          </w:tcPr>
          <w:p w:rsidR="00EE319B" w:rsidRDefault="00B22062">
            <w:pPr>
              <w:tabs>
                <w:tab w:val="center" w:pos="4153"/>
                <w:tab w:val="right" w:pos="8306"/>
              </w:tabs>
              <w:spacing w:before="60" w:after="60"/>
              <w:contextualSpacing w:val="0"/>
            </w:pPr>
            <w:r>
              <w:rPr>
                <w:b/>
              </w:rPr>
              <w:t>201</w:t>
            </w:r>
            <w:r w:rsidR="00A97393">
              <w:rPr>
                <w:b/>
              </w:rPr>
              <w:t>8</w:t>
            </w:r>
            <w:r>
              <w:rPr>
                <w:b/>
              </w:rPr>
              <w:t xml:space="preserve"> m. </w:t>
            </w:r>
            <w:r w:rsidR="00A97393">
              <w:rPr>
                <w:b/>
              </w:rPr>
              <w:t>gruodžio</w:t>
            </w:r>
            <w:r>
              <w:rPr>
                <w:b/>
              </w:rPr>
              <w:t xml:space="preserve"> </w:t>
            </w:r>
            <w:r w:rsidR="00A97393">
              <w:rPr>
                <w:b/>
              </w:rPr>
              <w:t>11</w:t>
            </w:r>
            <w:r>
              <w:rPr>
                <w:b/>
              </w:rPr>
              <w:t xml:space="preserve"> d. Europos Parlamento ir Tarybos direktyva</w:t>
            </w:r>
            <w:r w:rsidR="00A97393">
              <w:rPr>
                <w:b/>
              </w:rPr>
              <w:t xml:space="preserve"> 2018/2002/ES</w:t>
            </w:r>
            <w:r>
              <w:rPr>
                <w:b/>
              </w:rPr>
              <w:t>, kuria iš dalies keičiam</w:t>
            </w:r>
            <w:r w:rsidR="00A97393">
              <w:rPr>
                <w:b/>
              </w:rPr>
              <w:t>a</w:t>
            </w:r>
            <w:r>
              <w:rPr>
                <w:b/>
              </w:rPr>
              <w:t xml:space="preserve"> </w:t>
            </w:r>
            <w:r w:rsidR="00A97393">
              <w:rPr>
                <w:b/>
              </w:rPr>
              <w:t>Direktyva 2012/27/ES dėl energijos vartojimo efektyvumo</w:t>
            </w:r>
          </w:p>
        </w:tc>
        <w:tc>
          <w:tcPr>
            <w:tcW w:w="7104" w:type="dxa"/>
            <w:vAlign w:val="center"/>
          </w:tcPr>
          <w:p w:rsidR="00EA20F8" w:rsidRPr="00EA20F8" w:rsidRDefault="00DA383E">
            <w:pPr>
              <w:contextualSpacing w:val="0"/>
              <w:rPr>
                <w:b/>
              </w:rPr>
            </w:pPr>
            <w:r w:rsidRPr="00DA383E">
              <w:rPr>
                <w:b/>
              </w:rPr>
              <w:t>Lietuvos Respublikos Vyriausybės nutarimo „Dėl Lietuvos Respublikos Vyriausybės 2016 m. kovo 30 d. nutarimo Nr. 332 „Dėl Energijos išteklių ir energijos efektyvaus vartojimo stebėsenos tvarkos aprašo patvirtinimo“ pakeitimo“ projekt</w:t>
            </w:r>
            <w:r>
              <w:rPr>
                <w:b/>
              </w:rPr>
              <w:t>as (toliau – Nutarimo projektas)</w:t>
            </w:r>
          </w:p>
        </w:tc>
        <w:tc>
          <w:tcPr>
            <w:tcW w:w="1639" w:type="dxa"/>
            <w:vAlign w:val="center"/>
          </w:tcPr>
          <w:p w:rsidR="00EE319B" w:rsidRDefault="00B22062">
            <w:pPr>
              <w:tabs>
                <w:tab w:val="center" w:pos="4153"/>
                <w:tab w:val="right" w:pos="8306"/>
              </w:tabs>
              <w:spacing w:before="60" w:after="60"/>
              <w:contextualSpacing w:val="0"/>
              <w:jc w:val="center"/>
              <w:rPr>
                <w:b/>
              </w:rPr>
            </w:pPr>
            <w:r>
              <w:rPr>
                <w:b/>
              </w:rPr>
              <w:t>Direktyvos perkėlimo įgyvendinimo lygis – Dalinis</w:t>
            </w:r>
          </w:p>
          <w:p w:rsidR="00EE319B" w:rsidRDefault="00EE319B" w:rsidP="00035AA5">
            <w:pPr>
              <w:tabs>
                <w:tab w:val="center" w:pos="4153"/>
                <w:tab w:val="right" w:pos="8306"/>
              </w:tabs>
              <w:spacing w:before="60" w:after="60"/>
              <w:contextualSpacing w:val="0"/>
              <w:jc w:val="center"/>
            </w:pPr>
          </w:p>
        </w:tc>
      </w:tr>
      <w:tr w:rsidR="00EE319B" w:rsidTr="009C0501">
        <w:trPr>
          <w:jc w:val="center"/>
        </w:trPr>
        <w:tc>
          <w:tcPr>
            <w:tcW w:w="6951" w:type="dxa"/>
          </w:tcPr>
          <w:p w:rsidR="00DA383E" w:rsidRDefault="00DA383E">
            <w:pPr>
              <w:contextualSpacing w:val="0"/>
              <w:rPr>
                <w:b/>
                <w:bCs/>
              </w:rPr>
            </w:pPr>
            <w:r w:rsidRPr="00DA383E">
              <w:rPr>
                <w:b/>
                <w:bCs/>
              </w:rPr>
              <w:t>Direktyvos 2012/27/ES priedai iš dalies keičiami taip:</w:t>
            </w:r>
          </w:p>
          <w:p w:rsidR="00DA383E" w:rsidRDefault="00DA383E">
            <w:pPr>
              <w:contextualSpacing w:val="0"/>
            </w:pPr>
            <w:r w:rsidRPr="00DA383E">
              <w:t xml:space="preserve"> 1) IV priedo 3 išnaša pakeičiama taip:</w:t>
            </w:r>
          </w:p>
          <w:p w:rsidR="00EE319B" w:rsidRPr="00DA383E" w:rsidRDefault="00DA383E">
            <w:pPr>
              <w:contextualSpacing w:val="0"/>
            </w:pPr>
            <w:r w:rsidRPr="00DA383E">
              <w:t xml:space="preserve"> „(3) Taikytina, jei sutaupytos energijos kiekis apskaičiuojamas kaip pirminė energija, taikant metodą „iš apačios į viršų“, pagrįstą galutiniu energijos suvartojimu. Sutaupytos elektros energijos kiekiui, išreikštam kWh, apskaičiuoti valstybės narės taiko koeficientą, nustatytą taikant skaidrią metodiką, remiantis nacionalinėmis aplinkybėmis, turinčiomis poveikio pirminės energijos suvartojimui, kad būtų užtikrintas tikslus realiai sutaupyto kiekio apskaičiavimas. Tos aplinkybės turi būti pagrįstos, patikrinamos ir paremtos objektyviais ir nediskriminaciniais kriterijais. Sutaupytam elektros energijos kiekiui, išreikštam kWh, apskaičiuoti valstybės narės gali taikyti nustatytąjį koeficientą 2,1 arba pasinaudoti teise nustatyti kitokį koeficientą, jei jos gali jį pagrįsti. Tai darydamos valstybės narės atsižvelgia į savo energijos rūšių derinį, nurodytą jų integruotuose nacionaliniuose energetikos ir klimato srities veiksmų planuose, pateiktinuose Komisijai pagal Reglamentą (ES) 2018/1999. Ne vėliau kaip 2022 m. gruodžio 25 d., o po to – kas ketverius metus, Komisija peržiūri nustatytąjį koeficientą remdamasi stebėjimų duomenimis. Atliekant tą peržiūrą atsižvelgiama į jo poveikį kitiems Sąjungos teisės aktams, pavyzdžiui, Direktyvai 2009/125/EB ir 2017 m. liepos 4 d. Europos Parlamento ir Tarybos reglamentui (ES) 2017/1369, kuriuo nustatoma energijos vartojimo efektyvumo ženklinimo sistema ir panaikinama Direktyva 2010/30/ES (OL L 198, 2017 7 28, p. 1).“;</w:t>
            </w:r>
          </w:p>
        </w:tc>
        <w:tc>
          <w:tcPr>
            <w:tcW w:w="7104" w:type="dxa"/>
          </w:tcPr>
          <w:p w:rsidR="003735AA" w:rsidRPr="00DA383E" w:rsidRDefault="00DA383E" w:rsidP="008E3550">
            <w:pPr>
              <w:contextualSpacing w:val="0"/>
              <w:rPr>
                <w:b/>
                <w:bCs/>
              </w:rPr>
            </w:pPr>
            <w:r w:rsidRPr="00DA383E">
              <w:rPr>
                <w:b/>
                <w:bCs/>
              </w:rPr>
              <w:t>Nutarimo projektas</w:t>
            </w:r>
          </w:p>
          <w:p w:rsidR="00885E1C" w:rsidRDefault="00885E1C" w:rsidP="008E3550">
            <w:pPr>
              <w:contextualSpacing w:val="0"/>
            </w:pPr>
            <w:r w:rsidRPr="00885E1C">
              <w:t>2. Pakeisti 2 priedo 2 išnašą ir ją išdėstyti taip:</w:t>
            </w:r>
          </w:p>
          <w:p w:rsidR="00DA383E" w:rsidRDefault="00885E1C" w:rsidP="008E3550">
            <w:pPr>
              <w:contextualSpacing w:val="0"/>
            </w:pPr>
            <w:r w:rsidRPr="00885E1C">
              <w:t>„</w:t>
            </w:r>
            <w:r w:rsidRPr="00885E1C">
              <w:rPr>
                <w:vertAlign w:val="superscript"/>
              </w:rPr>
              <w:t>2</w:t>
            </w:r>
            <w:r w:rsidRPr="00885E1C">
              <w:t xml:space="preserve"> Taikytina, jeigu sutaupytos energijos kiekis apskaičiuojamas kaip pirminė energija, taikant metodą „iš apačios į viršų“, pagrįstą galutinės energijos suvartojimu. Sutaupytam elektros energijos kiekiui, išreikštam kWh, apskaičiuoti taikomas koeficientas 2,1. Metodas „iš apačios į viršų“ aprašytas energetikos ministro patvirtintose Valstybės mastu sutaupyto energijos kiekio skaičiavimo taisyklėse.“</w:t>
            </w:r>
          </w:p>
        </w:tc>
        <w:tc>
          <w:tcPr>
            <w:tcW w:w="1639" w:type="dxa"/>
          </w:tcPr>
          <w:p w:rsidR="00EE319B" w:rsidRDefault="007438C0">
            <w:pPr>
              <w:tabs>
                <w:tab w:val="center" w:pos="4153"/>
                <w:tab w:val="right" w:pos="8306"/>
              </w:tabs>
              <w:spacing w:before="60" w:after="60"/>
              <w:contextualSpacing w:val="0"/>
            </w:pPr>
            <w:r>
              <w:rPr>
                <w:b/>
              </w:rPr>
              <w:t>Dalinis</w:t>
            </w:r>
          </w:p>
        </w:tc>
      </w:tr>
      <w:tr w:rsidR="00EE319B" w:rsidTr="009C0501">
        <w:trPr>
          <w:jc w:val="center"/>
        </w:trPr>
        <w:tc>
          <w:tcPr>
            <w:tcW w:w="6951" w:type="dxa"/>
          </w:tcPr>
          <w:p w:rsidR="00885E1C" w:rsidRPr="00885E1C" w:rsidRDefault="00885E1C">
            <w:pPr>
              <w:contextualSpacing w:val="0"/>
              <w:rPr>
                <w:b/>
                <w:bCs/>
              </w:rPr>
            </w:pPr>
            <w:r w:rsidRPr="00885E1C">
              <w:rPr>
                <w:b/>
                <w:bCs/>
              </w:rPr>
              <w:lastRenderedPageBreak/>
              <w:t>5) IX priedo 1 dalies ketvirtos pastraipos g punktas pakeičiamas taip:</w:t>
            </w:r>
          </w:p>
          <w:p w:rsidR="00885E1C" w:rsidRDefault="00885E1C">
            <w:pPr>
              <w:contextualSpacing w:val="0"/>
            </w:pPr>
            <w:r w:rsidRPr="00885E1C">
              <w:t xml:space="preserve"> „g) Ekonominė analizė. Poveikio aprašas Ekonominėje analizėje atsižvelgiama į visą susijusį ekonominį poveikį. </w:t>
            </w:r>
          </w:p>
          <w:p w:rsidR="00885E1C" w:rsidRDefault="00885E1C">
            <w:pPr>
              <w:contextualSpacing w:val="0"/>
            </w:pPr>
            <w:r w:rsidRPr="00885E1C">
              <w:t xml:space="preserve">Valstybės narės gali įvertinti ir savo sprendimų priėmimo procese atsižvelgti į kaštus ir sutaupytos energijos kiekį dėl didesnio lankstumo energijos tiekimo sistemoje ir dėl geresnio elektros tinklų veikimo pagal analizuotus scenarijus, įskaitant kaštus, kurių išvengta, ir sutaupytų lėšų kiekį dėl sumažintų investicijų į infrastruktūrą. </w:t>
            </w:r>
          </w:p>
          <w:p w:rsidR="00885E1C" w:rsidRPr="00885E1C" w:rsidRDefault="00885E1C">
            <w:pPr>
              <w:contextualSpacing w:val="0"/>
            </w:pPr>
            <w:r w:rsidRPr="00885E1C">
              <w:t xml:space="preserve">Pirmoje pastraipoje nurodyti kaštai ir nauda apima: </w:t>
            </w:r>
          </w:p>
          <w:p w:rsidR="00885E1C" w:rsidRPr="00885E1C" w:rsidRDefault="00885E1C">
            <w:pPr>
              <w:contextualSpacing w:val="0"/>
            </w:pPr>
            <w:r w:rsidRPr="00885E1C">
              <w:t>i) Nauda</w:t>
            </w:r>
          </w:p>
          <w:p w:rsidR="00885E1C" w:rsidRPr="00885E1C" w:rsidRDefault="00885E1C">
            <w:pPr>
              <w:contextualSpacing w:val="0"/>
            </w:pPr>
            <w:r w:rsidRPr="00885E1C">
              <w:t xml:space="preserve"> — gamybos vertė vartotojui (šiluma ir elektros energija)</w:t>
            </w:r>
          </w:p>
          <w:p w:rsidR="00885E1C" w:rsidRPr="00885E1C" w:rsidRDefault="00885E1C">
            <w:pPr>
              <w:contextualSpacing w:val="0"/>
            </w:pPr>
            <w:r w:rsidRPr="00885E1C">
              <w:t xml:space="preserve"> — kiek įmanoma, išorės nauda, pavyzdžiui, nauda aplinkai, nauda išmetamo šiltnamio efektą sukeliančių dujų kiekio atžvilgiu ir nauda sveikatai bei saugai</w:t>
            </w:r>
          </w:p>
          <w:p w:rsidR="00885E1C" w:rsidRPr="00885E1C" w:rsidRDefault="00885E1C">
            <w:pPr>
              <w:contextualSpacing w:val="0"/>
            </w:pPr>
            <w:r w:rsidRPr="00885E1C">
              <w:t xml:space="preserve"> — kiek įmanoma, poveikis darbo rinkai, energetinis saugumas ir konkurencingumas; </w:t>
            </w:r>
          </w:p>
          <w:p w:rsidR="00885E1C" w:rsidRPr="00885E1C" w:rsidRDefault="00885E1C">
            <w:pPr>
              <w:contextualSpacing w:val="0"/>
            </w:pPr>
            <w:r w:rsidRPr="00885E1C">
              <w:t xml:space="preserve">ii) Kaštai </w:t>
            </w:r>
          </w:p>
          <w:p w:rsidR="00885E1C" w:rsidRPr="00885E1C" w:rsidRDefault="00885E1C">
            <w:pPr>
              <w:contextualSpacing w:val="0"/>
            </w:pPr>
            <w:r w:rsidRPr="00885E1C">
              <w:t xml:space="preserve">— kapitalo kaštai, susiję su įrenginiais ir įranga </w:t>
            </w:r>
          </w:p>
          <w:p w:rsidR="00885E1C" w:rsidRPr="00885E1C" w:rsidRDefault="00885E1C">
            <w:pPr>
              <w:contextualSpacing w:val="0"/>
            </w:pPr>
            <w:r w:rsidRPr="00885E1C">
              <w:t xml:space="preserve">— kapitalo kaštai, susiję su susietais energetikos tinklais </w:t>
            </w:r>
          </w:p>
          <w:p w:rsidR="00885E1C" w:rsidRPr="00885E1C" w:rsidRDefault="00885E1C">
            <w:pPr>
              <w:contextualSpacing w:val="0"/>
            </w:pPr>
            <w:r w:rsidRPr="00885E1C">
              <w:t>— kintami ir pastovūs veiklos kaštai</w:t>
            </w:r>
          </w:p>
          <w:p w:rsidR="00885E1C" w:rsidRPr="00885E1C" w:rsidRDefault="00885E1C">
            <w:pPr>
              <w:contextualSpacing w:val="0"/>
            </w:pPr>
            <w:r w:rsidRPr="00885E1C">
              <w:t xml:space="preserve">— energijos kaštai </w:t>
            </w:r>
          </w:p>
          <w:p w:rsidR="00885E1C" w:rsidRPr="00885E1C" w:rsidRDefault="00885E1C">
            <w:pPr>
              <w:contextualSpacing w:val="0"/>
            </w:pPr>
            <w:r w:rsidRPr="00885E1C">
              <w:t xml:space="preserve">— kiek įmanoma, kaštai, susiję su aplinka, sveikata ir sauga </w:t>
            </w:r>
          </w:p>
          <w:p w:rsidR="002D77FD" w:rsidRPr="00885E1C" w:rsidRDefault="00885E1C">
            <w:pPr>
              <w:contextualSpacing w:val="0"/>
            </w:pPr>
            <w:r w:rsidRPr="00885E1C">
              <w:t>— kiek įmanoma, kaštai, susiję su darbo rinka, energetinis saugumas ir konkurencingumas.“;</w:t>
            </w:r>
          </w:p>
        </w:tc>
        <w:tc>
          <w:tcPr>
            <w:tcW w:w="7104" w:type="dxa"/>
          </w:tcPr>
          <w:p w:rsidR="00EE319B" w:rsidRDefault="00885E1C" w:rsidP="00164286">
            <w:pPr>
              <w:contextualSpacing w:val="0"/>
              <w:rPr>
                <w:b/>
                <w:bCs/>
              </w:rPr>
            </w:pPr>
            <w:r w:rsidRPr="00885E1C">
              <w:rPr>
                <w:b/>
                <w:bCs/>
              </w:rPr>
              <w:t>Nutarimo projektas</w:t>
            </w:r>
          </w:p>
          <w:p w:rsidR="00885E1C" w:rsidRDefault="00885E1C" w:rsidP="00885E1C">
            <w:r>
              <w:t>1. Papildyti 1 priedą 2.7.3 papunkčiu:</w:t>
            </w:r>
          </w:p>
          <w:p w:rsidR="00885E1C" w:rsidRPr="00885E1C" w:rsidRDefault="00885E1C" w:rsidP="00885E1C">
            <w:pPr>
              <w:contextualSpacing w:val="0"/>
            </w:pPr>
            <w:r>
              <w:t>„2.7.3. poveikis ir kaštai, susiję su darbo rinka, energetiniu saugumu ir konkurencingumu.“</w:t>
            </w:r>
          </w:p>
        </w:tc>
        <w:tc>
          <w:tcPr>
            <w:tcW w:w="1639" w:type="dxa"/>
          </w:tcPr>
          <w:p w:rsidR="00EE319B" w:rsidRDefault="007438C0">
            <w:pPr>
              <w:tabs>
                <w:tab w:val="center" w:pos="4153"/>
                <w:tab w:val="right" w:pos="8306"/>
              </w:tabs>
              <w:spacing w:before="60" w:after="60"/>
              <w:contextualSpacing w:val="0"/>
            </w:pPr>
            <w:r>
              <w:rPr>
                <w:b/>
              </w:rPr>
              <w:t>Dalinis</w:t>
            </w:r>
          </w:p>
        </w:tc>
      </w:tr>
    </w:tbl>
    <w:p w:rsidR="00EE319B" w:rsidRDefault="00EE319B">
      <w:pPr>
        <w:spacing w:before="60" w:after="60"/>
        <w:jc w:val="center"/>
      </w:pPr>
      <w:bookmarkStart w:id="0" w:name="_GoBack"/>
      <w:bookmarkEnd w:id="0"/>
    </w:p>
    <w:p w:rsidR="00EE319B" w:rsidRDefault="00B22062">
      <w:pPr>
        <w:spacing w:before="60" w:after="60"/>
        <w:jc w:val="center"/>
      </w:pPr>
      <w:r>
        <w:rPr>
          <w:sz w:val="22"/>
          <w:szCs w:val="22"/>
        </w:rPr>
        <w:t>____________________________</w:t>
      </w:r>
    </w:p>
    <w:p w:rsidR="00EE319B" w:rsidRDefault="00EE319B">
      <w:pPr>
        <w:spacing w:before="60" w:after="60"/>
        <w:jc w:val="center"/>
      </w:pPr>
    </w:p>
    <w:sectPr w:rsidR="00EE319B" w:rsidSect="00E01C25">
      <w:headerReference w:type="default" r:id="rId8"/>
      <w:pgSz w:w="16838" w:h="11906" w:orient="landscape" w:code="9"/>
      <w:pgMar w:top="1701" w:right="567" w:bottom="567" w:left="567"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290" w:rsidRDefault="008B1290">
      <w:r>
        <w:separator/>
      </w:r>
    </w:p>
  </w:endnote>
  <w:endnote w:type="continuationSeparator" w:id="0">
    <w:p w:rsidR="008B1290" w:rsidRDefault="008B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290" w:rsidRDefault="008B1290">
      <w:r>
        <w:separator/>
      </w:r>
    </w:p>
  </w:footnote>
  <w:footnote w:type="continuationSeparator" w:id="0">
    <w:p w:rsidR="008B1290" w:rsidRDefault="008B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393" w:rsidRDefault="00A97393" w:rsidP="008A1337">
    <w:pPr>
      <w:tabs>
        <w:tab w:val="center" w:pos="4153"/>
        <w:tab w:val="right" w:pos="8306"/>
      </w:tabs>
      <w:spacing w:before="567"/>
      <w:jc w:val="center"/>
    </w:pPr>
    <w:r>
      <w:fldChar w:fldCharType="begin"/>
    </w:r>
    <w:r>
      <w:instrText>PAGE</w:instrText>
    </w:r>
    <w:r>
      <w:fldChar w:fldCharType="separate"/>
    </w:r>
    <w:r>
      <w:rPr>
        <w:noProof/>
      </w:rPr>
      <w:t>34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478A"/>
    <w:multiLevelType w:val="hybridMultilevel"/>
    <w:tmpl w:val="59E4F286"/>
    <w:lvl w:ilvl="0" w:tplc="162843C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F5A25"/>
    <w:multiLevelType w:val="hybridMultilevel"/>
    <w:tmpl w:val="F8241668"/>
    <w:lvl w:ilvl="0" w:tplc="AC4449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3C0F0D"/>
    <w:multiLevelType w:val="hybridMultilevel"/>
    <w:tmpl w:val="FCD87D9C"/>
    <w:lvl w:ilvl="0" w:tplc="AA7E2C8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8BB1E61"/>
    <w:multiLevelType w:val="hybridMultilevel"/>
    <w:tmpl w:val="FFD06C80"/>
    <w:lvl w:ilvl="0" w:tplc="890CF1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1A758E2"/>
    <w:multiLevelType w:val="hybridMultilevel"/>
    <w:tmpl w:val="2C66B23E"/>
    <w:lvl w:ilvl="0" w:tplc="FB8235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5F62B7A"/>
    <w:multiLevelType w:val="hybridMultilevel"/>
    <w:tmpl w:val="866C7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7F3910"/>
    <w:multiLevelType w:val="hybridMultilevel"/>
    <w:tmpl w:val="A7F88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7036F"/>
    <w:multiLevelType w:val="multilevel"/>
    <w:tmpl w:val="EF1CB1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6552DA"/>
    <w:multiLevelType w:val="hybridMultilevel"/>
    <w:tmpl w:val="80104A1C"/>
    <w:lvl w:ilvl="0" w:tplc="C4ACAE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B87CC4"/>
    <w:multiLevelType w:val="hybridMultilevel"/>
    <w:tmpl w:val="B7EEBDCA"/>
    <w:lvl w:ilvl="0" w:tplc="B764F48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B524A92"/>
    <w:multiLevelType w:val="hybridMultilevel"/>
    <w:tmpl w:val="F3C2FC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7"/>
  </w:num>
  <w:num w:numId="5">
    <w:abstractNumId w:val="1"/>
  </w:num>
  <w:num w:numId="6">
    <w:abstractNumId w:val="6"/>
  </w:num>
  <w:num w:numId="7">
    <w:abstractNumId w:val="10"/>
  </w:num>
  <w:num w:numId="8">
    <w:abstractNumId w:val="9"/>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19B"/>
    <w:rsid w:val="00004066"/>
    <w:rsid w:val="0002646B"/>
    <w:rsid w:val="00031748"/>
    <w:rsid w:val="00035AA5"/>
    <w:rsid w:val="00037B28"/>
    <w:rsid w:val="0006006A"/>
    <w:rsid w:val="00086052"/>
    <w:rsid w:val="000A669A"/>
    <w:rsid w:val="000B2C19"/>
    <w:rsid w:val="000C509D"/>
    <w:rsid w:val="000D2AE3"/>
    <w:rsid w:val="000D55B4"/>
    <w:rsid w:val="000E31C1"/>
    <w:rsid w:val="000E3D9C"/>
    <w:rsid w:val="000E4163"/>
    <w:rsid w:val="00100FAE"/>
    <w:rsid w:val="00106590"/>
    <w:rsid w:val="001158D1"/>
    <w:rsid w:val="00120B8E"/>
    <w:rsid w:val="00122BA2"/>
    <w:rsid w:val="00143EAB"/>
    <w:rsid w:val="001468A5"/>
    <w:rsid w:val="001521D1"/>
    <w:rsid w:val="001627FA"/>
    <w:rsid w:val="00162CA3"/>
    <w:rsid w:val="00164286"/>
    <w:rsid w:val="001717FB"/>
    <w:rsid w:val="001730AF"/>
    <w:rsid w:val="00176769"/>
    <w:rsid w:val="00176C29"/>
    <w:rsid w:val="001927FF"/>
    <w:rsid w:val="001A7E1F"/>
    <w:rsid w:val="001B1C56"/>
    <w:rsid w:val="001C2664"/>
    <w:rsid w:val="001E1CE4"/>
    <w:rsid w:val="001E4599"/>
    <w:rsid w:val="00205608"/>
    <w:rsid w:val="00210329"/>
    <w:rsid w:val="002123A5"/>
    <w:rsid w:val="00232B87"/>
    <w:rsid w:val="00237144"/>
    <w:rsid w:val="002524D1"/>
    <w:rsid w:val="00270BA5"/>
    <w:rsid w:val="00281755"/>
    <w:rsid w:val="00282FD3"/>
    <w:rsid w:val="0029120D"/>
    <w:rsid w:val="00295567"/>
    <w:rsid w:val="002C3F13"/>
    <w:rsid w:val="002C4DF9"/>
    <w:rsid w:val="002D77FD"/>
    <w:rsid w:val="002D7FCE"/>
    <w:rsid w:val="002F027F"/>
    <w:rsid w:val="002F0CD7"/>
    <w:rsid w:val="00301D49"/>
    <w:rsid w:val="003046FE"/>
    <w:rsid w:val="0031424D"/>
    <w:rsid w:val="00314AAA"/>
    <w:rsid w:val="00316679"/>
    <w:rsid w:val="00317A08"/>
    <w:rsid w:val="00320744"/>
    <w:rsid w:val="00323FCC"/>
    <w:rsid w:val="00327A92"/>
    <w:rsid w:val="00327E50"/>
    <w:rsid w:val="003303E4"/>
    <w:rsid w:val="00331F3C"/>
    <w:rsid w:val="00340706"/>
    <w:rsid w:val="0036627E"/>
    <w:rsid w:val="003735AA"/>
    <w:rsid w:val="0038451A"/>
    <w:rsid w:val="003941CD"/>
    <w:rsid w:val="003A3F78"/>
    <w:rsid w:val="003B0BA9"/>
    <w:rsid w:val="003B4222"/>
    <w:rsid w:val="003D4E30"/>
    <w:rsid w:val="003E0600"/>
    <w:rsid w:val="003E3171"/>
    <w:rsid w:val="0041491C"/>
    <w:rsid w:val="004219EE"/>
    <w:rsid w:val="00436886"/>
    <w:rsid w:val="00445143"/>
    <w:rsid w:val="00472EF1"/>
    <w:rsid w:val="00473406"/>
    <w:rsid w:val="004900D5"/>
    <w:rsid w:val="00497555"/>
    <w:rsid w:val="004B54F3"/>
    <w:rsid w:val="004B6581"/>
    <w:rsid w:val="004E699C"/>
    <w:rsid w:val="004F44B2"/>
    <w:rsid w:val="004F739D"/>
    <w:rsid w:val="00504E3C"/>
    <w:rsid w:val="00505B4D"/>
    <w:rsid w:val="005154E0"/>
    <w:rsid w:val="0052394A"/>
    <w:rsid w:val="005301B9"/>
    <w:rsid w:val="005349CF"/>
    <w:rsid w:val="00545629"/>
    <w:rsid w:val="00545900"/>
    <w:rsid w:val="00552603"/>
    <w:rsid w:val="00554165"/>
    <w:rsid w:val="00555761"/>
    <w:rsid w:val="005559D7"/>
    <w:rsid w:val="00577FFB"/>
    <w:rsid w:val="00595C2E"/>
    <w:rsid w:val="005A2D8A"/>
    <w:rsid w:val="005B6186"/>
    <w:rsid w:val="005B697C"/>
    <w:rsid w:val="005C065E"/>
    <w:rsid w:val="00601DF0"/>
    <w:rsid w:val="00605B11"/>
    <w:rsid w:val="00640A25"/>
    <w:rsid w:val="006462A2"/>
    <w:rsid w:val="00647A05"/>
    <w:rsid w:val="006850B7"/>
    <w:rsid w:val="006861B3"/>
    <w:rsid w:val="00692A03"/>
    <w:rsid w:val="00693566"/>
    <w:rsid w:val="00693F8B"/>
    <w:rsid w:val="0069509C"/>
    <w:rsid w:val="006A12AE"/>
    <w:rsid w:val="006A3941"/>
    <w:rsid w:val="006B007F"/>
    <w:rsid w:val="006B220D"/>
    <w:rsid w:val="006B6635"/>
    <w:rsid w:val="006C2015"/>
    <w:rsid w:val="006C2356"/>
    <w:rsid w:val="006D3936"/>
    <w:rsid w:val="006D5C31"/>
    <w:rsid w:val="006E53E4"/>
    <w:rsid w:val="006E5525"/>
    <w:rsid w:val="0071490B"/>
    <w:rsid w:val="00722FE1"/>
    <w:rsid w:val="007438C0"/>
    <w:rsid w:val="00763A28"/>
    <w:rsid w:val="0077545E"/>
    <w:rsid w:val="00791E2B"/>
    <w:rsid w:val="007B3A49"/>
    <w:rsid w:val="007C2B1E"/>
    <w:rsid w:val="007C62A2"/>
    <w:rsid w:val="007F0633"/>
    <w:rsid w:val="007F52E7"/>
    <w:rsid w:val="007F6619"/>
    <w:rsid w:val="00802D4E"/>
    <w:rsid w:val="00813F69"/>
    <w:rsid w:val="00814AF8"/>
    <w:rsid w:val="00823E57"/>
    <w:rsid w:val="008258ED"/>
    <w:rsid w:val="00837EAD"/>
    <w:rsid w:val="008841BA"/>
    <w:rsid w:val="00884651"/>
    <w:rsid w:val="00885E1C"/>
    <w:rsid w:val="008A1337"/>
    <w:rsid w:val="008B0264"/>
    <w:rsid w:val="008B1290"/>
    <w:rsid w:val="008B28D0"/>
    <w:rsid w:val="008B5E17"/>
    <w:rsid w:val="008B7C4A"/>
    <w:rsid w:val="008C1BF0"/>
    <w:rsid w:val="008E1883"/>
    <w:rsid w:val="008E3550"/>
    <w:rsid w:val="008E7221"/>
    <w:rsid w:val="00900748"/>
    <w:rsid w:val="0090108B"/>
    <w:rsid w:val="00903EB9"/>
    <w:rsid w:val="00926776"/>
    <w:rsid w:val="00941F31"/>
    <w:rsid w:val="00950B5F"/>
    <w:rsid w:val="00951A01"/>
    <w:rsid w:val="009A2F0B"/>
    <w:rsid w:val="009A7D6C"/>
    <w:rsid w:val="009B597B"/>
    <w:rsid w:val="009C0501"/>
    <w:rsid w:val="009C1FB0"/>
    <w:rsid w:val="009C5395"/>
    <w:rsid w:val="009D3E2C"/>
    <w:rsid w:val="009D4B78"/>
    <w:rsid w:val="009D7895"/>
    <w:rsid w:val="009E1A29"/>
    <w:rsid w:val="00A123C4"/>
    <w:rsid w:val="00A8354B"/>
    <w:rsid w:val="00A918C7"/>
    <w:rsid w:val="00A97393"/>
    <w:rsid w:val="00AC2D11"/>
    <w:rsid w:val="00AC63E6"/>
    <w:rsid w:val="00AD2741"/>
    <w:rsid w:val="00AD45B3"/>
    <w:rsid w:val="00AE3937"/>
    <w:rsid w:val="00AE4F84"/>
    <w:rsid w:val="00AF5068"/>
    <w:rsid w:val="00B036E7"/>
    <w:rsid w:val="00B11C91"/>
    <w:rsid w:val="00B22062"/>
    <w:rsid w:val="00B24DB9"/>
    <w:rsid w:val="00B407E5"/>
    <w:rsid w:val="00B514B9"/>
    <w:rsid w:val="00B77C25"/>
    <w:rsid w:val="00B87601"/>
    <w:rsid w:val="00B90D72"/>
    <w:rsid w:val="00BA4FDF"/>
    <w:rsid w:val="00BB7BE0"/>
    <w:rsid w:val="00BC6EA0"/>
    <w:rsid w:val="00BE6ACC"/>
    <w:rsid w:val="00BF159B"/>
    <w:rsid w:val="00C107E0"/>
    <w:rsid w:val="00C22AE0"/>
    <w:rsid w:val="00C41651"/>
    <w:rsid w:val="00C54F60"/>
    <w:rsid w:val="00C600EC"/>
    <w:rsid w:val="00C63C2B"/>
    <w:rsid w:val="00C655FD"/>
    <w:rsid w:val="00C7222B"/>
    <w:rsid w:val="00C74B1F"/>
    <w:rsid w:val="00C779BE"/>
    <w:rsid w:val="00CB0217"/>
    <w:rsid w:val="00CB6AC3"/>
    <w:rsid w:val="00CC6509"/>
    <w:rsid w:val="00CF12A4"/>
    <w:rsid w:val="00CF3B22"/>
    <w:rsid w:val="00CF3F03"/>
    <w:rsid w:val="00D15AA5"/>
    <w:rsid w:val="00D2145E"/>
    <w:rsid w:val="00D23469"/>
    <w:rsid w:val="00D23592"/>
    <w:rsid w:val="00D3251C"/>
    <w:rsid w:val="00D36B17"/>
    <w:rsid w:val="00D73229"/>
    <w:rsid w:val="00D75CBB"/>
    <w:rsid w:val="00D76D74"/>
    <w:rsid w:val="00D92CF9"/>
    <w:rsid w:val="00D9523D"/>
    <w:rsid w:val="00DA383E"/>
    <w:rsid w:val="00DB6F4A"/>
    <w:rsid w:val="00DC2E55"/>
    <w:rsid w:val="00DD5CA0"/>
    <w:rsid w:val="00DF531E"/>
    <w:rsid w:val="00E01C25"/>
    <w:rsid w:val="00E065A1"/>
    <w:rsid w:val="00E2579F"/>
    <w:rsid w:val="00E34A59"/>
    <w:rsid w:val="00E477C8"/>
    <w:rsid w:val="00E600BE"/>
    <w:rsid w:val="00E606E4"/>
    <w:rsid w:val="00E64FC2"/>
    <w:rsid w:val="00E707FD"/>
    <w:rsid w:val="00E86311"/>
    <w:rsid w:val="00E9009E"/>
    <w:rsid w:val="00EA20F8"/>
    <w:rsid w:val="00EA4053"/>
    <w:rsid w:val="00EB08EB"/>
    <w:rsid w:val="00EB628E"/>
    <w:rsid w:val="00EC0D08"/>
    <w:rsid w:val="00ED42C1"/>
    <w:rsid w:val="00EE319B"/>
    <w:rsid w:val="00EF5C36"/>
    <w:rsid w:val="00EF7098"/>
    <w:rsid w:val="00EF7349"/>
    <w:rsid w:val="00EF774D"/>
    <w:rsid w:val="00F130A4"/>
    <w:rsid w:val="00F61799"/>
    <w:rsid w:val="00F91706"/>
    <w:rsid w:val="00F93394"/>
    <w:rsid w:val="00F934FA"/>
    <w:rsid w:val="00F94279"/>
    <w:rsid w:val="00FA48BB"/>
    <w:rsid w:val="00FB6B12"/>
    <w:rsid w:val="00FC60B1"/>
    <w:rsid w:val="00FE6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0E5D"/>
  <w15:docId w15:val="{8E2F9D6E-3BB7-4B61-B062-BA8486EF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lt-LT" w:eastAsia="lt-LT"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rsid w:val="005C065E"/>
  </w:style>
  <w:style w:type="paragraph" w:styleId="Antrat1">
    <w:name w:val="heading 1"/>
    <w:basedOn w:val="prastasis"/>
    <w:next w:val="prastasis"/>
    <w:rsid w:val="001C2664"/>
    <w:pPr>
      <w:keepNext/>
      <w:keepLines/>
      <w:ind w:firstLine="720"/>
      <w:outlineLvl w:val="0"/>
    </w:pPr>
    <w:rPr>
      <w:b/>
    </w:rPr>
  </w:style>
  <w:style w:type="paragraph" w:styleId="Antrat2">
    <w:name w:val="heading 2"/>
    <w:basedOn w:val="prastasis"/>
    <w:next w:val="prastasis"/>
    <w:rsid w:val="001C2664"/>
    <w:pPr>
      <w:keepNext/>
      <w:keepLines/>
      <w:jc w:val="left"/>
      <w:outlineLvl w:val="1"/>
    </w:pPr>
    <w:rPr>
      <w:b/>
      <w:sz w:val="22"/>
      <w:szCs w:val="22"/>
    </w:rPr>
  </w:style>
  <w:style w:type="paragraph" w:styleId="Antrat3">
    <w:name w:val="heading 3"/>
    <w:basedOn w:val="prastasis"/>
    <w:next w:val="prastasis"/>
    <w:rsid w:val="001C2664"/>
    <w:pPr>
      <w:keepNext/>
      <w:keepLines/>
      <w:spacing w:before="60" w:after="60"/>
      <w:jc w:val="center"/>
      <w:outlineLvl w:val="2"/>
    </w:pPr>
    <w:rPr>
      <w:b/>
      <w:sz w:val="22"/>
      <w:szCs w:val="22"/>
    </w:rPr>
  </w:style>
  <w:style w:type="paragraph" w:styleId="Antrat4">
    <w:name w:val="heading 4"/>
    <w:basedOn w:val="prastasis"/>
    <w:next w:val="prastasis"/>
    <w:rsid w:val="001C2664"/>
    <w:pPr>
      <w:keepNext/>
      <w:keepLines/>
      <w:spacing w:before="240" w:after="40"/>
      <w:outlineLvl w:val="3"/>
    </w:pPr>
    <w:rPr>
      <w:b/>
    </w:rPr>
  </w:style>
  <w:style w:type="paragraph" w:styleId="Antrat5">
    <w:name w:val="heading 5"/>
    <w:basedOn w:val="prastasis"/>
    <w:next w:val="prastasis"/>
    <w:rsid w:val="001C2664"/>
    <w:pPr>
      <w:keepNext/>
      <w:keepLines/>
      <w:spacing w:before="220" w:after="40"/>
      <w:outlineLvl w:val="4"/>
    </w:pPr>
    <w:rPr>
      <w:b/>
      <w:sz w:val="22"/>
      <w:szCs w:val="22"/>
    </w:rPr>
  </w:style>
  <w:style w:type="paragraph" w:styleId="Antrat6">
    <w:name w:val="heading 6"/>
    <w:basedOn w:val="prastasis"/>
    <w:next w:val="prastasis"/>
    <w:rsid w:val="001C2664"/>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1C2664"/>
    <w:tblPr>
      <w:tblCellMar>
        <w:top w:w="0" w:type="dxa"/>
        <w:left w:w="0" w:type="dxa"/>
        <w:bottom w:w="0" w:type="dxa"/>
        <w:right w:w="0" w:type="dxa"/>
      </w:tblCellMar>
    </w:tblPr>
  </w:style>
  <w:style w:type="paragraph" w:styleId="Pavadinimas">
    <w:name w:val="Title"/>
    <w:basedOn w:val="prastasis"/>
    <w:next w:val="prastasis"/>
    <w:rsid w:val="001C2664"/>
    <w:pPr>
      <w:keepNext/>
      <w:keepLines/>
      <w:spacing w:before="480" w:after="120"/>
    </w:pPr>
    <w:rPr>
      <w:b/>
      <w:sz w:val="72"/>
      <w:szCs w:val="72"/>
    </w:rPr>
  </w:style>
  <w:style w:type="paragraph" w:styleId="Paantrat">
    <w:name w:val="Subtitle"/>
    <w:basedOn w:val="prastasis"/>
    <w:next w:val="prastasis"/>
    <w:rsid w:val="001C2664"/>
    <w:pPr>
      <w:keepNext/>
      <w:keepLines/>
      <w:spacing w:before="360" w:after="80"/>
    </w:pPr>
    <w:rPr>
      <w:rFonts w:ascii="Georgia" w:eastAsia="Georgia" w:hAnsi="Georgia" w:cs="Georgia"/>
      <w:i/>
      <w:color w:val="666666"/>
      <w:sz w:val="48"/>
      <w:szCs w:val="48"/>
    </w:rPr>
  </w:style>
  <w:style w:type="table" w:customStyle="1" w:styleId="2">
    <w:name w:val="2"/>
    <w:basedOn w:val="TableNormal1"/>
    <w:rsid w:val="001C2664"/>
    <w:pPr>
      <w:contextualSpacing/>
    </w:pPr>
    <w:tblPr>
      <w:tblStyleRowBandSize w:val="1"/>
      <w:tblStyleColBandSize w:val="1"/>
      <w:tblCellMar>
        <w:left w:w="115" w:type="dxa"/>
        <w:right w:w="115" w:type="dxa"/>
      </w:tblCellMar>
    </w:tblPr>
  </w:style>
  <w:style w:type="table" w:customStyle="1" w:styleId="1">
    <w:name w:val="1"/>
    <w:basedOn w:val="TableNormal1"/>
    <w:rsid w:val="001C2664"/>
    <w:pPr>
      <w:contextualSpacing/>
    </w:pPr>
    <w:tblPr>
      <w:tblStyleRowBandSize w:val="1"/>
      <w:tblStyleColBandSize w:val="1"/>
      <w:tblCellMar>
        <w:left w:w="115" w:type="dxa"/>
        <w:right w:w="115" w:type="dxa"/>
      </w:tblCellMar>
    </w:tblPr>
  </w:style>
  <w:style w:type="paragraph" w:styleId="Sraopastraipa">
    <w:name w:val="List Paragraph"/>
    <w:basedOn w:val="prastasis"/>
    <w:qFormat/>
    <w:rsid w:val="00884651"/>
    <w:pPr>
      <w:ind w:left="720"/>
      <w:contextualSpacing/>
    </w:pPr>
  </w:style>
  <w:style w:type="paragraph" w:customStyle="1" w:styleId="Default">
    <w:name w:val="Default"/>
    <w:rsid w:val="002D7FCE"/>
    <w:pPr>
      <w:autoSpaceDE w:val="0"/>
      <w:autoSpaceDN w:val="0"/>
      <w:adjustRightInd w:val="0"/>
      <w:jc w:val="left"/>
    </w:pPr>
    <w:rPr>
      <w:rFonts w:eastAsia="Calibri"/>
    </w:rPr>
  </w:style>
  <w:style w:type="character" w:styleId="Komentaronuoroda">
    <w:name w:val="annotation reference"/>
    <w:basedOn w:val="Numatytasispastraiposriftas"/>
    <w:uiPriority w:val="99"/>
    <w:semiHidden/>
    <w:unhideWhenUsed/>
    <w:rsid w:val="00035AA5"/>
    <w:rPr>
      <w:sz w:val="16"/>
      <w:szCs w:val="16"/>
    </w:rPr>
  </w:style>
  <w:style w:type="paragraph" w:styleId="Komentarotekstas">
    <w:name w:val="annotation text"/>
    <w:basedOn w:val="prastasis"/>
    <w:link w:val="KomentarotekstasDiagrama"/>
    <w:uiPriority w:val="99"/>
    <w:semiHidden/>
    <w:unhideWhenUsed/>
    <w:rsid w:val="00035AA5"/>
    <w:rPr>
      <w:sz w:val="20"/>
      <w:szCs w:val="20"/>
    </w:rPr>
  </w:style>
  <w:style w:type="character" w:customStyle="1" w:styleId="KomentarotekstasDiagrama">
    <w:name w:val="Komentaro tekstas Diagrama"/>
    <w:basedOn w:val="Numatytasispastraiposriftas"/>
    <w:link w:val="Komentarotekstas"/>
    <w:uiPriority w:val="99"/>
    <w:semiHidden/>
    <w:rsid w:val="00035AA5"/>
    <w:rPr>
      <w:sz w:val="20"/>
      <w:szCs w:val="20"/>
    </w:rPr>
  </w:style>
  <w:style w:type="paragraph" w:styleId="Komentarotema">
    <w:name w:val="annotation subject"/>
    <w:basedOn w:val="Komentarotekstas"/>
    <w:next w:val="Komentarotekstas"/>
    <w:link w:val="KomentarotemaDiagrama"/>
    <w:uiPriority w:val="99"/>
    <w:semiHidden/>
    <w:unhideWhenUsed/>
    <w:rsid w:val="00035AA5"/>
    <w:rPr>
      <w:b/>
      <w:bCs/>
    </w:rPr>
  </w:style>
  <w:style w:type="character" w:customStyle="1" w:styleId="KomentarotemaDiagrama">
    <w:name w:val="Komentaro tema Diagrama"/>
    <w:basedOn w:val="KomentarotekstasDiagrama"/>
    <w:link w:val="Komentarotema"/>
    <w:uiPriority w:val="99"/>
    <w:semiHidden/>
    <w:rsid w:val="00035AA5"/>
    <w:rPr>
      <w:b/>
      <w:bCs/>
      <w:sz w:val="20"/>
      <w:szCs w:val="20"/>
    </w:rPr>
  </w:style>
  <w:style w:type="paragraph" w:styleId="Debesliotekstas">
    <w:name w:val="Balloon Text"/>
    <w:basedOn w:val="prastasis"/>
    <w:link w:val="DebesliotekstasDiagrama"/>
    <w:uiPriority w:val="99"/>
    <w:semiHidden/>
    <w:unhideWhenUsed/>
    <w:rsid w:val="00035A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5AA5"/>
    <w:rPr>
      <w:rFonts w:ascii="Tahoma" w:hAnsi="Tahoma" w:cs="Tahoma"/>
      <w:sz w:val="16"/>
      <w:szCs w:val="16"/>
    </w:rPr>
  </w:style>
  <w:style w:type="paragraph" w:styleId="Puslapioinaostekstas">
    <w:name w:val="footnote text"/>
    <w:basedOn w:val="prastasis"/>
    <w:link w:val="PuslapioinaostekstasDiagrama"/>
    <w:rsid w:val="00DD5CA0"/>
    <w:pPr>
      <w:jc w:val="left"/>
    </w:pPr>
    <w:rPr>
      <w:color w:val="auto"/>
      <w:sz w:val="20"/>
      <w:szCs w:val="20"/>
    </w:rPr>
  </w:style>
  <w:style w:type="character" w:customStyle="1" w:styleId="PuslapioinaostekstasDiagrama">
    <w:name w:val="Puslapio išnašos tekstas Diagrama"/>
    <w:basedOn w:val="Numatytasispastraiposriftas"/>
    <w:link w:val="Puslapioinaostekstas"/>
    <w:rsid w:val="00DD5CA0"/>
    <w:rPr>
      <w:color w:val="auto"/>
      <w:sz w:val="20"/>
      <w:szCs w:val="20"/>
    </w:rPr>
  </w:style>
  <w:style w:type="character" w:styleId="Puslapioinaosnuoroda">
    <w:name w:val="footnote reference"/>
    <w:rsid w:val="00DD5CA0"/>
    <w:rPr>
      <w:vertAlign w:val="superscript"/>
    </w:rPr>
  </w:style>
  <w:style w:type="paragraph" w:styleId="Pataisymai">
    <w:name w:val="Revision"/>
    <w:hidden/>
    <w:uiPriority w:val="99"/>
    <w:semiHidden/>
    <w:rsid w:val="006B6635"/>
    <w:pPr>
      <w:jc w:val="left"/>
    </w:pPr>
  </w:style>
  <w:style w:type="character" w:customStyle="1" w:styleId="apple-converted-space">
    <w:name w:val="apple-converted-space"/>
    <w:basedOn w:val="Numatytasispastraiposriftas"/>
    <w:rsid w:val="00301D49"/>
  </w:style>
  <w:style w:type="paragraph" w:styleId="Antrats">
    <w:name w:val="header"/>
    <w:basedOn w:val="prastasis"/>
    <w:link w:val="AntratsDiagrama"/>
    <w:uiPriority w:val="99"/>
    <w:unhideWhenUsed/>
    <w:rsid w:val="008A1337"/>
    <w:pPr>
      <w:tabs>
        <w:tab w:val="center" w:pos="4819"/>
        <w:tab w:val="right" w:pos="9638"/>
      </w:tabs>
    </w:pPr>
  </w:style>
  <w:style w:type="character" w:customStyle="1" w:styleId="AntratsDiagrama">
    <w:name w:val="Antraštės Diagrama"/>
    <w:basedOn w:val="Numatytasispastraiposriftas"/>
    <w:link w:val="Antrats"/>
    <w:uiPriority w:val="99"/>
    <w:rsid w:val="008A1337"/>
  </w:style>
  <w:style w:type="paragraph" w:styleId="Porat">
    <w:name w:val="footer"/>
    <w:basedOn w:val="prastasis"/>
    <w:link w:val="PoratDiagrama"/>
    <w:uiPriority w:val="99"/>
    <w:unhideWhenUsed/>
    <w:rsid w:val="008A1337"/>
    <w:pPr>
      <w:tabs>
        <w:tab w:val="center" w:pos="4819"/>
        <w:tab w:val="right" w:pos="9638"/>
      </w:tabs>
    </w:pPr>
  </w:style>
  <w:style w:type="character" w:customStyle="1" w:styleId="PoratDiagrama">
    <w:name w:val="Poraštė Diagrama"/>
    <w:basedOn w:val="Numatytasispastraiposriftas"/>
    <w:link w:val="Porat"/>
    <w:uiPriority w:val="99"/>
    <w:rsid w:val="008A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9687">
      <w:bodyDiv w:val="1"/>
      <w:marLeft w:val="0"/>
      <w:marRight w:val="0"/>
      <w:marTop w:val="0"/>
      <w:marBottom w:val="0"/>
      <w:divBdr>
        <w:top w:val="none" w:sz="0" w:space="0" w:color="auto"/>
        <w:left w:val="none" w:sz="0" w:space="0" w:color="auto"/>
        <w:bottom w:val="none" w:sz="0" w:space="0" w:color="auto"/>
        <w:right w:val="none" w:sz="0" w:space="0" w:color="auto"/>
      </w:divBdr>
      <w:divsChild>
        <w:div w:id="5265991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94567-F773-4C73-82BB-5686D5A9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2</Pages>
  <Words>2642</Words>
  <Characters>1506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2016-02-05T09:28:00Z</dcterms:created>
  <dc:creator>Mindaugas Stonkus</dc:creator>
  <cp:lastModifiedBy>Mindaugas Stonkus</cp:lastModifiedBy>
  <cp:lastPrinted>2016-03-30T13:43:00Z</cp:lastPrinted>
  <dcterms:modified xsi:type="dcterms:W3CDTF">2020-06-19T06:46:00Z</dcterms:modified>
  <cp:revision>60</cp:revision>
</cp:coreProperties>
</file>