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09" w:rsidRDefault="001F2409" w:rsidP="00BA1D45">
      <w:pPr>
        <w:spacing w:after="0" w:line="240" w:lineRule="auto"/>
        <w:jc w:val="center"/>
        <w:rPr>
          <w:rFonts w:cs="Times New Roman"/>
          <w:b/>
          <w:szCs w:val="24"/>
        </w:rPr>
      </w:pPr>
    </w:p>
    <w:p w:rsidR="001F2409" w:rsidRDefault="00072ECC" w:rsidP="009E1268">
      <w:pPr>
        <w:spacing w:after="0" w:line="300" w:lineRule="atLeast"/>
        <w:ind w:right="282"/>
        <w:jc w:val="center"/>
        <w:rPr>
          <w:b/>
        </w:rPr>
      </w:pPr>
      <w:r>
        <w:rPr>
          <w:rFonts w:cs="Times New Roman"/>
          <w:b/>
          <w:szCs w:val="24"/>
        </w:rPr>
        <w:t xml:space="preserve">DARBO GRUPĖ </w:t>
      </w:r>
      <w:r w:rsidRPr="00BA1D45">
        <w:rPr>
          <w:b/>
        </w:rPr>
        <w:t>FINANSINIŲ TECHNOLOGIJŲ INDUSTRIJAI LIETUVOJE PLĖTOTI</w:t>
      </w:r>
    </w:p>
    <w:p w:rsidR="00072ECC" w:rsidRDefault="00072ECC" w:rsidP="009E1268">
      <w:pPr>
        <w:spacing w:after="0" w:line="300" w:lineRule="atLeast"/>
        <w:ind w:right="282"/>
        <w:jc w:val="center"/>
        <w:rPr>
          <w:rFonts w:cs="Times New Roman"/>
          <w:b/>
          <w:szCs w:val="24"/>
        </w:rPr>
      </w:pPr>
    </w:p>
    <w:p w:rsidR="001F2409" w:rsidRDefault="00407C0A" w:rsidP="009E1268">
      <w:pPr>
        <w:spacing w:after="0" w:line="300" w:lineRule="atLeast"/>
        <w:ind w:right="282"/>
        <w:jc w:val="center"/>
        <w:rPr>
          <w:rFonts w:cs="Times New Roman"/>
          <w:b/>
          <w:szCs w:val="24"/>
        </w:rPr>
      </w:pPr>
      <w:r w:rsidRPr="000C1422">
        <w:rPr>
          <w:rFonts w:cs="Times New Roman"/>
          <w:b/>
          <w:szCs w:val="24"/>
        </w:rPr>
        <w:t>2019 M. FINANSINIŲ TECHNOLOGIJŲ (</w:t>
      </w:r>
      <w:r w:rsidR="00F463B0" w:rsidRPr="000C1422">
        <w:rPr>
          <w:rFonts w:cs="Times New Roman"/>
          <w:b/>
          <w:szCs w:val="24"/>
        </w:rPr>
        <w:t>FINTECH</w:t>
      </w:r>
      <w:r w:rsidRPr="000C1422">
        <w:rPr>
          <w:rFonts w:cs="Times New Roman"/>
          <w:b/>
          <w:szCs w:val="24"/>
        </w:rPr>
        <w:t xml:space="preserve">) </w:t>
      </w:r>
      <w:r w:rsidR="0089095F">
        <w:rPr>
          <w:rFonts w:cs="Times New Roman"/>
          <w:b/>
          <w:szCs w:val="24"/>
        </w:rPr>
        <w:t>INDUSTRIJOS</w:t>
      </w:r>
      <w:r w:rsidRPr="000C1422">
        <w:rPr>
          <w:rFonts w:cs="Times New Roman"/>
          <w:b/>
          <w:szCs w:val="24"/>
        </w:rPr>
        <w:t xml:space="preserve"> PLĖTROS LIETUVOJE VEIKSMŲ PLANO ĮGYVENDINIMO ATASKAITA</w:t>
      </w:r>
      <w:r w:rsidR="0089095F">
        <w:rPr>
          <w:rFonts w:cs="Times New Roman"/>
          <w:b/>
          <w:szCs w:val="24"/>
        </w:rPr>
        <w:t xml:space="preserve"> </w:t>
      </w:r>
    </w:p>
    <w:p w:rsidR="0089095F" w:rsidRDefault="0089095F" w:rsidP="009E1268">
      <w:pPr>
        <w:spacing w:after="0" w:line="300" w:lineRule="atLeast"/>
        <w:ind w:right="282"/>
        <w:jc w:val="center"/>
        <w:rPr>
          <w:rFonts w:cs="Times New Roman"/>
          <w:b/>
          <w:szCs w:val="24"/>
        </w:rPr>
      </w:pPr>
    </w:p>
    <w:p w:rsidR="001F2409" w:rsidRPr="00BA1D45" w:rsidRDefault="001F2409" w:rsidP="009E1268">
      <w:pPr>
        <w:spacing w:after="0" w:line="240" w:lineRule="auto"/>
        <w:ind w:right="282"/>
        <w:jc w:val="center"/>
        <w:rPr>
          <w:rFonts w:cs="Times New Roman"/>
          <w:szCs w:val="24"/>
        </w:rPr>
      </w:pPr>
      <w:r w:rsidRPr="00BA1D45">
        <w:rPr>
          <w:rFonts w:cs="Times New Roman"/>
          <w:szCs w:val="24"/>
        </w:rPr>
        <w:t xml:space="preserve">2020 m. kovo </w:t>
      </w:r>
      <w:r w:rsidR="0066023D">
        <w:rPr>
          <w:rFonts w:cs="Times New Roman"/>
          <w:szCs w:val="24"/>
        </w:rPr>
        <w:t>23</w:t>
      </w:r>
      <w:r w:rsidRPr="00BA1D45">
        <w:rPr>
          <w:rFonts w:cs="Times New Roman"/>
          <w:szCs w:val="24"/>
        </w:rPr>
        <w:t xml:space="preserve"> d. </w:t>
      </w:r>
    </w:p>
    <w:p w:rsidR="001F2409" w:rsidRPr="00BA1D45" w:rsidRDefault="001F2409" w:rsidP="009E1268">
      <w:pPr>
        <w:spacing w:after="0" w:line="240" w:lineRule="auto"/>
        <w:ind w:right="282"/>
        <w:jc w:val="center"/>
        <w:rPr>
          <w:rFonts w:cs="Times New Roman"/>
          <w:szCs w:val="24"/>
        </w:rPr>
      </w:pPr>
      <w:r w:rsidRPr="00BA1D45">
        <w:rPr>
          <w:rFonts w:cs="Times New Roman"/>
          <w:szCs w:val="24"/>
        </w:rPr>
        <w:t>Vilnius</w:t>
      </w:r>
    </w:p>
    <w:p w:rsidR="001F2409" w:rsidRPr="00BA1D45" w:rsidRDefault="001F2409" w:rsidP="009E1268">
      <w:pPr>
        <w:spacing w:after="0" w:line="240" w:lineRule="auto"/>
        <w:ind w:right="282"/>
        <w:jc w:val="center"/>
        <w:rPr>
          <w:rFonts w:cs="Times New Roman"/>
          <w:szCs w:val="24"/>
        </w:rPr>
      </w:pPr>
    </w:p>
    <w:p w:rsidR="00F0306D" w:rsidRPr="000C1422" w:rsidRDefault="008B0A72" w:rsidP="009E1268">
      <w:pPr>
        <w:pStyle w:val="Sraopastraipa"/>
        <w:numPr>
          <w:ilvl w:val="0"/>
          <w:numId w:val="6"/>
        </w:numPr>
        <w:spacing w:line="240" w:lineRule="auto"/>
        <w:ind w:right="282" w:firstLine="131"/>
        <w:rPr>
          <w:rFonts w:cs="Times New Roman"/>
          <w:b/>
          <w:szCs w:val="24"/>
        </w:rPr>
      </w:pPr>
      <w:r w:rsidRPr="000C1422">
        <w:rPr>
          <w:rFonts w:cs="Times New Roman"/>
          <w:b/>
          <w:szCs w:val="24"/>
        </w:rPr>
        <w:t>Finansinių technologijų sektoriaus raida Lietuvoje</w:t>
      </w:r>
      <w:r w:rsidR="00407C0A" w:rsidRPr="000C1422">
        <w:rPr>
          <w:rFonts w:cs="Times New Roman"/>
          <w:b/>
          <w:szCs w:val="24"/>
        </w:rPr>
        <w:t xml:space="preserve"> 2019 m.</w:t>
      </w:r>
    </w:p>
    <w:p w:rsidR="008B0A72" w:rsidRPr="000C1422" w:rsidRDefault="004741C3" w:rsidP="009E1268">
      <w:pPr>
        <w:spacing w:after="0" w:line="300" w:lineRule="atLeast"/>
        <w:ind w:right="282" w:firstLine="567"/>
        <w:jc w:val="both"/>
        <w:rPr>
          <w:rFonts w:cs="Times New Roman"/>
          <w:szCs w:val="24"/>
        </w:rPr>
      </w:pPr>
      <w:r>
        <w:rPr>
          <w:rFonts w:eastAsia="Calibri" w:cs="Times New Roman"/>
          <w:szCs w:val="24"/>
        </w:rPr>
        <w:t>F</w:t>
      </w:r>
      <w:r w:rsidR="008B0A72" w:rsidRPr="000C1422">
        <w:rPr>
          <w:rFonts w:eastAsia="Calibri" w:cs="Times New Roman"/>
          <w:szCs w:val="24"/>
        </w:rPr>
        <w:t>inans</w:t>
      </w:r>
      <w:r w:rsidR="00103BE5">
        <w:rPr>
          <w:rFonts w:eastAsia="Calibri" w:cs="Times New Roman"/>
          <w:szCs w:val="24"/>
        </w:rPr>
        <w:t>ini</w:t>
      </w:r>
      <w:r w:rsidR="008B0A72" w:rsidRPr="000C1422">
        <w:rPr>
          <w:rFonts w:eastAsia="Calibri" w:cs="Times New Roman"/>
          <w:szCs w:val="24"/>
        </w:rPr>
        <w:t xml:space="preserve">ų technologijų (toliau – </w:t>
      </w:r>
      <w:r w:rsidR="00F463B0" w:rsidRPr="000C1422">
        <w:rPr>
          <w:rFonts w:eastAsia="Calibri" w:cs="Times New Roman"/>
          <w:szCs w:val="24"/>
        </w:rPr>
        <w:t>FINTECH</w:t>
      </w:r>
      <w:r w:rsidR="008B0A72" w:rsidRPr="000C1422">
        <w:rPr>
          <w:rFonts w:eastAsia="Calibri" w:cs="Times New Roman"/>
          <w:szCs w:val="24"/>
        </w:rPr>
        <w:t xml:space="preserve">) plėtros skatinimas </w:t>
      </w:r>
      <w:r>
        <w:rPr>
          <w:rFonts w:eastAsia="Calibri" w:cs="Times New Roman"/>
          <w:szCs w:val="24"/>
        </w:rPr>
        <w:t xml:space="preserve">yra vienas iš Lietuvos Respublikos Vyriausybės </w:t>
      </w:r>
      <w:r w:rsidR="008B0A72" w:rsidRPr="000C1422">
        <w:rPr>
          <w:rFonts w:eastAsia="Calibri" w:cs="Times New Roman"/>
          <w:szCs w:val="24"/>
        </w:rPr>
        <w:t>prioritetini</w:t>
      </w:r>
      <w:r>
        <w:rPr>
          <w:rFonts w:eastAsia="Calibri" w:cs="Times New Roman"/>
          <w:szCs w:val="24"/>
        </w:rPr>
        <w:t>ų</w:t>
      </w:r>
      <w:r w:rsidR="008B0A72" w:rsidRPr="000C1422">
        <w:rPr>
          <w:rFonts w:eastAsia="Calibri" w:cs="Times New Roman"/>
          <w:szCs w:val="24"/>
        </w:rPr>
        <w:t xml:space="preserve"> </w:t>
      </w:r>
      <w:r w:rsidR="00DE2237">
        <w:rPr>
          <w:rFonts w:eastAsia="Calibri" w:cs="Times New Roman"/>
          <w:szCs w:val="24"/>
        </w:rPr>
        <w:t>darbų.</w:t>
      </w:r>
      <w:r w:rsidR="008C3A23">
        <w:rPr>
          <w:rFonts w:eastAsia="Calibri" w:cs="Times New Roman"/>
          <w:szCs w:val="24"/>
        </w:rPr>
        <w:t xml:space="preserve"> 2019 m. atnaujintame</w:t>
      </w:r>
      <w:r w:rsidR="008B0A72" w:rsidRPr="000C1422">
        <w:rPr>
          <w:rFonts w:eastAsia="Calibri" w:cs="Times New Roman"/>
          <w:szCs w:val="24"/>
        </w:rPr>
        <w:t xml:space="preserve"> Priemonių finansinių technologijų sektoriaus plėtrai Liet</w:t>
      </w:r>
      <w:r w:rsidR="000C1422">
        <w:rPr>
          <w:rFonts w:eastAsia="Calibri" w:cs="Times New Roman"/>
          <w:szCs w:val="24"/>
        </w:rPr>
        <w:t xml:space="preserve">uvoje skatinti </w:t>
      </w:r>
      <w:r w:rsidR="008C3A23">
        <w:rPr>
          <w:rFonts w:eastAsia="Calibri" w:cs="Times New Roman"/>
          <w:szCs w:val="24"/>
        </w:rPr>
        <w:t xml:space="preserve">plane </w:t>
      </w:r>
      <w:r w:rsidR="00632C86">
        <w:rPr>
          <w:rFonts w:eastAsia="Calibri" w:cs="Times New Roman"/>
          <w:szCs w:val="24"/>
        </w:rPr>
        <w:t xml:space="preserve">(toliau – FINTECH priemonių planas) </w:t>
      </w:r>
      <w:r w:rsidR="008C3A23">
        <w:rPr>
          <w:rFonts w:eastAsia="Calibri" w:cs="Times New Roman"/>
          <w:szCs w:val="24"/>
        </w:rPr>
        <w:t xml:space="preserve">buvo </w:t>
      </w:r>
      <w:r w:rsidR="008B0A72" w:rsidRPr="000C1422">
        <w:rPr>
          <w:rFonts w:eastAsia="Calibri" w:cs="Times New Roman"/>
          <w:szCs w:val="24"/>
        </w:rPr>
        <w:t xml:space="preserve">numatyta sutelkti institucijų veiksmus, siekiant plėtoti </w:t>
      </w:r>
      <w:r w:rsidR="00F463B0" w:rsidRPr="000C1422">
        <w:rPr>
          <w:rFonts w:eastAsia="Calibri" w:cs="Times New Roman"/>
          <w:szCs w:val="24"/>
        </w:rPr>
        <w:t>FINTECH</w:t>
      </w:r>
      <w:r w:rsidR="008B0A72" w:rsidRPr="000C1422">
        <w:rPr>
          <w:rFonts w:eastAsia="Calibri" w:cs="Times New Roman"/>
          <w:szCs w:val="24"/>
        </w:rPr>
        <w:t xml:space="preserve"> įmonėms palankią</w:t>
      </w:r>
      <w:r w:rsidR="000C1422">
        <w:rPr>
          <w:rFonts w:eastAsia="Calibri" w:cs="Times New Roman"/>
          <w:szCs w:val="24"/>
        </w:rPr>
        <w:t xml:space="preserve"> aplinką, populiarinti Lietuvos</w:t>
      </w:r>
      <w:r w:rsidR="008B0A72" w:rsidRPr="000C1422">
        <w:rPr>
          <w:rFonts w:eastAsia="Calibri" w:cs="Times New Roman"/>
          <w:szCs w:val="24"/>
        </w:rPr>
        <w:t xml:space="preserve"> </w:t>
      </w:r>
      <w:r w:rsidR="008B0A72" w:rsidRPr="000C1422">
        <w:rPr>
          <w:rFonts w:cs="Times New Roman"/>
          <w:szCs w:val="24"/>
        </w:rPr>
        <w:t xml:space="preserve">jurisdikciją tikslinėse rinkose ir sudaryti užsienio įmonių veikimo sąlygas, didinti </w:t>
      </w:r>
      <w:r w:rsidR="00F463B0" w:rsidRPr="000C1422">
        <w:rPr>
          <w:rFonts w:cs="Times New Roman"/>
          <w:szCs w:val="24"/>
        </w:rPr>
        <w:t>FINTECH</w:t>
      </w:r>
      <w:r w:rsidR="008B0A72" w:rsidRPr="000C1422">
        <w:rPr>
          <w:rFonts w:cs="Times New Roman"/>
          <w:szCs w:val="24"/>
        </w:rPr>
        <w:t xml:space="preserve"> žinomumą ir naudojimą, užtikrinti kapitalo pasiūlą įmonėms kiekviename jų plėtros etape, užtikrinti tinkamos darbo jėgos rengimą Lietuvoje bei skatinti Lietuvoje įsikūrusių </w:t>
      </w:r>
      <w:r w:rsidR="00F463B0" w:rsidRPr="000C1422">
        <w:rPr>
          <w:rFonts w:cs="Times New Roman"/>
          <w:szCs w:val="24"/>
        </w:rPr>
        <w:t>FINTECH</w:t>
      </w:r>
      <w:r w:rsidR="008B0A72" w:rsidRPr="000C1422">
        <w:rPr>
          <w:rFonts w:cs="Times New Roman"/>
          <w:szCs w:val="24"/>
        </w:rPr>
        <w:t xml:space="preserve"> sektoriaus įmonių paslaugų ir produktų eksportą į užsienio rinkas. 2019 m. taip pat buvo pradėtas </w:t>
      </w:r>
      <w:r w:rsidR="00F463B0" w:rsidRPr="000C1422">
        <w:rPr>
          <w:rFonts w:cs="Times New Roman"/>
          <w:szCs w:val="24"/>
        </w:rPr>
        <w:t>FINTECH</w:t>
      </w:r>
      <w:r w:rsidR="008B0A72" w:rsidRPr="000C1422">
        <w:rPr>
          <w:rFonts w:cs="Times New Roman"/>
          <w:szCs w:val="24"/>
        </w:rPr>
        <w:t xml:space="preserve"> LT projektas, </w:t>
      </w:r>
      <w:r w:rsidR="008C3A23">
        <w:rPr>
          <w:rFonts w:cs="Times New Roman"/>
          <w:szCs w:val="24"/>
        </w:rPr>
        <w:t xml:space="preserve">kurio paskirtis </w:t>
      </w:r>
      <w:r w:rsidR="00B702DE">
        <w:rPr>
          <w:rFonts w:cs="Times New Roman"/>
          <w:szCs w:val="24"/>
        </w:rPr>
        <w:t>–</w:t>
      </w:r>
      <w:r w:rsidR="008C3A23">
        <w:rPr>
          <w:rFonts w:cs="Times New Roman"/>
          <w:szCs w:val="24"/>
        </w:rPr>
        <w:t xml:space="preserve"> </w:t>
      </w:r>
      <w:r w:rsidR="00B702DE" w:rsidRPr="000C1422">
        <w:rPr>
          <w:rFonts w:eastAsia="Calibri" w:cs="Times New Roman"/>
          <w:szCs w:val="24"/>
        </w:rPr>
        <w:t xml:space="preserve">FINTECH </w:t>
      </w:r>
      <w:r w:rsidR="00B05260" w:rsidRPr="00B05260">
        <w:rPr>
          <w:rFonts w:cs="Times New Roman"/>
          <w:szCs w:val="24"/>
        </w:rPr>
        <w:t>inovacijų populiarinimas ir skatinimas</w:t>
      </w:r>
      <w:r w:rsidR="00B05260">
        <w:rPr>
          <w:rFonts w:cs="Times New Roman"/>
          <w:szCs w:val="24"/>
        </w:rPr>
        <w:t>.</w:t>
      </w:r>
      <w:r w:rsidR="00CC45B9">
        <w:rPr>
          <w:rFonts w:cs="Times New Roman"/>
          <w:szCs w:val="24"/>
        </w:rPr>
        <w:t xml:space="preserve"> </w:t>
      </w:r>
      <w:r w:rsidR="008C3A23">
        <w:rPr>
          <w:rFonts w:cs="Times New Roman"/>
          <w:szCs w:val="24"/>
        </w:rPr>
        <w:t>Projektą numatoma baigti</w:t>
      </w:r>
      <w:r w:rsidR="008B0A72" w:rsidRPr="000C1422">
        <w:rPr>
          <w:rFonts w:cs="Times New Roman"/>
          <w:szCs w:val="24"/>
        </w:rPr>
        <w:t xml:space="preserve"> 2021 metų pradžioje. Įgyvendinant projektą</w:t>
      </w:r>
      <w:r w:rsidR="00103BE5">
        <w:rPr>
          <w:rFonts w:cs="Times New Roman"/>
          <w:szCs w:val="24"/>
        </w:rPr>
        <w:t>,</w:t>
      </w:r>
      <w:r w:rsidR="008B0A72" w:rsidRPr="000C1422">
        <w:rPr>
          <w:rFonts w:cs="Times New Roman"/>
          <w:szCs w:val="24"/>
        </w:rPr>
        <w:t xml:space="preserve"> Lietuvos pasiekim</w:t>
      </w:r>
      <w:r w:rsidR="00C100E7">
        <w:rPr>
          <w:rFonts w:cs="Times New Roman"/>
          <w:szCs w:val="24"/>
        </w:rPr>
        <w:t>ai</w:t>
      </w:r>
      <w:r w:rsidR="008B0A72" w:rsidRPr="000C1422">
        <w:rPr>
          <w:rFonts w:cs="Times New Roman"/>
          <w:szCs w:val="24"/>
        </w:rPr>
        <w:t xml:space="preserve"> </w:t>
      </w:r>
      <w:r w:rsidR="00F463B0" w:rsidRPr="000C1422">
        <w:rPr>
          <w:rFonts w:cs="Times New Roman"/>
          <w:szCs w:val="24"/>
        </w:rPr>
        <w:t>FINTECH</w:t>
      </w:r>
      <w:r w:rsidR="008B0A72" w:rsidRPr="000C1422">
        <w:rPr>
          <w:rFonts w:cs="Times New Roman"/>
          <w:szCs w:val="24"/>
        </w:rPr>
        <w:t xml:space="preserve"> srityje viešin</w:t>
      </w:r>
      <w:r w:rsidR="00C100E7">
        <w:rPr>
          <w:rFonts w:cs="Times New Roman"/>
          <w:szCs w:val="24"/>
        </w:rPr>
        <w:t>ami</w:t>
      </w:r>
      <w:r w:rsidR="008B0A72" w:rsidRPr="000C1422">
        <w:rPr>
          <w:rFonts w:cs="Times New Roman"/>
          <w:szCs w:val="24"/>
        </w:rPr>
        <w:t xml:space="preserve"> šalies viduje ir užsienyje, organizuojami tarptautiniai ir vietiniai renginiai finansinių inovacijų tema, </w:t>
      </w:r>
      <w:r w:rsidR="00F463B0" w:rsidRPr="000C1422">
        <w:rPr>
          <w:rFonts w:cs="Times New Roman"/>
          <w:szCs w:val="24"/>
        </w:rPr>
        <w:t>FINTECH</w:t>
      </w:r>
      <w:r w:rsidR="008B0A72" w:rsidRPr="000C1422">
        <w:rPr>
          <w:rFonts w:cs="Times New Roman"/>
          <w:szCs w:val="24"/>
        </w:rPr>
        <w:t xml:space="preserve"> įmonėms</w:t>
      </w:r>
      <w:r w:rsidR="00C100E7">
        <w:rPr>
          <w:rFonts w:cs="Times New Roman"/>
          <w:szCs w:val="24"/>
        </w:rPr>
        <w:t xml:space="preserve"> teikiamos konsultacijos</w:t>
      </w:r>
      <w:r w:rsidR="008B0A72" w:rsidRPr="000C1422">
        <w:rPr>
          <w:rFonts w:cs="Times New Roman"/>
          <w:szCs w:val="24"/>
        </w:rPr>
        <w:t xml:space="preserve">. </w:t>
      </w:r>
    </w:p>
    <w:p w:rsidR="00BF058D" w:rsidRPr="000C1422" w:rsidRDefault="008B0A72" w:rsidP="00FB52F7">
      <w:pPr>
        <w:spacing w:after="0" w:line="300" w:lineRule="atLeast"/>
        <w:ind w:right="282" w:firstLine="567"/>
        <w:jc w:val="both"/>
        <w:rPr>
          <w:rFonts w:cs="Times New Roman"/>
          <w:szCs w:val="24"/>
        </w:rPr>
      </w:pPr>
      <w:r w:rsidRPr="000C1422">
        <w:rPr>
          <w:rFonts w:cs="Times New Roman"/>
          <w:szCs w:val="24"/>
        </w:rPr>
        <w:t>Palankių verslo sąlygų ir investicinės aplinkos gerinimas lemia</w:t>
      </w:r>
      <w:r w:rsidR="00A87A9E">
        <w:rPr>
          <w:rFonts w:cs="Times New Roman"/>
          <w:szCs w:val="24"/>
        </w:rPr>
        <w:t xml:space="preserve"> tolesnę</w:t>
      </w:r>
      <w:r w:rsidRPr="000C1422">
        <w:rPr>
          <w:rFonts w:cs="Times New Roman"/>
          <w:szCs w:val="24"/>
        </w:rPr>
        <w:t xml:space="preserve"> </w:t>
      </w:r>
      <w:r w:rsidR="00F463B0" w:rsidRPr="000C1422">
        <w:rPr>
          <w:rFonts w:cs="Times New Roman"/>
          <w:szCs w:val="24"/>
        </w:rPr>
        <w:t>FINTECH</w:t>
      </w:r>
      <w:r w:rsidRPr="000C1422">
        <w:rPr>
          <w:rFonts w:cs="Times New Roman"/>
          <w:szCs w:val="24"/>
        </w:rPr>
        <w:t xml:space="preserve"> sektori</w:t>
      </w:r>
      <w:r w:rsidR="00A87A9E">
        <w:rPr>
          <w:rFonts w:cs="Times New Roman"/>
          <w:szCs w:val="24"/>
        </w:rPr>
        <w:t>a</w:t>
      </w:r>
      <w:r w:rsidRPr="000C1422">
        <w:rPr>
          <w:rFonts w:cs="Times New Roman"/>
          <w:szCs w:val="24"/>
        </w:rPr>
        <w:t>us</w:t>
      </w:r>
      <w:r w:rsidR="00A87A9E">
        <w:rPr>
          <w:rFonts w:cs="Times New Roman"/>
          <w:szCs w:val="24"/>
        </w:rPr>
        <w:t xml:space="preserve"> plėtrą</w:t>
      </w:r>
      <w:r w:rsidRPr="000C1422">
        <w:rPr>
          <w:rFonts w:cs="Times New Roman"/>
          <w:szCs w:val="24"/>
        </w:rPr>
        <w:t xml:space="preserve">. Šiuo metu Lietuvoje veikia 210 </w:t>
      </w:r>
      <w:r w:rsidR="00F463B0" w:rsidRPr="000C1422">
        <w:rPr>
          <w:rFonts w:cs="Times New Roman"/>
          <w:szCs w:val="24"/>
        </w:rPr>
        <w:t>FINTECH</w:t>
      </w:r>
      <w:r w:rsidRPr="000C1422">
        <w:rPr>
          <w:rFonts w:cs="Times New Roman"/>
          <w:szCs w:val="24"/>
        </w:rPr>
        <w:t xml:space="preserve"> įmonių (</w:t>
      </w:r>
      <w:r w:rsidR="00A87A9E">
        <w:rPr>
          <w:rFonts w:cs="Times New Roman"/>
          <w:szCs w:val="24"/>
        </w:rPr>
        <w:t xml:space="preserve">2019 m. </w:t>
      </w:r>
      <w:r w:rsidR="00B05260">
        <w:rPr>
          <w:rFonts w:cs="Times New Roman"/>
          <w:szCs w:val="24"/>
        </w:rPr>
        <w:t xml:space="preserve">24 </w:t>
      </w:r>
      <w:r w:rsidRPr="000C1422">
        <w:rPr>
          <w:rFonts w:cs="Times New Roman"/>
          <w:szCs w:val="24"/>
        </w:rPr>
        <w:t xml:space="preserve">proc. </w:t>
      </w:r>
      <w:r w:rsidR="00A87A9E">
        <w:rPr>
          <w:rFonts w:cs="Times New Roman"/>
          <w:szCs w:val="24"/>
        </w:rPr>
        <w:t xml:space="preserve">daugiau negu </w:t>
      </w:r>
      <w:r w:rsidR="004741C3">
        <w:rPr>
          <w:rFonts w:cs="Times New Roman"/>
          <w:szCs w:val="24"/>
        </w:rPr>
        <w:t>2018 m.</w:t>
      </w:r>
      <w:r w:rsidRPr="000C1422">
        <w:rPr>
          <w:rFonts w:cs="Times New Roman"/>
          <w:szCs w:val="24"/>
        </w:rPr>
        <w:t xml:space="preserve">), o </w:t>
      </w:r>
      <w:r w:rsidR="0081193E">
        <w:rPr>
          <w:rFonts w:cs="Times New Roman"/>
          <w:szCs w:val="24"/>
        </w:rPr>
        <w:t xml:space="preserve">šiame </w:t>
      </w:r>
      <w:r w:rsidRPr="000C1422">
        <w:rPr>
          <w:rFonts w:cs="Times New Roman"/>
          <w:szCs w:val="24"/>
        </w:rPr>
        <w:t>sektoriuje dirba 3</w:t>
      </w:r>
      <w:r w:rsidR="00103BE5">
        <w:rPr>
          <w:rFonts w:cs="Times New Roman"/>
          <w:szCs w:val="24"/>
        </w:rPr>
        <w:t> </w:t>
      </w:r>
      <w:r w:rsidRPr="000C1422">
        <w:rPr>
          <w:rFonts w:cs="Times New Roman"/>
          <w:szCs w:val="24"/>
        </w:rPr>
        <w:t>400 darbuotojų (</w:t>
      </w:r>
      <w:r w:rsidR="00A87A9E">
        <w:rPr>
          <w:rFonts w:cs="Times New Roman"/>
          <w:szCs w:val="24"/>
        </w:rPr>
        <w:t xml:space="preserve">2019 m. </w:t>
      </w:r>
      <w:r w:rsidR="00B05260">
        <w:rPr>
          <w:rFonts w:cs="Times New Roman"/>
          <w:szCs w:val="24"/>
        </w:rPr>
        <w:t>30</w:t>
      </w:r>
      <w:r w:rsidR="00B05260" w:rsidRPr="000C1422">
        <w:rPr>
          <w:rFonts w:cs="Times New Roman"/>
          <w:szCs w:val="24"/>
        </w:rPr>
        <w:t xml:space="preserve"> </w:t>
      </w:r>
      <w:r w:rsidRPr="000C1422">
        <w:rPr>
          <w:rFonts w:cs="Times New Roman"/>
          <w:szCs w:val="24"/>
        </w:rPr>
        <w:t xml:space="preserve">proc. </w:t>
      </w:r>
      <w:r w:rsidR="00A87A9E">
        <w:rPr>
          <w:rFonts w:cs="Times New Roman"/>
          <w:szCs w:val="24"/>
        </w:rPr>
        <w:t xml:space="preserve">daugiau negu </w:t>
      </w:r>
      <w:r w:rsidR="004741C3">
        <w:rPr>
          <w:rFonts w:cs="Times New Roman"/>
          <w:szCs w:val="24"/>
        </w:rPr>
        <w:t>2018</w:t>
      </w:r>
      <w:r w:rsidR="00864261">
        <w:rPr>
          <w:rFonts w:cs="Times New Roman"/>
          <w:szCs w:val="24"/>
        </w:rPr>
        <w:t> </w:t>
      </w:r>
      <w:r w:rsidR="004741C3">
        <w:rPr>
          <w:rFonts w:cs="Times New Roman"/>
          <w:szCs w:val="24"/>
        </w:rPr>
        <w:t>m</w:t>
      </w:r>
      <w:r w:rsidR="00B05260">
        <w:rPr>
          <w:rFonts w:cs="Times New Roman"/>
          <w:szCs w:val="24"/>
        </w:rPr>
        <w:t>.</w:t>
      </w:r>
      <w:r w:rsidRPr="000C1422">
        <w:rPr>
          <w:rFonts w:cs="Times New Roman"/>
          <w:szCs w:val="24"/>
        </w:rPr>
        <w:t xml:space="preserve">). Į Lietuvą savo veiklos dalį perkelia vis daugiau </w:t>
      </w:r>
      <w:r w:rsidR="008C3A23">
        <w:rPr>
          <w:rFonts w:cs="Times New Roman"/>
          <w:szCs w:val="24"/>
        </w:rPr>
        <w:t xml:space="preserve">tarptautiniu mastu </w:t>
      </w:r>
      <w:r w:rsidRPr="000C1422">
        <w:rPr>
          <w:rFonts w:cs="Times New Roman"/>
          <w:szCs w:val="24"/>
        </w:rPr>
        <w:t xml:space="preserve">reikšmingų </w:t>
      </w:r>
      <w:r w:rsidR="00F463B0" w:rsidRPr="000C1422">
        <w:rPr>
          <w:rFonts w:cs="Times New Roman"/>
          <w:szCs w:val="24"/>
        </w:rPr>
        <w:t>FINTECH</w:t>
      </w:r>
      <w:r w:rsidRPr="000C1422">
        <w:rPr>
          <w:rFonts w:cs="Times New Roman"/>
          <w:szCs w:val="24"/>
        </w:rPr>
        <w:t xml:space="preserve"> įmonių, pavyzdžiui: </w:t>
      </w:r>
      <w:r w:rsidR="00A87A9E">
        <w:rPr>
          <w:rFonts w:cs="Times New Roman"/>
          <w:szCs w:val="24"/>
        </w:rPr>
        <w:t>„</w:t>
      </w:r>
      <w:proofErr w:type="spellStart"/>
      <w:r w:rsidRPr="000C1422">
        <w:rPr>
          <w:rFonts w:cs="Times New Roman"/>
          <w:szCs w:val="24"/>
        </w:rPr>
        <w:t>Revolut</w:t>
      </w:r>
      <w:proofErr w:type="spellEnd"/>
      <w:r w:rsidR="00A87A9E">
        <w:rPr>
          <w:rFonts w:cs="Times New Roman"/>
          <w:szCs w:val="24"/>
        </w:rPr>
        <w:t>“</w:t>
      </w:r>
      <w:r w:rsidRPr="000C1422">
        <w:rPr>
          <w:rFonts w:cs="Times New Roman"/>
          <w:szCs w:val="24"/>
        </w:rPr>
        <w:t xml:space="preserve">, </w:t>
      </w:r>
      <w:r w:rsidR="00A87A9E">
        <w:rPr>
          <w:rFonts w:cs="Times New Roman"/>
          <w:szCs w:val="24"/>
        </w:rPr>
        <w:t>„</w:t>
      </w:r>
      <w:proofErr w:type="spellStart"/>
      <w:r w:rsidRPr="000C1422">
        <w:rPr>
          <w:rFonts w:cs="Times New Roman"/>
          <w:szCs w:val="24"/>
        </w:rPr>
        <w:t>SumUp</w:t>
      </w:r>
      <w:proofErr w:type="spellEnd"/>
      <w:r w:rsidR="00A87A9E">
        <w:rPr>
          <w:rFonts w:cs="Times New Roman"/>
          <w:szCs w:val="24"/>
        </w:rPr>
        <w:t>“</w:t>
      </w:r>
      <w:r w:rsidRPr="000C1422">
        <w:rPr>
          <w:rFonts w:cs="Times New Roman"/>
          <w:szCs w:val="24"/>
        </w:rPr>
        <w:t xml:space="preserve">, </w:t>
      </w:r>
      <w:r w:rsidR="00A87A9E">
        <w:rPr>
          <w:rFonts w:cs="Times New Roman"/>
          <w:szCs w:val="24"/>
        </w:rPr>
        <w:t>„</w:t>
      </w:r>
      <w:proofErr w:type="spellStart"/>
      <w:r w:rsidRPr="000C1422">
        <w:rPr>
          <w:rFonts w:cs="Times New Roman"/>
          <w:szCs w:val="24"/>
        </w:rPr>
        <w:t>Railsbank</w:t>
      </w:r>
      <w:proofErr w:type="spellEnd"/>
      <w:r w:rsidR="00A87A9E">
        <w:rPr>
          <w:rFonts w:cs="Times New Roman"/>
          <w:szCs w:val="24"/>
        </w:rPr>
        <w:t>“</w:t>
      </w:r>
      <w:r w:rsidRPr="000C1422">
        <w:rPr>
          <w:rFonts w:cs="Times New Roman"/>
          <w:szCs w:val="24"/>
        </w:rPr>
        <w:t xml:space="preserve">, </w:t>
      </w:r>
      <w:r w:rsidR="00A87A9E">
        <w:rPr>
          <w:rFonts w:cs="Times New Roman"/>
          <w:szCs w:val="24"/>
        </w:rPr>
        <w:t>„</w:t>
      </w:r>
      <w:proofErr w:type="spellStart"/>
      <w:r w:rsidRPr="000C1422">
        <w:rPr>
          <w:rFonts w:cs="Times New Roman"/>
          <w:szCs w:val="24"/>
        </w:rPr>
        <w:t>Nium</w:t>
      </w:r>
      <w:proofErr w:type="spellEnd"/>
      <w:r w:rsidR="00A87A9E">
        <w:rPr>
          <w:rFonts w:cs="Times New Roman"/>
          <w:szCs w:val="24"/>
        </w:rPr>
        <w:t>“</w:t>
      </w:r>
      <w:r w:rsidRPr="000C1422">
        <w:rPr>
          <w:rFonts w:cs="Times New Roman"/>
          <w:szCs w:val="24"/>
        </w:rPr>
        <w:t xml:space="preserve">, </w:t>
      </w:r>
      <w:r w:rsidR="00A87A9E">
        <w:rPr>
          <w:rFonts w:cs="Times New Roman"/>
          <w:szCs w:val="24"/>
        </w:rPr>
        <w:t>„</w:t>
      </w:r>
      <w:proofErr w:type="spellStart"/>
      <w:r w:rsidRPr="000C1422">
        <w:rPr>
          <w:rFonts w:cs="Times New Roman"/>
          <w:szCs w:val="24"/>
        </w:rPr>
        <w:t>Revel</w:t>
      </w:r>
      <w:proofErr w:type="spellEnd"/>
      <w:r w:rsidRPr="000C1422">
        <w:rPr>
          <w:rFonts w:cs="Times New Roman"/>
          <w:szCs w:val="24"/>
        </w:rPr>
        <w:t xml:space="preserve"> </w:t>
      </w:r>
      <w:proofErr w:type="spellStart"/>
      <w:r w:rsidRPr="000C1422">
        <w:rPr>
          <w:rFonts w:cs="Times New Roman"/>
          <w:szCs w:val="24"/>
        </w:rPr>
        <w:t>Systems</w:t>
      </w:r>
      <w:proofErr w:type="spellEnd"/>
      <w:r w:rsidR="00A87A9E">
        <w:rPr>
          <w:rFonts w:cs="Times New Roman"/>
          <w:szCs w:val="24"/>
        </w:rPr>
        <w:t>“</w:t>
      </w:r>
      <w:r w:rsidRPr="000C1422">
        <w:rPr>
          <w:rFonts w:cs="Times New Roman"/>
          <w:szCs w:val="24"/>
        </w:rPr>
        <w:t xml:space="preserve">, </w:t>
      </w:r>
      <w:r w:rsidR="00A87A9E">
        <w:rPr>
          <w:rFonts w:cs="Times New Roman"/>
          <w:szCs w:val="24"/>
        </w:rPr>
        <w:t>„</w:t>
      </w:r>
      <w:proofErr w:type="spellStart"/>
      <w:r w:rsidRPr="000C1422">
        <w:rPr>
          <w:rFonts w:cs="Times New Roman"/>
          <w:szCs w:val="24"/>
        </w:rPr>
        <w:t>Earthport</w:t>
      </w:r>
      <w:proofErr w:type="spellEnd"/>
      <w:r w:rsidR="00A87A9E">
        <w:rPr>
          <w:rFonts w:cs="Times New Roman"/>
          <w:szCs w:val="24"/>
        </w:rPr>
        <w:t>“</w:t>
      </w:r>
      <w:r w:rsidRPr="000C1422">
        <w:rPr>
          <w:rFonts w:cs="Times New Roman"/>
          <w:szCs w:val="24"/>
        </w:rPr>
        <w:t xml:space="preserve"> ir </w:t>
      </w:r>
      <w:r w:rsidR="00A87A9E">
        <w:rPr>
          <w:rFonts w:cs="Times New Roman"/>
          <w:szCs w:val="24"/>
        </w:rPr>
        <w:t>„</w:t>
      </w:r>
      <w:r w:rsidRPr="000C1422">
        <w:rPr>
          <w:rFonts w:cs="Times New Roman"/>
          <w:szCs w:val="24"/>
        </w:rPr>
        <w:t>Shift4payments</w:t>
      </w:r>
      <w:r w:rsidR="00A87A9E">
        <w:rPr>
          <w:rFonts w:cs="Times New Roman"/>
          <w:szCs w:val="24"/>
        </w:rPr>
        <w:t>“</w:t>
      </w:r>
      <w:r w:rsidRPr="000C1422">
        <w:rPr>
          <w:rFonts w:cs="Times New Roman"/>
          <w:szCs w:val="24"/>
        </w:rPr>
        <w:t xml:space="preserve">. Remiantis portalo </w:t>
      </w:r>
      <w:proofErr w:type="spellStart"/>
      <w:r w:rsidRPr="000C1422">
        <w:rPr>
          <w:rFonts w:cs="Times New Roman"/>
          <w:szCs w:val="24"/>
        </w:rPr>
        <w:t>Rekvizitai.lt</w:t>
      </w:r>
      <w:proofErr w:type="spellEnd"/>
      <w:r w:rsidRPr="000C1422">
        <w:rPr>
          <w:rFonts w:cs="Times New Roman"/>
          <w:szCs w:val="24"/>
        </w:rPr>
        <w:t xml:space="preserve"> duomenimis, šiose įmonėse kuriamos itin gerai apmokamos darbo vietos, vidutinis darbuotojų darbo užmokestis svyruoja nuo 2</w:t>
      </w:r>
      <w:r w:rsidR="00103BE5">
        <w:rPr>
          <w:rFonts w:cs="Times New Roman"/>
          <w:szCs w:val="24"/>
        </w:rPr>
        <w:t> </w:t>
      </w:r>
      <w:r w:rsidRPr="000C1422">
        <w:rPr>
          <w:rFonts w:cs="Times New Roman"/>
          <w:szCs w:val="24"/>
        </w:rPr>
        <w:t>000 iki 8</w:t>
      </w:r>
      <w:r w:rsidR="00103BE5">
        <w:rPr>
          <w:rFonts w:cs="Times New Roman"/>
          <w:szCs w:val="24"/>
        </w:rPr>
        <w:t> </w:t>
      </w:r>
      <w:r w:rsidRPr="000C1422">
        <w:rPr>
          <w:rFonts w:cs="Times New Roman"/>
          <w:szCs w:val="24"/>
        </w:rPr>
        <w:t xml:space="preserve">000 </w:t>
      </w:r>
      <w:r w:rsidR="00A87A9E">
        <w:rPr>
          <w:rFonts w:cs="Times New Roman"/>
          <w:szCs w:val="24"/>
        </w:rPr>
        <w:t xml:space="preserve">eurų </w:t>
      </w:r>
      <w:r w:rsidRPr="000C1422">
        <w:rPr>
          <w:rFonts w:cs="Times New Roman"/>
          <w:szCs w:val="24"/>
        </w:rPr>
        <w:t xml:space="preserve">per mėnesį. </w:t>
      </w:r>
      <w:proofErr w:type="spellStart"/>
      <w:r w:rsidRPr="000C1422">
        <w:rPr>
          <w:rFonts w:cs="Times New Roman"/>
          <w:szCs w:val="24"/>
        </w:rPr>
        <w:t>VšĮ</w:t>
      </w:r>
      <w:proofErr w:type="spellEnd"/>
      <w:r w:rsidRPr="000C1422">
        <w:rPr>
          <w:rFonts w:cs="Times New Roman"/>
          <w:szCs w:val="24"/>
        </w:rPr>
        <w:t xml:space="preserve"> „Investuok Lietuvoje“ atlikta </w:t>
      </w:r>
      <w:r w:rsidR="00F463B0" w:rsidRPr="000C1422">
        <w:rPr>
          <w:rFonts w:cs="Times New Roman"/>
          <w:szCs w:val="24"/>
        </w:rPr>
        <w:t>FINTECH</w:t>
      </w:r>
      <w:r w:rsidR="000C1422">
        <w:rPr>
          <w:rFonts w:cs="Times New Roman"/>
          <w:szCs w:val="24"/>
        </w:rPr>
        <w:t xml:space="preserve"> įmonių apklausa</w:t>
      </w:r>
      <w:r w:rsidR="000C1422">
        <w:rPr>
          <w:rStyle w:val="Puslapioinaosnuoroda"/>
          <w:rFonts w:cs="Times New Roman"/>
          <w:szCs w:val="24"/>
        </w:rPr>
        <w:footnoteReference w:id="1"/>
      </w:r>
      <w:r w:rsidRPr="000C1422">
        <w:rPr>
          <w:rFonts w:cs="Times New Roman"/>
          <w:szCs w:val="24"/>
        </w:rPr>
        <w:t xml:space="preserve"> rodo, kad net 97 proc. </w:t>
      </w:r>
      <w:r w:rsidR="008C3A23">
        <w:rPr>
          <w:rFonts w:cs="Times New Roman"/>
          <w:szCs w:val="24"/>
        </w:rPr>
        <w:t xml:space="preserve">iš </w:t>
      </w:r>
      <w:r w:rsidRPr="000C1422">
        <w:rPr>
          <w:rFonts w:cs="Times New Roman"/>
          <w:szCs w:val="24"/>
        </w:rPr>
        <w:t xml:space="preserve">102 apklaustų </w:t>
      </w:r>
      <w:r w:rsidR="00F463B0" w:rsidRPr="000C1422">
        <w:rPr>
          <w:rFonts w:cs="Times New Roman"/>
          <w:szCs w:val="24"/>
        </w:rPr>
        <w:t>FINTECH</w:t>
      </w:r>
      <w:r w:rsidRPr="000C1422">
        <w:rPr>
          <w:rFonts w:cs="Times New Roman"/>
          <w:szCs w:val="24"/>
        </w:rPr>
        <w:t xml:space="preserve"> įmonių 2020 m. ketina didinti savo darbuotojų skaičių</w:t>
      </w:r>
      <w:r w:rsidR="000B35DB">
        <w:rPr>
          <w:rFonts w:cs="Times New Roman"/>
          <w:szCs w:val="24"/>
        </w:rPr>
        <w:t>,</w:t>
      </w:r>
      <w:r w:rsidRPr="000C1422">
        <w:rPr>
          <w:rFonts w:cs="Times New Roman"/>
          <w:szCs w:val="24"/>
        </w:rPr>
        <w:t xml:space="preserve"> 44 proc. planuoja įdarbinti mažiausiai 5 naujus darbuotojus. </w:t>
      </w:r>
      <w:r w:rsidR="00F463B0" w:rsidRPr="000C1422">
        <w:rPr>
          <w:rFonts w:cs="Times New Roman"/>
          <w:szCs w:val="24"/>
        </w:rPr>
        <w:t>FINTECH</w:t>
      </w:r>
      <w:r w:rsidRPr="000C1422">
        <w:rPr>
          <w:rFonts w:cs="Times New Roman"/>
          <w:szCs w:val="24"/>
        </w:rPr>
        <w:t xml:space="preserve"> įmonės išsiskiria savo </w:t>
      </w:r>
      <w:proofErr w:type="spellStart"/>
      <w:r w:rsidRPr="000C1422">
        <w:rPr>
          <w:rFonts w:cs="Times New Roman"/>
          <w:szCs w:val="24"/>
        </w:rPr>
        <w:t>tarptautiškumu</w:t>
      </w:r>
      <w:proofErr w:type="spellEnd"/>
      <w:r w:rsidRPr="000C1422">
        <w:rPr>
          <w:rFonts w:cs="Times New Roman"/>
          <w:szCs w:val="24"/>
        </w:rPr>
        <w:t xml:space="preserve">. 39 proc. apklaustų </w:t>
      </w:r>
      <w:r w:rsidR="00F463B0" w:rsidRPr="000C1422">
        <w:rPr>
          <w:rFonts w:cs="Times New Roman"/>
          <w:szCs w:val="24"/>
        </w:rPr>
        <w:t>FINTECH</w:t>
      </w:r>
      <w:r w:rsidRPr="000C1422">
        <w:rPr>
          <w:rFonts w:cs="Times New Roman"/>
          <w:szCs w:val="24"/>
        </w:rPr>
        <w:t xml:space="preserve"> įmonių Lietuvoje yra įdarbinusios užsienieči</w:t>
      </w:r>
      <w:r w:rsidR="00A07433">
        <w:rPr>
          <w:rFonts w:cs="Times New Roman"/>
          <w:szCs w:val="24"/>
        </w:rPr>
        <w:t>ų</w:t>
      </w:r>
      <w:r w:rsidRPr="000C1422">
        <w:rPr>
          <w:rFonts w:cs="Times New Roman"/>
          <w:szCs w:val="24"/>
        </w:rPr>
        <w:t xml:space="preserve">, 51 proc. įmonių vadovaujamas pozicijas užima viena ar daugiau moterų, daugiau nei pusėje apklausoje dalyvavusių įmonių 30 proc. darbuotojų yra moterys. Lietuvoje taip pat didėja licencijuotų elektroninių pinigų įstaigų ir mokėjimų įstaigų skaičius. </w:t>
      </w:r>
      <w:r w:rsidR="000B35DB">
        <w:rPr>
          <w:rFonts w:cs="Times New Roman"/>
          <w:szCs w:val="24"/>
        </w:rPr>
        <w:t>2019 m. pabaigoje</w:t>
      </w:r>
      <w:r w:rsidRPr="000C1422">
        <w:rPr>
          <w:rFonts w:cs="Times New Roman"/>
          <w:szCs w:val="24"/>
        </w:rPr>
        <w:t xml:space="preserve"> šalyje veik</w:t>
      </w:r>
      <w:r w:rsidR="000B35DB">
        <w:rPr>
          <w:rFonts w:cs="Times New Roman"/>
          <w:szCs w:val="24"/>
        </w:rPr>
        <w:t>ė</w:t>
      </w:r>
      <w:r w:rsidRPr="000C1422">
        <w:rPr>
          <w:rFonts w:cs="Times New Roman"/>
          <w:szCs w:val="24"/>
        </w:rPr>
        <w:t xml:space="preserve"> 6</w:t>
      </w:r>
      <w:r w:rsidR="000B35DB" w:rsidRPr="00494F98">
        <w:rPr>
          <w:rFonts w:cs="Times New Roman"/>
          <w:szCs w:val="24"/>
        </w:rPr>
        <w:t>7</w:t>
      </w:r>
      <w:r w:rsidRPr="000C1422">
        <w:rPr>
          <w:rFonts w:cs="Times New Roman"/>
          <w:szCs w:val="24"/>
        </w:rPr>
        <w:t xml:space="preserve"> </w:t>
      </w:r>
      <w:r w:rsidR="00C100E7">
        <w:rPr>
          <w:rFonts w:cs="Times New Roman"/>
          <w:szCs w:val="24"/>
        </w:rPr>
        <w:t xml:space="preserve">elektroninių pinigų įstaigos </w:t>
      </w:r>
      <w:r w:rsidRPr="000C1422">
        <w:rPr>
          <w:rFonts w:cs="Times New Roman"/>
          <w:szCs w:val="24"/>
        </w:rPr>
        <w:t xml:space="preserve">ir </w:t>
      </w:r>
      <w:r w:rsidR="000B35DB">
        <w:rPr>
          <w:rFonts w:cs="Times New Roman"/>
          <w:szCs w:val="24"/>
        </w:rPr>
        <w:t xml:space="preserve">48 </w:t>
      </w:r>
      <w:r w:rsidR="00C100E7">
        <w:rPr>
          <w:rFonts w:cs="Times New Roman"/>
          <w:szCs w:val="24"/>
        </w:rPr>
        <w:t>mokėjimų įstaigos</w:t>
      </w:r>
      <w:r w:rsidRPr="000C1422">
        <w:rPr>
          <w:rFonts w:cs="Times New Roman"/>
          <w:szCs w:val="24"/>
        </w:rPr>
        <w:t>, jų</w:t>
      </w:r>
      <w:r w:rsidR="00FB52F7">
        <w:rPr>
          <w:rFonts w:cs="Times New Roman"/>
          <w:szCs w:val="24"/>
        </w:rPr>
        <w:t xml:space="preserve"> mokėjimo operacijų suma sudarė 16,5 mlrd. </w:t>
      </w:r>
      <w:r w:rsidR="00864261">
        <w:rPr>
          <w:rFonts w:cs="Times New Roman"/>
          <w:szCs w:val="24"/>
        </w:rPr>
        <w:t>eurų</w:t>
      </w:r>
      <w:r w:rsidR="00FB52F7">
        <w:rPr>
          <w:rFonts w:cs="Times New Roman"/>
          <w:szCs w:val="24"/>
        </w:rPr>
        <w:t>, o pajamos iš licencinės veiklos siekė 68,6</w:t>
      </w:r>
      <w:r w:rsidR="00864261">
        <w:rPr>
          <w:rFonts w:cs="Times New Roman"/>
          <w:szCs w:val="24"/>
        </w:rPr>
        <w:t> </w:t>
      </w:r>
      <w:r w:rsidR="00FB52F7">
        <w:rPr>
          <w:rFonts w:cs="Times New Roman"/>
          <w:szCs w:val="24"/>
        </w:rPr>
        <w:t xml:space="preserve">mln. </w:t>
      </w:r>
      <w:r w:rsidR="00864261">
        <w:rPr>
          <w:rFonts w:cs="Times New Roman"/>
          <w:szCs w:val="24"/>
        </w:rPr>
        <w:t>eurų</w:t>
      </w:r>
      <w:r w:rsidR="00FB52F7">
        <w:rPr>
          <w:rFonts w:cs="Times New Roman"/>
          <w:szCs w:val="24"/>
        </w:rPr>
        <w:t>.</w:t>
      </w:r>
    </w:p>
    <w:p w:rsidR="008B0A72" w:rsidRPr="000C1422" w:rsidRDefault="008B0A72" w:rsidP="009E1268">
      <w:pPr>
        <w:spacing w:after="0" w:line="300" w:lineRule="atLeast"/>
        <w:ind w:right="282" w:firstLine="567"/>
        <w:jc w:val="both"/>
        <w:rPr>
          <w:rFonts w:cs="Times New Roman"/>
          <w:szCs w:val="24"/>
        </w:rPr>
      </w:pPr>
      <w:r w:rsidRPr="000C1422">
        <w:rPr>
          <w:rFonts w:cs="Times New Roman"/>
          <w:szCs w:val="24"/>
        </w:rPr>
        <w:t>2019 m. buvo surengta 3</w:t>
      </w:r>
      <w:r w:rsidR="00A07433">
        <w:rPr>
          <w:rFonts w:cs="Times New Roman"/>
          <w:szCs w:val="24"/>
        </w:rPr>
        <w:t> </w:t>
      </w:r>
      <w:r w:rsidRPr="000C1422">
        <w:rPr>
          <w:rFonts w:cs="Times New Roman"/>
          <w:szCs w:val="24"/>
        </w:rPr>
        <w:t xml:space="preserve">000 dalyvių iš viso pasaulio pritraukusi </w:t>
      </w:r>
      <w:r w:rsidR="006952C5" w:rsidRPr="000C1422">
        <w:rPr>
          <w:rFonts w:cs="Times New Roman"/>
          <w:szCs w:val="24"/>
        </w:rPr>
        <w:t xml:space="preserve">konferencija </w:t>
      </w:r>
      <w:r w:rsidR="006952C5">
        <w:rPr>
          <w:rFonts w:cs="Times New Roman"/>
          <w:szCs w:val="24"/>
        </w:rPr>
        <w:t>„</w:t>
      </w:r>
      <w:r w:rsidR="00F463B0" w:rsidRPr="000C1422">
        <w:rPr>
          <w:rFonts w:cs="Times New Roman"/>
          <w:szCs w:val="24"/>
        </w:rPr>
        <w:t>FINTECH</w:t>
      </w:r>
      <w:r w:rsidRPr="000C1422">
        <w:rPr>
          <w:rFonts w:cs="Times New Roman"/>
          <w:szCs w:val="24"/>
        </w:rPr>
        <w:t xml:space="preserve"> </w:t>
      </w:r>
      <w:proofErr w:type="spellStart"/>
      <w:r w:rsidRPr="000C1422">
        <w:rPr>
          <w:rFonts w:cs="Times New Roman"/>
          <w:szCs w:val="24"/>
        </w:rPr>
        <w:t>I</w:t>
      </w:r>
      <w:r w:rsidR="006952C5">
        <w:rPr>
          <w:rFonts w:cs="Times New Roman"/>
          <w:szCs w:val="24"/>
        </w:rPr>
        <w:t>nn</w:t>
      </w:r>
      <w:proofErr w:type="spellEnd"/>
      <w:r w:rsidR="006952C5">
        <w:rPr>
          <w:rFonts w:cs="Times New Roman"/>
          <w:szCs w:val="24"/>
        </w:rPr>
        <w:t>“</w:t>
      </w:r>
      <w:r w:rsidRPr="000C1422">
        <w:rPr>
          <w:rFonts w:cs="Times New Roman"/>
          <w:szCs w:val="24"/>
        </w:rPr>
        <w:t xml:space="preserve">, </w:t>
      </w:r>
      <w:r w:rsidR="006952C5">
        <w:rPr>
          <w:rFonts w:cs="Times New Roman"/>
          <w:szCs w:val="24"/>
        </w:rPr>
        <w:t>su</w:t>
      </w:r>
      <w:r w:rsidRPr="000C1422">
        <w:rPr>
          <w:rFonts w:cs="Times New Roman"/>
          <w:szCs w:val="24"/>
        </w:rPr>
        <w:t>organizuotas Kinijos – Centrinės ir Rytų Europos valstybių formato (toliau – 17</w:t>
      </w:r>
      <w:r w:rsidR="00210ABC">
        <w:rPr>
          <w:rFonts w:cs="Times New Roman"/>
          <w:szCs w:val="24"/>
        </w:rPr>
        <w:t xml:space="preserve"> </w:t>
      </w:r>
      <w:r w:rsidRPr="000C1422">
        <w:rPr>
          <w:rFonts w:cs="Times New Roman"/>
          <w:szCs w:val="24"/>
        </w:rPr>
        <w:t>+</w:t>
      </w:r>
      <w:r w:rsidR="00210ABC">
        <w:rPr>
          <w:rFonts w:cs="Times New Roman"/>
          <w:szCs w:val="24"/>
        </w:rPr>
        <w:t xml:space="preserve"> </w:t>
      </w:r>
      <w:r w:rsidRPr="000C1422">
        <w:rPr>
          <w:rFonts w:cs="Times New Roman"/>
          <w:szCs w:val="24"/>
        </w:rPr>
        <w:t xml:space="preserve">1) aukšto lygio </w:t>
      </w:r>
      <w:r w:rsidR="00F463B0" w:rsidRPr="000C1422">
        <w:rPr>
          <w:rFonts w:cs="Times New Roman"/>
          <w:szCs w:val="24"/>
        </w:rPr>
        <w:t>FINTECH</w:t>
      </w:r>
      <w:r w:rsidRPr="000C1422">
        <w:rPr>
          <w:rFonts w:cs="Times New Roman"/>
          <w:szCs w:val="24"/>
        </w:rPr>
        <w:t xml:space="preserve"> forumas, įsteigtas </w:t>
      </w:r>
      <w:r w:rsidR="000C1422">
        <w:rPr>
          <w:rFonts w:cs="Times New Roman"/>
          <w:szCs w:val="24"/>
        </w:rPr>
        <w:t>skaitmeninis</w:t>
      </w:r>
      <w:r w:rsidRPr="000C1422">
        <w:rPr>
          <w:rFonts w:cs="Times New Roman"/>
          <w:szCs w:val="24"/>
        </w:rPr>
        <w:t xml:space="preserve"> 17</w:t>
      </w:r>
      <w:r w:rsidR="00210ABC">
        <w:rPr>
          <w:rFonts w:cs="Times New Roman"/>
          <w:szCs w:val="24"/>
        </w:rPr>
        <w:t xml:space="preserve"> </w:t>
      </w:r>
      <w:r w:rsidRPr="000C1422">
        <w:rPr>
          <w:rFonts w:cs="Times New Roman"/>
          <w:szCs w:val="24"/>
        </w:rPr>
        <w:t>+</w:t>
      </w:r>
      <w:r w:rsidR="00210ABC">
        <w:rPr>
          <w:rFonts w:cs="Times New Roman"/>
          <w:szCs w:val="24"/>
        </w:rPr>
        <w:t xml:space="preserve"> </w:t>
      </w:r>
      <w:r w:rsidRPr="000C1422">
        <w:rPr>
          <w:rFonts w:cs="Times New Roman"/>
          <w:szCs w:val="24"/>
        </w:rPr>
        <w:t xml:space="preserve">1 </w:t>
      </w:r>
      <w:r w:rsidR="00F463B0" w:rsidRPr="000C1422">
        <w:rPr>
          <w:rFonts w:cs="Times New Roman"/>
          <w:szCs w:val="24"/>
        </w:rPr>
        <w:t>FINTECH</w:t>
      </w:r>
      <w:r w:rsidRPr="000C1422">
        <w:rPr>
          <w:rFonts w:cs="Times New Roman"/>
          <w:szCs w:val="24"/>
        </w:rPr>
        <w:t xml:space="preserve"> koordinavimo centras. Vilnius buvo įtrauktas į du reikšmingus tarptautinius finansinių centrų reitingus (</w:t>
      </w:r>
      <w:r w:rsidR="00F463B0" w:rsidRPr="007170E4">
        <w:rPr>
          <w:rFonts w:cs="Times New Roman"/>
          <w:i/>
          <w:szCs w:val="24"/>
        </w:rPr>
        <w:t>FINTECH</w:t>
      </w:r>
      <w:r w:rsidRPr="007170E4">
        <w:rPr>
          <w:rFonts w:cs="Times New Roman"/>
          <w:i/>
          <w:szCs w:val="24"/>
        </w:rPr>
        <w:t xml:space="preserve"> </w:t>
      </w:r>
      <w:proofErr w:type="spellStart"/>
      <w:r w:rsidRPr="007170E4">
        <w:rPr>
          <w:rFonts w:cs="Times New Roman"/>
          <w:i/>
          <w:szCs w:val="24"/>
        </w:rPr>
        <w:t>Locations</w:t>
      </w:r>
      <w:proofErr w:type="spellEnd"/>
      <w:r w:rsidRPr="007170E4">
        <w:rPr>
          <w:rFonts w:cs="Times New Roman"/>
          <w:i/>
          <w:szCs w:val="24"/>
        </w:rPr>
        <w:t xml:space="preserve"> </w:t>
      </w:r>
      <w:proofErr w:type="spellStart"/>
      <w:r w:rsidRPr="007170E4">
        <w:rPr>
          <w:rFonts w:cs="Times New Roman"/>
          <w:i/>
          <w:szCs w:val="24"/>
        </w:rPr>
        <w:t>of</w:t>
      </w:r>
      <w:proofErr w:type="spellEnd"/>
      <w:r w:rsidRPr="007170E4">
        <w:rPr>
          <w:rFonts w:cs="Times New Roman"/>
          <w:i/>
          <w:szCs w:val="24"/>
        </w:rPr>
        <w:t xml:space="preserve"> </w:t>
      </w:r>
      <w:proofErr w:type="spellStart"/>
      <w:r w:rsidRPr="007170E4">
        <w:rPr>
          <w:rFonts w:cs="Times New Roman"/>
          <w:i/>
          <w:szCs w:val="24"/>
        </w:rPr>
        <w:t>the</w:t>
      </w:r>
      <w:proofErr w:type="spellEnd"/>
      <w:r w:rsidRPr="007170E4">
        <w:rPr>
          <w:rFonts w:cs="Times New Roman"/>
          <w:i/>
          <w:szCs w:val="24"/>
        </w:rPr>
        <w:t xml:space="preserve"> </w:t>
      </w:r>
      <w:proofErr w:type="spellStart"/>
      <w:r w:rsidRPr="007170E4">
        <w:rPr>
          <w:rFonts w:cs="Times New Roman"/>
          <w:i/>
          <w:szCs w:val="24"/>
        </w:rPr>
        <w:t>Future</w:t>
      </w:r>
      <w:proofErr w:type="spellEnd"/>
      <w:r w:rsidRPr="007170E4">
        <w:rPr>
          <w:rFonts w:cs="Times New Roman"/>
          <w:i/>
          <w:szCs w:val="24"/>
        </w:rPr>
        <w:t xml:space="preserve"> 2019/20</w:t>
      </w:r>
      <w:r w:rsidRPr="000C1422">
        <w:rPr>
          <w:rFonts w:cs="Times New Roman"/>
          <w:szCs w:val="24"/>
        </w:rPr>
        <w:t xml:space="preserve"> </w:t>
      </w:r>
      <w:r w:rsidR="002C2AE8">
        <w:rPr>
          <w:rFonts w:cs="Times New Roman"/>
          <w:szCs w:val="24"/>
        </w:rPr>
        <w:t>–</w:t>
      </w:r>
      <w:r w:rsidRPr="000C1422">
        <w:rPr>
          <w:rFonts w:cs="Times New Roman"/>
          <w:szCs w:val="24"/>
        </w:rPr>
        <w:t xml:space="preserve"> 7 vieta pagal tiesioginių užsienio investicijų pritraukimą, 1 </w:t>
      </w:r>
      <w:r w:rsidRPr="000C1422">
        <w:rPr>
          <w:rFonts w:cs="Times New Roman"/>
          <w:szCs w:val="24"/>
        </w:rPr>
        <w:lastRenderedPageBreak/>
        <w:t xml:space="preserve">vieta pagal ekonominį efektyvumą; </w:t>
      </w:r>
      <w:proofErr w:type="spellStart"/>
      <w:r w:rsidRPr="007170E4">
        <w:rPr>
          <w:rFonts w:cs="Times New Roman"/>
          <w:i/>
          <w:szCs w:val="24"/>
        </w:rPr>
        <w:t>The</w:t>
      </w:r>
      <w:proofErr w:type="spellEnd"/>
      <w:r w:rsidRPr="007170E4">
        <w:rPr>
          <w:rFonts w:cs="Times New Roman"/>
          <w:i/>
          <w:szCs w:val="24"/>
        </w:rPr>
        <w:t xml:space="preserve"> </w:t>
      </w:r>
      <w:proofErr w:type="spellStart"/>
      <w:r w:rsidRPr="007170E4">
        <w:rPr>
          <w:rFonts w:cs="Times New Roman"/>
          <w:i/>
          <w:szCs w:val="24"/>
        </w:rPr>
        <w:t>Global</w:t>
      </w:r>
      <w:proofErr w:type="spellEnd"/>
      <w:r w:rsidRPr="007170E4">
        <w:rPr>
          <w:rFonts w:cs="Times New Roman"/>
          <w:i/>
          <w:szCs w:val="24"/>
        </w:rPr>
        <w:t xml:space="preserve"> </w:t>
      </w:r>
      <w:r w:rsidR="00F463B0" w:rsidRPr="007170E4">
        <w:rPr>
          <w:rFonts w:cs="Times New Roman"/>
          <w:i/>
          <w:szCs w:val="24"/>
        </w:rPr>
        <w:t>FINTECH</w:t>
      </w:r>
      <w:r w:rsidRPr="007170E4">
        <w:rPr>
          <w:rFonts w:cs="Times New Roman"/>
          <w:i/>
          <w:szCs w:val="24"/>
        </w:rPr>
        <w:t xml:space="preserve"> </w:t>
      </w:r>
      <w:proofErr w:type="spellStart"/>
      <w:r w:rsidRPr="007170E4">
        <w:rPr>
          <w:rFonts w:cs="Times New Roman"/>
          <w:i/>
          <w:szCs w:val="24"/>
        </w:rPr>
        <w:t>Index</w:t>
      </w:r>
      <w:proofErr w:type="spellEnd"/>
      <w:r w:rsidRPr="000C1422">
        <w:rPr>
          <w:rFonts w:cs="Times New Roman"/>
          <w:szCs w:val="24"/>
        </w:rPr>
        <w:t xml:space="preserve"> – 4 vieta pasaulyje). Taip pat daug dėmesio buvo skiriama </w:t>
      </w:r>
      <w:proofErr w:type="spellStart"/>
      <w:r w:rsidRPr="000C1422">
        <w:rPr>
          <w:rFonts w:cs="Times New Roman"/>
          <w:szCs w:val="24"/>
        </w:rPr>
        <w:t>rizikų</w:t>
      </w:r>
      <w:proofErr w:type="spellEnd"/>
      <w:r w:rsidRPr="000C1422">
        <w:rPr>
          <w:rFonts w:cs="Times New Roman"/>
          <w:szCs w:val="24"/>
        </w:rPr>
        <w:t xml:space="preserve"> (galimo pinigų plovimo, terorizmo finansavimo, pažeidimų, susijusių su vartotojų apsauga, kibernetinių atakų) valdymui – tarp </w:t>
      </w:r>
      <w:r w:rsidR="00E5173E">
        <w:rPr>
          <w:rFonts w:cs="Times New Roman"/>
          <w:szCs w:val="24"/>
        </w:rPr>
        <w:t>9</w:t>
      </w:r>
      <w:r w:rsidRPr="000C1422">
        <w:rPr>
          <w:rFonts w:cs="Times New Roman"/>
          <w:szCs w:val="24"/>
        </w:rPr>
        <w:t xml:space="preserve"> institucijų</w:t>
      </w:r>
      <w:r w:rsidR="00E5173E">
        <w:rPr>
          <w:rFonts w:cs="Times New Roman"/>
          <w:szCs w:val="24"/>
        </w:rPr>
        <w:t xml:space="preserve"> (Finansų ministerijos, Vidaus reikalų ministerijos, Lietuvos banko, Specialiųjų tyrimų tarnybos, Finansinių nusikaltimų tyrimo tarnybos, Lietuvos policijos generalinio komisariato, Valstybinės mokesčių inspekcijos, Valstybinės duomenų apsaugos inspekcijos ir </w:t>
      </w:r>
      <w:r w:rsidR="00864261">
        <w:rPr>
          <w:rFonts w:cs="Times New Roman"/>
          <w:szCs w:val="24"/>
        </w:rPr>
        <w:t>valstybės įmonės</w:t>
      </w:r>
      <w:r w:rsidR="00E5173E">
        <w:rPr>
          <w:rFonts w:cs="Times New Roman"/>
          <w:szCs w:val="24"/>
        </w:rPr>
        <w:t xml:space="preserve"> „Indėlių ir investicijų draudimas“)</w:t>
      </w:r>
      <w:r w:rsidRPr="000C1422">
        <w:rPr>
          <w:rFonts w:cs="Times New Roman"/>
          <w:szCs w:val="24"/>
        </w:rPr>
        <w:t xml:space="preserve"> pasirašytas memorandumas dėl bendradarbiavimo ir keitimosi informacija valdant </w:t>
      </w:r>
      <w:proofErr w:type="spellStart"/>
      <w:r w:rsidRPr="000C1422">
        <w:rPr>
          <w:rFonts w:cs="Times New Roman"/>
          <w:szCs w:val="24"/>
        </w:rPr>
        <w:t>rizikas</w:t>
      </w:r>
      <w:proofErr w:type="spellEnd"/>
      <w:r w:rsidRPr="000C1422">
        <w:rPr>
          <w:rFonts w:cs="Times New Roman"/>
          <w:szCs w:val="24"/>
        </w:rPr>
        <w:t xml:space="preserve"> finansinių inovacijų ir finansinių technologijų srityje, priimti Lietuvos Respublikos pinigų plovimo ir teroristų finansavimo prevencijos įstatymo pakeitimai, kuriais, be kita ko, į įstatymo taikymo apimtį įtraukti virtualiųjų valiutų keitykl</w:t>
      </w:r>
      <w:r w:rsidR="001C73F2">
        <w:rPr>
          <w:rFonts w:cs="Times New Roman"/>
          <w:szCs w:val="24"/>
        </w:rPr>
        <w:t>ų</w:t>
      </w:r>
      <w:r w:rsidRPr="000C1422">
        <w:rPr>
          <w:rFonts w:cs="Times New Roman"/>
          <w:szCs w:val="24"/>
        </w:rPr>
        <w:t xml:space="preserve"> operatoriai, </w:t>
      </w:r>
      <w:r w:rsidR="001C73F2">
        <w:rPr>
          <w:rFonts w:cs="Times New Roman"/>
          <w:szCs w:val="24"/>
        </w:rPr>
        <w:t xml:space="preserve">depozitinių virtualiųjų valiutų piniginių operatoriai, taip pat </w:t>
      </w:r>
      <w:r w:rsidRPr="000C1422">
        <w:rPr>
          <w:rFonts w:cs="Times New Roman"/>
          <w:szCs w:val="24"/>
        </w:rPr>
        <w:t xml:space="preserve">pirminį virtualiosios valiutos siūlymą (ICO) vykdantys asmenys, siekiant užtikrinti jų veiklos teisinį aiškumą, skaidrumą ir efektyvią pinigų plovimo ir terorizmo finansavimo prevenciją. </w:t>
      </w:r>
    </w:p>
    <w:p w:rsidR="008B0A72" w:rsidRDefault="008B0A72" w:rsidP="009E1268">
      <w:pPr>
        <w:spacing w:after="0" w:line="300" w:lineRule="atLeast"/>
        <w:ind w:right="282" w:firstLine="567"/>
        <w:jc w:val="both"/>
        <w:rPr>
          <w:rFonts w:cs="Times New Roman"/>
          <w:szCs w:val="24"/>
        </w:rPr>
      </w:pPr>
      <w:r w:rsidRPr="000C1422">
        <w:rPr>
          <w:rFonts w:cs="Times New Roman"/>
          <w:szCs w:val="24"/>
        </w:rPr>
        <w:t xml:space="preserve">Siekiant skatinti mokėjimo paslaugų plėtrą, konkurenciją, inovacijas mokėjimo paslaugų srityje ir kartu užtikrinti geresnę šių paslaugų vartotojų apsaugą, 2019 m. tęsiant Mokėjimų tarybos, įsteigtos Lietuvos banko ir </w:t>
      </w:r>
      <w:r w:rsidR="00A07433">
        <w:rPr>
          <w:rFonts w:cs="Times New Roman"/>
          <w:szCs w:val="24"/>
        </w:rPr>
        <w:t>Lietuvos Respublikos f</w:t>
      </w:r>
      <w:r w:rsidRPr="000C1422">
        <w:rPr>
          <w:rFonts w:cs="Times New Roman"/>
          <w:szCs w:val="24"/>
        </w:rPr>
        <w:t>inansų ministerijos iniciatyva, remiantis gerąja kitų šalių praktika, darbus, buvo pateiktos rekomendacijos dėl momentinių mokėjimų integracijos į verslo ir viešojo administravimo procesus, kliento pažinimo proceso optimizavimo galimybes, taip pat atlikta naujų tapatybės patvirtinimo priemonių galimybių ir atitikties pinigų plovimo prevencijos tikslams analizė. Kartu buvo inicijuotos atvirosios bankininkystės plėtros ir atvirosios ekosistemos atsiskaitymams negrynaisiais pinigais ugdymo įstaigose skatinančių priemonių kūrimo analizės, kurių rezultatai bus paskelbti 2020 m.</w:t>
      </w:r>
    </w:p>
    <w:p w:rsidR="00632C86" w:rsidRPr="000C1422" w:rsidRDefault="00632C86" w:rsidP="009E1268">
      <w:pPr>
        <w:spacing w:after="0" w:line="300" w:lineRule="atLeast"/>
        <w:ind w:right="282" w:firstLine="567"/>
        <w:jc w:val="both"/>
        <w:rPr>
          <w:rFonts w:cs="Times New Roman"/>
          <w:szCs w:val="24"/>
        </w:rPr>
      </w:pPr>
    </w:p>
    <w:p w:rsidR="008B0A72" w:rsidRDefault="00D9484B" w:rsidP="009E1268">
      <w:pPr>
        <w:pStyle w:val="Sraopastraipa"/>
        <w:numPr>
          <w:ilvl w:val="0"/>
          <w:numId w:val="6"/>
        </w:numPr>
        <w:spacing w:after="0" w:line="300" w:lineRule="atLeast"/>
        <w:ind w:left="0" w:right="282" w:firstLine="567"/>
        <w:jc w:val="both"/>
        <w:rPr>
          <w:rFonts w:cs="Times New Roman"/>
          <w:b/>
          <w:szCs w:val="24"/>
        </w:rPr>
      </w:pPr>
      <w:r w:rsidRPr="000C1422">
        <w:rPr>
          <w:rFonts w:cs="Times New Roman"/>
          <w:b/>
          <w:szCs w:val="24"/>
        </w:rPr>
        <w:t xml:space="preserve">2019 m. </w:t>
      </w:r>
      <w:r w:rsidR="00F463B0" w:rsidRPr="000C1422">
        <w:rPr>
          <w:rFonts w:cs="Times New Roman"/>
          <w:b/>
          <w:szCs w:val="24"/>
        </w:rPr>
        <w:t>FINTECH</w:t>
      </w:r>
      <w:r w:rsidR="008B0A72" w:rsidRPr="000C1422">
        <w:rPr>
          <w:rFonts w:cs="Times New Roman"/>
          <w:b/>
          <w:szCs w:val="24"/>
        </w:rPr>
        <w:t xml:space="preserve"> industrijos plėtros Lietuvoje veiksmų plano priemonių įgyvendinimas</w:t>
      </w:r>
    </w:p>
    <w:p w:rsidR="00632C86" w:rsidRPr="00632C86" w:rsidRDefault="00632C86" w:rsidP="009E1268">
      <w:pPr>
        <w:spacing w:after="0" w:line="300" w:lineRule="atLeast"/>
        <w:ind w:right="282"/>
        <w:jc w:val="both"/>
        <w:rPr>
          <w:rFonts w:cs="Times New Roman"/>
          <w:b/>
          <w:szCs w:val="24"/>
        </w:rPr>
      </w:pPr>
    </w:p>
    <w:p w:rsidR="008B0A72" w:rsidRPr="000C1422" w:rsidRDefault="00D9484B" w:rsidP="009E1268">
      <w:pPr>
        <w:spacing w:after="0" w:line="300" w:lineRule="atLeast"/>
        <w:ind w:right="282" w:firstLine="567"/>
        <w:jc w:val="both"/>
        <w:rPr>
          <w:rFonts w:cs="Times New Roman"/>
          <w:szCs w:val="24"/>
        </w:rPr>
      </w:pPr>
      <w:r w:rsidRPr="000C1422">
        <w:rPr>
          <w:rFonts w:cs="Times New Roman"/>
          <w:szCs w:val="24"/>
        </w:rPr>
        <w:t xml:space="preserve">2019 m. plane buvo numatytos 6 užduotys: </w:t>
      </w:r>
    </w:p>
    <w:p w:rsidR="00D9484B" w:rsidRPr="000C1422" w:rsidRDefault="00D9484B" w:rsidP="009E1268">
      <w:pPr>
        <w:spacing w:after="0" w:line="300" w:lineRule="atLeast"/>
        <w:ind w:right="282" w:firstLine="567"/>
        <w:jc w:val="both"/>
        <w:rPr>
          <w:rFonts w:cs="Times New Roman"/>
          <w:b/>
          <w:szCs w:val="24"/>
        </w:rPr>
      </w:pPr>
      <w:r w:rsidRPr="000C1422">
        <w:rPr>
          <w:rFonts w:cs="Times New Roman"/>
          <w:b/>
          <w:szCs w:val="24"/>
        </w:rPr>
        <w:t xml:space="preserve">1 užduotis. </w:t>
      </w:r>
      <w:r w:rsidRPr="000C1422">
        <w:rPr>
          <w:rFonts w:cs="Times New Roman"/>
          <w:szCs w:val="24"/>
        </w:rPr>
        <w:t xml:space="preserve">Sutelkti institucijų veiksmus, siekiant plėtoti </w:t>
      </w:r>
      <w:r w:rsidR="00F463B0" w:rsidRPr="000C1422">
        <w:rPr>
          <w:rFonts w:cs="Times New Roman"/>
          <w:szCs w:val="24"/>
        </w:rPr>
        <w:t>FINTECH</w:t>
      </w:r>
      <w:r w:rsidRPr="000C1422">
        <w:rPr>
          <w:rFonts w:cs="Times New Roman"/>
          <w:szCs w:val="24"/>
        </w:rPr>
        <w:t xml:space="preserve"> įmonėms palankią aplinką</w:t>
      </w:r>
      <w:r w:rsidR="000C1422">
        <w:rPr>
          <w:rFonts w:cs="Times New Roman"/>
          <w:szCs w:val="24"/>
        </w:rPr>
        <w:t>.</w:t>
      </w:r>
    </w:p>
    <w:p w:rsidR="00D9484B" w:rsidRPr="000C1422" w:rsidRDefault="00D9484B" w:rsidP="009E1268">
      <w:pPr>
        <w:spacing w:after="0" w:line="300" w:lineRule="atLeast"/>
        <w:ind w:right="282" w:firstLine="567"/>
        <w:jc w:val="both"/>
        <w:rPr>
          <w:szCs w:val="24"/>
        </w:rPr>
      </w:pPr>
      <w:r w:rsidRPr="000C1422">
        <w:rPr>
          <w:rFonts w:cs="Times New Roman"/>
          <w:b/>
          <w:szCs w:val="24"/>
        </w:rPr>
        <w:t>2</w:t>
      </w:r>
      <w:r w:rsidR="001F3E5F" w:rsidRPr="000C1422">
        <w:rPr>
          <w:rFonts w:cs="Times New Roman"/>
          <w:b/>
          <w:szCs w:val="24"/>
        </w:rPr>
        <w:t xml:space="preserve"> u</w:t>
      </w:r>
      <w:r w:rsidRPr="000C1422">
        <w:rPr>
          <w:rFonts w:cs="Times New Roman"/>
          <w:b/>
          <w:szCs w:val="24"/>
        </w:rPr>
        <w:t xml:space="preserve">žduotis. </w:t>
      </w:r>
      <w:r w:rsidRPr="000C1422">
        <w:rPr>
          <w:rFonts w:cs="Times New Roman"/>
          <w:szCs w:val="24"/>
        </w:rPr>
        <w:t>Populiarinti Lietuvos jurisdikciją tikslinėse rinkose ir</w:t>
      </w:r>
      <w:r w:rsidRPr="000C1422">
        <w:rPr>
          <w:szCs w:val="24"/>
        </w:rPr>
        <w:t xml:space="preserve"> sudaryti užsienio įmonių veikimo sąlygas</w:t>
      </w:r>
      <w:r w:rsidR="000C1422">
        <w:rPr>
          <w:szCs w:val="24"/>
        </w:rPr>
        <w:t>.</w:t>
      </w:r>
    </w:p>
    <w:p w:rsidR="00D9484B" w:rsidRPr="000C1422" w:rsidRDefault="00D9484B" w:rsidP="009E1268">
      <w:pPr>
        <w:spacing w:after="0" w:line="300" w:lineRule="atLeast"/>
        <w:ind w:right="282" w:firstLine="567"/>
        <w:jc w:val="both"/>
        <w:rPr>
          <w:b/>
          <w:szCs w:val="24"/>
        </w:rPr>
      </w:pPr>
      <w:r w:rsidRPr="000C1422">
        <w:rPr>
          <w:b/>
          <w:szCs w:val="24"/>
        </w:rPr>
        <w:t xml:space="preserve">3 užduotis. </w:t>
      </w:r>
      <w:r w:rsidRPr="000C1422">
        <w:rPr>
          <w:szCs w:val="24"/>
        </w:rPr>
        <w:t xml:space="preserve">Didinti </w:t>
      </w:r>
      <w:r w:rsidR="00F463B0" w:rsidRPr="000C1422">
        <w:rPr>
          <w:szCs w:val="24"/>
        </w:rPr>
        <w:t>FINTECH</w:t>
      </w:r>
      <w:r w:rsidRPr="000C1422">
        <w:rPr>
          <w:szCs w:val="24"/>
        </w:rPr>
        <w:t xml:space="preserve"> žinomumą ir naudojimą</w:t>
      </w:r>
      <w:r w:rsidR="000C1422">
        <w:rPr>
          <w:szCs w:val="24"/>
        </w:rPr>
        <w:t>.</w:t>
      </w:r>
    </w:p>
    <w:p w:rsidR="00D9484B" w:rsidRPr="000C1422" w:rsidRDefault="00D9484B" w:rsidP="009E1268">
      <w:pPr>
        <w:spacing w:after="0" w:line="300" w:lineRule="atLeast"/>
        <w:ind w:right="282" w:firstLine="567"/>
        <w:jc w:val="both"/>
        <w:rPr>
          <w:b/>
          <w:szCs w:val="24"/>
        </w:rPr>
      </w:pPr>
      <w:r w:rsidRPr="000C1422">
        <w:rPr>
          <w:b/>
          <w:szCs w:val="24"/>
        </w:rPr>
        <w:t>4 užduotis</w:t>
      </w:r>
      <w:r w:rsidRPr="000C1422">
        <w:rPr>
          <w:szCs w:val="24"/>
        </w:rPr>
        <w:t>. Užtikrinti kapitalo pasiūlą įmonėms kiekviename jų plėtros etape</w:t>
      </w:r>
      <w:r w:rsidR="000C1422">
        <w:rPr>
          <w:szCs w:val="24"/>
        </w:rPr>
        <w:t>.</w:t>
      </w:r>
    </w:p>
    <w:p w:rsidR="00D9484B" w:rsidRPr="000C1422" w:rsidRDefault="00D9484B" w:rsidP="009E1268">
      <w:pPr>
        <w:spacing w:after="0" w:line="300" w:lineRule="atLeast"/>
        <w:ind w:right="282" w:firstLine="567"/>
        <w:jc w:val="both"/>
        <w:rPr>
          <w:b/>
          <w:szCs w:val="24"/>
        </w:rPr>
      </w:pPr>
      <w:r w:rsidRPr="000C1422">
        <w:rPr>
          <w:b/>
          <w:szCs w:val="24"/>
        </w:rPr>
        <w:t xml:space="preserve">5 užduotis. </w:t>
      </w:r>
      <w:r w:rsidRPr="000C1422">
        <w:rPr>
          <w:szCs w:val="24"/>
        </w:rPr>
        <w:t>Užtikrinti tinkamos darbo jėgos rengimą Lietuvoje</w:t>
      </w:r>
      <w:r w:rsidR="000C1422">
        <w:rPr>
          <w:szCs w:val="24"/>
        </w:rPr>
        <w:t>.</w:t>
      </w:r>
    </w:p>
    <w:p w:rsidR="00D9484B" w:rsidRPr="000C1422" w:rsidRDefault="001F3E5F" w:rsidP="009E1268">
      <w:pPr>
        <w:spacing w:after="0" w:line="300" w:lineRule="atLeast"/>
        <w:ind w:right="282" w:firstLine="567"/>
        <w:jc w:val="both"/>
        <w:rPr>
          <w:szCs w:val="24"/>
        </w:rPr>
      </w:pPr>
      <w:r w:rsidRPr="000C1422">
        <w:rPr>
          <w:b/>
          <w:szCs w:val="24"/>
        </w:rPr>
        <w:t xml:space="preserve">6 </w:t>
      </w:r>
      <w:r w:rsidR="00D9484B" w:rsidRPr="000C1422">
        <w:rPr>
          <w:b/>
          <w:szCs w:val="24"/>
        </w:rPr>
        <w:t xml:space="preserve">užduotis. </w:t>
      </w:r>
      <w:r w:rsidR="00D9484B" w:rsidRPr="000C1422">
        <w:rPr>
          <w:szCs w:val="24"/>
        </w:rPr>
        <w:t xml:space="preserve">Skatinti Lietuvoje įsikūrusių </w:t>
      </w:r>
      <w:r w:rsidR="00F463B0" w:rsidRPr="000C1422">
        <w:rPr>
          <w:szCs w:val="24"/>
        </w:rPr>
        <w:t>FINTECH</w:t>
      </w:r>
      <w:r w:rsidR="00D9484B" w:rsidRPr="000C1422">
        <w:rPr>
          <w:szCs w:val="24"/>
        </w:rPr>
        <w:t xml:space="preserve"> sektoriaus įmonių paslaugų ir produktų eksportą į užsienio rinkas</w:t>
      </w:r>
      <w:r w:rsidR="000C1422">
        <w:rPr>
          <w:szCs w:val="24"/>
        </w:rPr>
        <w:t>.</w:t>
      </w:r>
    </w:p>
    <w:p w:rsidR="00BF058D" w:rsidRPr="000C1422" w:rsidRDefault="00BF058D" w:rsidP="009E1268">
      <w:pPr>
        <w:spacing w:after="0" w:line="300" w:lineRule="atLeast"/>
        <w:ind w:right="282" w:firstLine="567"/>
        <w:jc w:val="both"/>
        <w:rPr>
          <w:b/>
          <w:szCs w:val="24"/>
        </w:rPr>
      </w:pPr>
    </w:p>
    <w:p w:rsidR="002646D0" w:rsidRDefault="00632C86" w:rsidP="009E1268">
      <w:pPr>
        <w:spacing w:after="0" w:line="300" w:lineRule="atLeast"/>
        <w:ind w:right="282" w:firstLine="567"/>
        <w:jc w:val="both"/>
        <w:rPr>
          <w:szCs w:val="24"/>
        </w:rPr>
      </w:pPr>
      <w:r>
        <w:rPr>
          <w:szCs w:val="24"/>
        </w:rPr>
        <w:t>FINTECH p</w:t>
      </w:r>
      <w:r w:rsidR="00D9484B" w:rsidRPr="000C1422">
        <w:rPr>
          <w:szCs w:val="24"/>
        </w:rPr>
        <w:t xml:space="preserve">riemonių plane iš viso buvo numatytos 42 priemonės. 2019 m. </w:t>
      </w:r>
      <w:r w:rsidR="000C1422" w:rsidRPr="000C1422">
        <w:rPr>
          <w:szCs w:val="24"/>
        </w:rPr>
        <w:t xml:space="preserve">buvo įgyvendinta 41 priemonė, </w:t>
      </w:r>
      <w:r w:rsidR="000C1422">
        <w:rPr>
          <w:szCs w:val="24"/>
        </w:rPr>
        <w:t xml:space="preserve">1 </w:t>
      </w:r>
      <w:r w:rsidR="000C1422" w:rsidRPr="000C1422">
        <w:rPr>
          <w:szCs w:val="24"/>
        </w:rPr>
        <w:t>priemonė</w:t>
      </w:r>
      <w:r w:rsidR="00D9484B" w:rsidRPr="000C1422">
        <w:rPr>
          <w:szCs w:val="24"/>
        </w:rPr>
        <w:t xml:space="preserve"> neįgyv</w:t>
      </w:r>
      <w:r w:rsidR="000C1422" w:rsidRPr="000C1422">
        <w:rPr>
          <w:szCs w:val="24"/>
        </w:rPr>
        <w:t>endinta</w:t>
      </w:r>
      <w:r w:rsidR="00D9484B" w:rsidRPr="000C1422">
        <w:rPr>
          <w:szCs w:val="24"/>
        </w:rPr>
        <w:t>. 2019 m. nepavyko įteisinti vairuotojo pažymėjimo naudojimo kliento tapatyb</w:t>
      </w:r>
      <w:r w:rsidR="00511D50">
        <w:rPr>
          <w:szCs w:val="24"/>
        </w:rPr>
        <w:t>ei nustatyti</w:t>
      </w:r>
      <w:r w:rsidR="00D9484B" w:rsidRPr="000C1422">
        <w:rPr>
          <w:szCs w:val="24"/>
        </w:rPr>
        <w:t xml:space="preserve">. </w:t>
      </w:r>
      <w:r w:rsidR="00F463B0" w:rsidRPr="000C1422">
        <w:rPr>
          <w:szCs w:val="24"/>
        </w:rPr>
        <w:t>FINTECH</w:t>
      </w:r>
      <w:r w:rsidR="00D9484B" w:rsidRPr="000C1422">
        <w:rPr>
          <w:szCs w:val="24"/>
        </w:rPr>
        <w:t xml:space="preserve"> darbo grupė </w:t>
      </w:r>
      <w:r w:rsidR="000C1422" w:rsidRPr="000C1422">
        <w:rPr>
          <w:szCs w:val="24"/>
        </w:rPr>
        <w:t>šią priemonę</w:t>
      </w:r>
      <w:r w:rsidR="00D9484B" w:rsidRPr="000C1422">
        <w:rPr>
          <w:szCs w:val="24"/>
        </w:rPr>
        <w:t xml:space="preserve"> nusprendė tęsti 2020 m. Išsamus </w:t>
      </w:r>
      <w:r>
        <w:rPr>
          <w:szCs w:val="24"/>
        </w:rPr>
        <w:t>FINTECH p</w:t>
      </w:r>
      <w:r w:rsidR="00D9484B" w:rsidRPr="000C1422">
        <w:rPr>
          <w:szCs w:val="24"/>
        </w:rPr>
        <w:t xml:space="preserve">riemonių plano </w:t>
      </w:r>
      <w:r w:rsidR="00016ECA">
        <w:rPr>
          <w:szCs w:val="24"/>
        </w:rPr>
        <w:t xml:space="preserve">įgyvendinimo </w:t>
      </w:r>
      <w:r w:rsidR="00D9484B" w:rsidRPr="000C1422">
        <w:rPr>
          <w:szCs w:val="24"/>
        </w:rPr>
        <w:t xml:space="preserve">rezultatų aprašymas pateikiamas </w:t>
      </w:r>
      <w:r w:rsidR="00AB40ED">
        <w:rPr>
          <w:szCs w:val="24"/>
        </w:rPr>
        <w:t xml:space="preserve">šios ataskaitos </w:t>
      </w:r>
      <w:r w:rsidR="00D9484B" w:rsidRPr="000C1422">
        <w:rPr>
          <w:szCs w:val="24"/>
        </w:rPr>
        <w:t>priede.</w:t>
      </w:r>
    </w:p>
    <w:p w:rsidR="00C97183" w:rsidRDefault="00C97183" w:rsidP="009E1268">
      <w:pPr>
        <w:spacing w:line="240" w:lineRule="auto"/>
        <w:ind w:right="282" w:firstLine="851"/>
        <w:jc w:val="both"/>
        <w:rPr>
          <w:szCs w:val="24"/>
        </w:rPr>
      </w:pPr>
    </w:p>
    <w:p w:rsidR="0066023D" w:rsidRDefault="0066023D" w:rsidP="009E1268">
      <w:pPr>
        <w:spacing w:line="240" w:lineRule="auto"/>
        <w:ind w:right="282" w:firstLine="851"/>
        <w:jc w:val="both"/>
        <w:rPr>
          <w:szCs w:val="24"/>
        </w:rPr>
      </w:pPr>
    </w:p>
    <w:p w:rsidR="009E1268" w:rsidRDefault="009E1268" w:rsidP="009E1268">
      <w:pPr>
        <w:spacing w:line="240" w:lineRule="auto"/>
        <w:ind w:right="282"/>
        <w:jc w:val="both"/>
        <w:rPr>
          <w:rFonts w:cs="Times New Roman"/>
          <w:szCs w:val="24"/>
        </w:rPr>
        <w:sectPr w:rsidR="009E1268" w:rsidSect="00BA1D45">
          <w:headerReference w:type="default" r:id="rId9"/>
          <w:footerReference w:type="default" r:id="rId10"/>
          <w:pgSz w:w="11906" w:h="16838"/>
          <w:pgMar w:top="1134" w:right="567" w:bottom="1134" w:left="1701" w:header="567" w:footer="567" w:gutter="0"/>
          <w:cols w:space="1296"/>
          <w:titlePg/>
          <w:docGrid w:linePitch="360"/>
        </w:sectPr>
      </w:pPr>
    </w:p>
    <w:p w:rsidR="00C97183" w:rsidRPr="000C1422" w:rsidRDefault="009E1268" w:rsidP="009E1268">
      <w:pPr>
        <w:spacing w:line="240" w:lineRule="auto"/>
        <w:ind w:right="282"/>
        <w:jc w:val="both"/>
        <w:rPr>
          <w:szCs w:val="24"/>
        </w:rPr>
      </w:pPr>
      <w:r w:rsidRPr="00A07433">
        <w:rPr>
          <w:rFonts w:cs="Times New Roman"/>
          <w:szCs w:val="24"/>
        </w:rPr>
        <w:lastRenderedPageBreak/>
        <w:t>Darbo grupė</w:t>
      </w:r>
      <w:r>
        <w:rPr>
          <w:rFonts w:cs="Times New Roman"/>
          <w:szCs w:val="24"/>
        </w:rPr>
        <w:t>s</w:t>
      </w:r>
      <w:r w:rsidRPr="00A07433">
        <w:rPr>
          <w:rFonts w:cs="Times New Roman"/>
          <w:szCs w:val="24"/>
        </w:rPr>
        <w:t xml:space="preserve"> </w:t>
      </w:r>
      <w:r w:rsidRPr="00A07433">
        <w:t>finansinių technologijų industrijai Lietuvoje plėtoti</w:t>
      </w:r>
      <w:r>
        <w:t xml:space="preserve"> pirmininkė</w:t>
      </w:r>
      <w:r w:rsidR="00072ECC">
        <w:rPr>
          <w:szCs w:val="24"/>
        </w:rPr>
        <w:tab/>
      </w:r>
      <w:r>
        <w:rPr>
          <w:szCs w:val="24"/>
        </w:rPr>
        <w:lastRenderedPageBreak/>
        <w:tab/>
        <w:t xml:space="preserve">       Loreta </w:t>
      </w:r>
      <w:proofErr w:type="spellStart"/>
      <w:r>
        <w:rPr>
          <w:szCs w:val="24"/>
        </w:rPr>
        <w:t>Maskaliovienė</w:t>
      </w:r>
      <w:proofErr w:type="spellEnd"/>
      <w:r w:rsidR="00072ECC">
        <w:rPr>
          <w:szCs w:val="24"/>
        </w:rPr>
        <w:tab/>
      </w:r>
      <w:r w:rsidR="00072ECC">
        <w:rPr>
          <w:szCs w:val="24"/>
        </w:rPr>
        <w:tab/>
      </w:r>
      <w:r w:rsidR="00072ECC">
        <w:rPr>
          <w:szCs w:val="24"/>
        </w:rPr>
        <w:tab/>
        <w:t xml:space="preserve">               </w:t>
      </w:r>
    </w:p>
    <w:p w:rsidR="009E1268" w:rsidRDefault="009E1268" w:rsidP="009E1268">
      <w:pPr>
        <w:spacing w:line="240" w:lineRule="auto"/>
        <w:ind w:right="282"/>
        <w:sectPr w:rsidR="009E1268" w:rsidSect="009E1268">
          <w:type w:val="continuous"/>
          <w:pgSz w:w="11906" w:h="16838"/>
          <w:pgMar w:top="1134" w:right="567" w:bottom="1134" w:left="1701" w:header="567" w:footer="567" w:gutter="0"/>
          <w:cols w:num="2" w:space="1296"/>
          <w:titlePg/>
          <w:docGrid w:linePitch="360"/>
        </w:sectPr>
      </w:pPr>
    </w:p>
    <w:p w:rsidR="002646D0" w:rsidRDefault="002646D0" w:rsidP="009E1268">
      <w:pPr>
        <w:spacing w:line="240" w:lineRule="auto"/>
        <w:ind w:right="282"/>
      </w:pPr>
      <w:r>
        <w:lastRenderedPageBreak/>
        <w:br w:type="page"/>
      </w:r>
    </w:p>
    <w:p w:rsidR="002646D0" w:rsidRDefault="002646D0" w:rsidP="00D9484B">
      <w:pPr>
        <w:jc w:val="both"/>
        <w:sectPr w:rsidR="002646D0" w:rsidSect="009E1268">
          <w:type w:val="continuous"/>
          <w:pgSz w:w="11906" w:h="16838"/>
          <w:pgMar w:top="1134" w:right="567" w:bottom="1134" w:left="1701" w:header="567" w:footer="567" w:gutter="0"/>
          <w:cols w:space="1296"/>
          <w:titlePg/>
          <w:docGrid w:linePitch="360"/>
        </w:sectPr>
      </w:pPr>
    </w:p>
    <w:p w:rsidR="00187611" w:rsidRPr="007170E4" w:rsidRDefault="00187611" w:rsidP="007170E4">
      <w:pPr>
        <w:spacing w:after="0"/>
        <w:ind w:firstLine="9639"/>
        <w:jc w:val="both"/>
        <w:rPr>
          <w:rFonts w:cs="Times New Roman"/>
          <w:szCs w:val="24"/>
        </w:rPr>
      </w:pPr>
      <w:r w:rsidRPr="007170E4">
        <w:rPr>
          <w:rFonts w:cs="Times New Roman"/>
          <w:szCs w:val="24"/>
        </w:rPr>
        <w:lastRenderedPageBreak/>
        <w:t>2019 m. finansinių technologijų (FINTECH)</w:t>
      </w:r>
    </w:p>
    <w:p w:rsidR="00187611" w:rsidRPr="007170E4" w:rsidRDefault="00187611" w:rsidP="007170E4">
      <w:pPr>
        <w:spacing w:after="0"/>
        <w:ind w:firstLine="9639"/>
        <w:jc w:val="both"/>
        <w:rPr>
          <w:rFonts w:cs="Times New Roman"/>
          <w:szCs w:val="24"/>
        </w:rPr>
      </w:pPr>
      <w:r w:rsidRPr="007170E4">
        <w:rPr>
          <w:rFonts w:cs="Times New Roman"/>
          <w:szCs w:val="24"/>
        </w:rPr>
        <w:t>industrijos plėtros Lietuvoje veiksmų plano</w:t>
      </w:r>
    </w:p>
    <w:p w:rsidR="00187611" w:rsidRPr="007170E4" w:rsidRDefault="00187611" w:rsidP="007170E4">
      <w:pPr>
        <w:spacing w:after="0"/>
        <w:ind w:firstLine="9639"/>
        <w:jc w:val="both"/>
        <w:rPr>
          <w:rFonts w:cs="Times New Roman"/>
          <w:szCs w:val="24"/>
        </w:rPr>
      </w:pPr>
      <w:r w:rsidRPr="007170E4">
        <w:rPr>
          <w:rFonts w:cs="Times New Roman"/>
          <w:szCs w:val="24"/>
        </w:rPr>
        <w:t>įgyvendinimo ataskaitos</w:t>
      </w:r>
    </w:p>
    <w:p w:rsidR="00187611" w:rsidRPr="007170E4" w:rsidRDefault="00187611" w:rsidP="007170E4">
      <w:pPr>
        <w:spacing w:after="0"/>
        <w:ind w:firstLine="9639"/>
        <w:jc w:val="both"/>
      </w:pPr>
      <w:r w:rsidRPr="007170E4">
        <w:rPr>
          <w:rFonts w:cs="Times New Roman"/>
          <w:szCs w:val="24"/>
        </w:rPr>
        <w:t>priedas</w:t>
      </w:r>
    </w:p>
    <w:p w:rsidR="00187611" w:rsidRDefault="00187611" w:rsidP="007170E4">
      <w:pPr>
        <w:spacing w:after="0"/>
        <w:jc w:val="center"/>
        <w:rPr>
          <w:b/>
        </w:rPr>
      </w:pPr>
    </w:p>
    <w:p w:rsidR="00D9484B" w:rsidRDefault="00F463B0" w:rsidP="007170E4">
      <w:pPr>
        <w:spacing w:after="0"/>
        <w:jc w:val="center"/>
        <w:rPr>
          <w:b/>
        </w:rPr>
      </w:pPr>
      <w:r w:rsidRPr="00F463B0">
        <w:rPr>
          <w:b/>
        </w:rPr>
        <w:t xml:space="preserve">PRIEMONIŲ FINANSINIŲ TECHNOLOGIJŲ </w:t>
      </w:r>
      <w:r w:rsidR="0026699E">
        <w:rPr>
          <w:b/>
        </w:rPr>
        <w:t>(FINTECH) INDUSTRIJOS</w:t>
      </w:r>
      <w:r w:rsidRPr="00F463B0">
        <w:rPr>
          <w:b/>
        </w:rPr>
        <w:t xml:space="preserve"> PLĖTRAI LIETUVOJE SKATINTI PLAN</w:t>
      </w:r>
      <w:r w:rsidR="00187611">
        <w:rPr>
          <w:b/>
        </w:rPr>
        <w:t xml:space="preserve">O </w:t>
      </w:r>
      <w:r w:rsidR="00016ECA">
        <w:rPr>
          <w:b/>
        </w:rPr>
        <w:t xml:space="preserve">ĮGYVENDINIMO </w:t>
      </w:r>
      <w:r w:rsidR="00187611">
        <w:rPr>
          <w:b/>
        </w:rPr>
        <w:t>REZULTATAI</w:t>
      </w:r>
    </w:p>
    <w:p w:rsidR="00A32C76" w:rsidRDefault="00A32C76" w:rsidP="00A32C76">
      <w:pPr>
        <w:pStyle w:val="Default"/>
      </w:pPr>
    </w:p>
    <w:tbl>
      <w:tblPr>
        <w:tblStyle w:val="Lentelstinklelis"/>
        <w:tblW w:w="0" w:type="auto"/>
        <w:tblLook w:val="0000" w:firstRow="0" w:lastRow="0" w:firstColumn="0" w:lastColumn="0" w:noHBand="0" w:noVBand="0"/>
      </w:tblPr>
      <w:tblGrid>
        <w:gridCol w:w="3182"/>
        <w:gridCol w:w="3022"/>
        <w:gridCol w:w="2976"/>
        <w:gridCol w:w="5039"/>
      </w:tblGrid>
      <w:tr w:rsidR="00A32C76" w:rsidTr="00A32C76">
        <w:trPr>
          <w:trHeight w:val="107"/>
        </w:trPr>
        <w:tc>
          <w:tcPr>
            <w:tcW w:w="0" w:type="auto"/>
            <w:vAlign w:val="center"/>
          </w:tcPr>
          <w:p w:rsidR="00A32C76" w:rsidRDefault="00A32C76" w:rsidP="00A32C76">
            <w:pPr>
              <w:pStyle w:val="Default"/>
              <w:jc w:val="center"/>
              <w:rPr>
                <w:sz w:val="23"/>
                <w:szCs w:val="23"/>
              </w:rPr>
            </w:pPr>
            <w:r>
              <w:rPr>
                <w:b/>
                <w:bCs/>
                <w:sz w:val="23"/>
                <w:szCs w:val="23"/>
              </w:rPr>
              <w:t>Rodiklis</w:t>
            </w:r>
          </w:p>
        </w:tc>
        <w:tc>
          <w:tcPr>
            <w:tcW w:w="3022" w:type="dxa"/>
            <w:vAlign w:val="center"/>
          </w:tcPr>
          <w:p w:rsidR="00A32C76" w:rsidRDefault="00A32C76" w:rsidP="00A32C76">
            <w:pPr>
              <w:pStyle w:val="Default"/>
              <w:jc w:val="center"/>
              <w:rPr>
                <w:sz w:val="23"/>
                <w:szCs w:val="23"/>
              </w:rPr>
            </w:pPr>
            <w:r>
              <w:rPr>
                <w:b/>
                <w:bCs/>
                <w:sz w:val="23"/>
                <w:szCs w:val="23"/>
              </w:rPr>
              <w:t>Rodiklio reikšmė 2018 m. pabaigoje</w:t>
            </w:r>
          </w:p>
        </w:tc>
        <w:tc>
          <w:tcPr>
            <w:tcW w:w="2976" w:type="dxa"/>
            <w:vAlign w:val="center"/>
          </w:tcPr>
          <w:p w:rsidR="00A32C76" w:rsidRDefault="00A32C76" w:rsidP="00A32C76">
            <w:pPr>
              <w:pStyle w:val="Default"/>
              <w:jc w:val="center"/>
              <w:rPr>
                <w:sz w:val="23"/>
                <w:szCs w:val="23"/>
              </w:rPr>
            </w:pPr>
            <w:r>
              <w:rPr>
                <w:b/>
                <w:bCs/>
                <w:sz w:val="23"/>
                <w:szCs w:val="23"/>
              </w:rPr>
              <w:t>Siektina rodiklio reikšmė 2019 m. pabaigoje</w:t>
            </w:r>
          </w:p>
        </w:tc>
        <w:tc>
          <w:tcPr>
            <w:tcW w:w="5039" w:type="dxa"/>
            <w:vAlign w:val="center"/>
          </w:tcPr>
          <w:p w:rsidR="00A32C76" w:rsidRDefault="00A32C76" w:rsidP="00A32C76">
            <w:pPr>
              <w:pStyle w:val="Default"/>
              <w:jc w:val="center"/>
              <w:rPr>
                <w:b/>
                <w:bCs/>
                <w:sz w:val="23"/>
                <w:szCs w:val="23"/>
              </w:rPr>
            </w:pPr>
            <w:r>
              <w:rPr>
                <w:b/>
                <w:bCs/>
                <w:sz w:val="23"/>
                <w:szCs w:val="23"/>
              </w:rPr>
              <w:t>Rezultatai</w:t>
            </w:r>
          </w:p>
        </w:tc>
      </w:tr>
      <w:tr w:rsidR="00A32C76" w:rsidTr="003845A2">
        <w:trPr>
          <w:trHeight w:val="385"/>
        </w:trPr>
        <w:tc>
          <w:tcPr>
            <w:tcW w:w="0" w:type="auto"/>
            <w:vAlign w:val="center"/>
          </w:tcPr>
          <w:p w:rsidR="00A32C76" w:rsidRDefault="00A32C76" w:rsidP="003845A2">
            <w:pPr>
              <w:pStyle w:val="Default"/>
              <w:jc w:val="center"/>
              <w:rPr>
                <w:sz w:val="23"/>
                <w:szCs w:val="23"/>
              </w:rPr>
            </w:pPr>
            <w:r>
              <w:rPr>
                <w:sz w:val="23"/>
                <w:szCs w:val="23"/>
              </w:rPr>
              <w:t>Finansinių technologijų (FINTECH) įmonių skaičius</w:t>
            </w:r>
          </w:p>
        </w:tc>
        <w:tc>
          <w:tcPr>
            <w:tcW w:w="3022" w:type="dxa"/>
            <w:vAlign w:val="center"/>
          </w:tcPr>
          <w:p w:rsidR="00A32C76" w:rsidRDefault="00A32C76" w:rsidP="003845A2">
            <w:pPr>
              <w:pStyle w:val="Default"/>
              <w:jc w:val="center"/>
              <w:rPr>
                <w:sz w:val="23"/>
                <w:szCs w:val="23"/>
              </w:rPr>
            </w:pPr>
            <w:r>
              <w:rPr>
                <w:sz w:val="23"/>
                <w:szCs w:val="23"/>
              </w:rPr>
              <w:t>170 įmonių</w:t>
            </w:r>
          </w:p>
        </w:tc>
        <w:tc>
          <w:tcPr>
            <w:tcW w:w="2976" w:type="dxa"/>
            <w:vAlign w:val="center"/>
          </w:tcPr>
          <w:p w:rsidR="00A32C76" w:rsidRDefault="00A32C76" w:rsidP="003845A2">
            <w:pPr>
              <w:pStyle w:val="Default"/>
              <w:jc w:val="center"/>
              <w:rPr>
                <w:sz w:val="23"/>
                <w:szCs w:val="23"/>
              </w:rPr>
            </w:pPr>
            <w:r>
              <w:rPr>
                <w:sz w:val="23"/>
                <w:szCs w:val="23"/>
              </w:rPr>
              <w:t>15 proc. augimas</w:t>
            </w:r>
          </w:p>
        </w:tc>
        <w:tc>
          <w:tcPr>
            <w:tcW w:w="5039" w:type="dxa"/>
            <w:vAlign w:val="center"/>
          </w:tcPr>
          <w:p w:rsidR="00A32C76" w:rsidRPr="00A32C76" w:rsidRDefault="00A32C76" w:rsidP="00C76681">
            <w:pPr>
              <w:pStyle w:val="Default"/>
              <w:jc w:val="center"/>
              <w:rPr>
                <w:sz w:val="23"/>
                <w:szCs w:val="23"/>
              </w:rPr>
            </w:pPr>
            <w:r>
              <w:rPr>
                <w:sz w:val="23"/>
                <w:szCs w:val="23"/>
              </w:rPr>
              <w:t>Šiuo metu Lietuvoje yra 210</w:t>
            </w:r>
            <w:r w:rsidRPr="00A32C76">
              <w:rPr>
                <w:sz w:val="23"/>
                <w:szCs w:val="23"/>
              </w:rPr>
              <w:t xml:space="preserve"> F</w:t>
            </w:r>
            <w:r w:rsidR="009A00EB">
              <w:rPr>
                <w:sz w:val="23"/>
                <w:szCs w:val="23"/>
              </w:rPr>
              <w:t>INTECH</w:t>
            </w:r>
            <w:r w:rsidRPr="00A32C76">
              <w:rPr>
                <w:sz w:val="23"/>
                <w:szCs w:val="23"/>
              </w:rPr>
              <w:t xml:space="preserve"> </w:t>
            </w:r>
            <w:r>
              <w:rPr>
                <w:sz w:val="23"/>
                <w:szCs w:val="23"/>
              </w:rPr>
              <w:t xml:space="preserve">įmonių </w:t>
            </w:r>
            <w:r w:rsidR="00C76681">
              <w:rPr>
                <w:sz w:val="23"/>
                <w:szCs w:val="23"/>
              </w:rPr>
              <w:t>(</w:t>
            </w:r>
            <w:r>
              <w:rPr>
                <w:sz w:val="23"/>
                <w:szCs w:val="23"/>
              </w:rPr>
              <w:t>24</w:t>
            </w:r>
            <w:r w:rsidR="009A00EB">
              <w:rPr>
                <w:sz w:val="23"/>
                <w:szCs w:val="23"/>
              </w:rPr>
              <w:t xml:space="preserve"> proc.</w:t>
            </w:r>
            <w:r w:rsidRPr="00A32C76">
              <w:rPr>
                <w:sz w:val="23"/>
                <w:szCs w:val="23"/>
              </w:rPr>
              <w:t xml:space="preserve"> sektoriaus augimas</w:t>
            </w:r>
            <w:r w:rsidR="00C76681">
              <w:rPr>
                <w:sz w:val="23"/>
                <w:szCs w:val="23"/>
              </w:rPr>
              <w:t>)</w:t>
            </w:r>
          </w:p>
        </w:tc>
      </w:tr>
      <w:tr w:rsidR="00A32C76" w:rsidTr="003845A2">
        <w:trPr>
          <w:trHeight w:val="385"/>
        </w:trPr>
        <w:tc>
          <w:tcPr>
            <w:tcW w:w="0" w:type="auto"/>
            <w:vAlign w:val="center"/>
          </w:tcPr>
          <w:p w:rsidR="00A32C76" w:rsidRDefault="00A32C76" w:rsidP="003845A2">
            <w:pPr>
              <w:pStyle w:val="Default"/>
              <w:jc w:val="center"/>
              <w:rPr>
                <w:sz w:val="23"/>
                <w:szCs w:val="23"/>
              </w:rPr>
            </w:pPr>
            <w:r>
              <w:rPr>
                <w:sz w:val="23"/>
                <w:szCs w:val="23"/>
              </w:rPr>
              <w:t>FINTECH sektoriuje sukurtų darbo vietų skaičius</w:t>
            </w:r>
          </w:p>
        </w:tc>
        <w:tc>
          <w:tcPr>
            <w:tcW w:w="3022" w:type="dxa"/>
            <w:vAlign w:val="center"/>
          </w:tcPr>
          <w:p w:rsidR="00A32C76" w:rsidRDefault="00A32C76" w:rsidP="003845A2">
            <w:pPr>
              <w:pStyle w:val="Default"/>
              <w:jc w:val="center"/>
              <w:rPr>
                <w:sz w:val="23"/>
                <w:szCs w:val="23"/>
              </w:rPr>
            </w:pPr>
            <w:r>
              <w:rPr>
                <w:sz w:val="23"/>
                <w:szCs w:val="23"/>
              </w:rPr>
              <w:t>2</w:t>
            </w:r>
            <w:r w:rsidR="00C642A9">
              <w:rPr>
                <w:sz w:val="23"/>
                <w:szCs w:val="23"/>
              </w:rPr>
              <w:t> </w:t>
            </w:r>
            <w:r>
              <w:rPr>
                <w:sz w:val="23"/>
                <w:szCs w:val="23"/>
              </w:rPr>
              <w:t>600 darbo vietų</w:t>
            </w:r>
          </w:p>
        </w:tc>
        <w:tc>
          <w:tcPr>
            <w:tcW w:w="2976" w:type="dxa"/>
            <w:vAlign w:val="center"/>
          </w:tcPr>
          <w:p w:rsidR="00A32C76" w:rsidRDefault="00A32C76" w:rsidP="003845A2">
            <w:pPr>
              <w:pStyle w:val="Default"/>
              <w:jc w:val="center"/>
              <w:rPr>
                <w:sz w:val="23"/>
                <w:szCs w:val="23"/>
              </w:rPr>
            </w:pPr>
            <w:r>
              <w:rPr>
                <w:sz w:val="23"/>
                <w:szCs w:val="23"/>
              </w:rPr>
              <w:t>15 proc. augimas</w:t>
            </w:r>
          </w:p>
        </w:tc>
        <w:tc>
          <w:tcPr>
            <w:tcW w:w="5039" w:type="dxa"/>
            <w:vAlign w:val="center"/>
          </w:tcPr>
          <w:p w:rsidR="00A32C76" w:rsidRPr="00DE2237" w:rsidRDefault="00A32C76" w:rsidP="00C76681">
            <w:pPr>
              <w:pStyle w:val="Default"/>
              <w:jc w:val="center"/>
              <w:rPr>
                <w:sz w:val="23"/>
                <w:szCs w:val="23"/>
              </w:rPr>
            </w:pPr>
            <w:r>
              <w:rPr>
                <w:sz w:val="23"/>
                <w:szCs w:val="23"/>
              </w:rPr>
              <w:t>F</w:t>
            </w:r>
            <w:r w:rsidR="00C76681">
              <w:rPr>
                <w:sz w:val="23"/>
                <w:szCs w:val="23"/>
              </w:rPr>
              <w:t>INTECH</w:t>
            </w:r>
            <w:r>
              <w:rPr>
                <w:sz w:val="23"/>
                <w:szCs w:val="23"/>
              </w:rPr>
              <w:t xml:space="preserve"> sektoriu</w:t>
            </w:r>
            <w:r w:rsidR="00C76681">
              <w:rPr>
                <w:sz w:val="23"/>
                <w:szCs w:val="23"/>
              </w:rPr>
              <w:t>je</w:t>
            </w:r>
            <w:r>
              <w:rPr>
                <w:sz w:val="23"/>
                <w:szCs w:val="23"/>
              </w:rPr>
              <w:t xml:space="preserve"> </w:t>
            </w:r>
            <w:r w:rsidR="00C76681">
              <w:rPr>
                <w:sz w:val="23"/>
                <w:szCs w:val="23"/>
              </w:rPr>
              <w:t xml:space="preserve">dirba </w:t>
            </w:r>
            <w:r>
              <w:rPr>
                <w:sz w:val="23"/>
                <w:szCs w:val="23"/>
              </w:rPr>
              <w:t xml:space="preserve">virš </w:t>
            </w:r>
            <w:r w:rsidRPr="00DE2237">
              <w:rPr>
                <w:sz w:val="23"/>
                <w:szCs w:val="23"/>
              </w:rPr>
              <w:t>3</w:t>
            </w:r>
            <w:r w:rsidR="00C642A9" w:rsidRPr="00DE2237">
              <w:rPr>
                <w:sz w:val="23"/>
                <w:szCs w:val="23"/>
              </w:rPr>
              <w:t> </w:t>
            </w:r>
            <w:r w:rsidRPr="00DE2237">
              <w:rPr>
                <w:sz w:val="23"/>
                <w:szCs w:val="23"/>
              </w:rPr>
              <w:t>400 darbuotoj</w:t>
            </w:r>
            <w:r>
              <w:rPr>
                <w:sz w:val="23"/>
                <w:szCs w:val="23"/>
              </w:rPr>
              <w:t xml:space="preserve">ų </w:t>
            </w:r>
            <w:r w:rsidR="00C76681">
              <w:rPr>
                <w:sz w:val="23"/>
                <w:szCs w:val="23"/>
              </w:rPr>
              <w:t>(</w:t>
            </w:r>
            <w:r w:rsidRPr="00DE2237">
              <w:rPr>
                <w:sz w:val="23"/>
                <w:szCs w:val="23"/>
              </w:rPr>
              <w:t>30</w:t>
            </w:r>
            <w:r w:rsidR="00C76681" w:rsidRPr="00DE2237">
              <w:rPr>
                <w:sz w:val="23"/>
                <w:szCs w:val="23"/>
              </w:rPr>
              <w:t xml:space="preserve"> proc.</w:t>
            </w:r>
            <w:r w:rsidRPr="00DE2237">
              <w:rPr>
                <w:sz w:val="23"/>
                <w:szCs w:val="23"/>
              </w:rPr>
              <w:t xml:space="preserve"> augimas</w:t>
            </w:r>
            <w:r w:rsidR="00C76681" w:rsidRPr="00DE2237">
              <w:rPr>
                <w:sz w:val="23"/>
                <w:szCs w:val="23"/>
              </w:rPr>
              <w:t>)</w:t>
            </w:r>
          </w:p>
        </w:tc>
      </w:tr>
      <w:tr w:rsidR="00A32C76" w:rsidTr="003845A2">
        <w:trPr>
          <w:trHeight w:val="247"/>
        </w:trPr>
        <w:tc>
          <w:tcPr>
            <w:tcW w:w="0" w:type="auto"/>
            <w:vAlign w:val="center"/>
          </w:tcPr>
          <w:p w:rsidR="00A32C76" w:rsidRDefault="00A32C76" w:rsidP="003845A2">
            <w:pPr>
              <w:pStyle w:val="Default"/>
              <w:jc w:val="center"/>
              <w:rPr>
                <w:sz w:val="23"/>
                <w:szCs w:val="23"/>
              </w:rPr>
            </w:pPr>
            <w:r>
              <w:rPr>
                <w:sz w:val="23"/>
                <w:szCs w:val="23"/>
              </w:rPr>
              <w:t>FINTECH įmonių pajamos</w:t>
            </w:r>
          </w:p>
        </w:tc>
        <w:tc>
          <w:tcPr>
            <w:tcW w:w="3022" w:type="dxa"/>
            <w:vAlign w:val="center"/>
          </w:tcPr>
          <w:p w:rsidR="00A32C76" w:rsidRDefault="00A32C76" w:rsidP="00C76681">
            <w:pPr>
              <w:pStyle w:val="Default"/>
              <w:jc w:val="center"/>
              <w:rPr>
                <w:sz w:val="23"/>
                <w:szCs w:val="23"/>
              </w:rPr>
            </w:pPr>
            <w:r>
              <w:rPr>
                <w:sz w:val="23"/>
                <w:szCs w:val="23"/>
              </w:rPr>
              <w:t>Rodiklio bazinė reikšmė bus gauta iš Lietuvos statistikos departamento</w:t>
            </w:r>
          </w:p>
        </w:tc>
        <w:tc>
          <w:tcPr>
            <w:tcW w:w="2976" w:type="dxa"/>
            <w:vAlign w:val="center"/>
          </w:tcPr>
          <w:p w:rsidR="00A32C76" w:rsidRDefault="00A32C76" w:rsidP="003845A2">
            <w:pPr>
              <w:pStyle w:val="Default"/>
              <w:jc w:val="center"/>
              <w:rPr>
                <w:sz w:val="23"/>
                <w:szCs w:val="23"/>
              </w:rPr>
            </w:pPr>
            <w:r>
              <w:rPr>
                <w:sz w:val="23"/>
                <w:szCs w:val="23"/>
              </w:rPr>
              <w:t>25 proc. augimas</w:t>
            </w:r>
          </w:p>
        </w:tc>
        <w:tc>
          <w:tcPr>
            <w:tcW w:w="5039" w:type="dxa"/>
            <w:vAlign w:val="center"/>
          </w:tcPr>
          <w:p w:rsidR="00A32C76" w:rsidRDefault="00A32C76" w:rsidP="003845A2">
            <w:pPr>
              <w:pStyle w:val="Default"/>
              <w:jc w:val="center"/>
              <w:rPr>
                <w:sz w:val="23"/>
                <w:szCs w:val="23"/>
              </w:rPr>
            </w:pPr>
            <w:r>
              <w:rPr>
                <w:sz w:val="23"/>
                <w:szCs w:val="23"/>
              </w:rPr>
              <w:t xml:space="preserve">Šiuo metu </w:t>
            </w:r>
            <w:r w:rsidR="00C76681">
              <w:rPr>
                <w:sz w:val="23"/>
                <w:szCs w:val="23"/>
              </w:rPr>
              <w:t xml:space="preserve">FINTECH </w:t>
            </w:r>
            <w:r>
              <w:rPr>
                <w:sz w:val="23"/>
                <w:szCs w:val="23"/>
              </w:rPr>
              <w:t>įmonės dar nėra pateikusios finansinių rezultatų</w:t>
            </w:r>
          </w:p>
        </w:tc>
      </w:tr>
      <w:tr w:rsidR="00A32C76" w:rsidTr="003845A2">
        <w:trPr>
          <w:trHeight w:val="247"/>
        </w:trPr>
        <w:tc>
          <w:tcPr>
            <w:tcW w:w="0" w:type="auto"/>
            <w:vAlign w:val="center"/>
          </w:tcPr>
          <w:p w:rsidR="00A32C76" w:rsidRDefault="00A32C76" w:rsidP="00FF260C">
            <w:pPr>
              <w:pStyle w:val="Default"/>
              <w:jc w:val="center"/>
              <w:rPr>
                <w:sz w:val="16"/>
                <w:szCs w:val="16"/>
              </w:rPr>
            </w:pPr>
            <w:r>
              <w:rPr>
                <w:sz w:val="23"/>
                <w:szCs w:val="23"/>
              </w:rPr>
              <w:t>Įtraukimas į vieną iš svarbiausių tarptautinių finansinių centrų reitingų</w:t>
            </w:r>
          </w:p>
        </w:tc>
        <w:tc>
          <w:tcPr>
            <w:tcW w:w="3022" w:type="dxa"/>
            <w:vAlign w:val="center"/>
          </w:tcPr>
          <w:p w:rsidR="00A32C76" w:rsidRDefault="00A32C76" w:rsidP="003845A2">
            <w:pPr>
              <w:pStyle w:val="Default"/>
              <w:jc w:val="center"/>
              <w:rPr>
                <w:sz w:val="23"/>
                <w:szCs w:val="23"/>
              </w:rPr>
            </w:pPr>
            <w:r>
              <w:rPr>
                <w:sz w:val="23"/>
                <w:szCs w:val="23"/>
              </w:rPr>
              <w:t>Lietuva (Vilnius) nėra įtraukta į reikšmingus tarptautinius finansinių centrų reitingus</w:t>
            </w:r>
          </w:p>
        </w:tc>
        <w:tc>
          <w:tcPr>
            <w:tcW w:w="2976" w:type="dxa"/>
            <w:vAlign w:val="center"/>
          </w:tcPr>
          <w:p w:rsidR="00A32C76" w:rsidRDefault="00A32C76" w:rsidP="00751331">
            <w:pPr>
              <w:pStyle w:val="Default"/>
              <w:jc w:val="center"/>
              <w:rPr>
                <w:sz w:val="23"/>
                <w:szCs w:val="23"/>
              </w:rPr>
            </w:pPr>
            <w:r>
              <w:rPr>
                <w:sz w:val="23"/>
                <w:szCs w:val="23"/>
              </w:rPr>
              <w:t>Lietuva (Vilnius) įtraukta bent į vieną reikšmingą tarptautinį finansinių centrų reitingą</w:t>
            </w:r>
          </w:p>
        </w:tc>
        <w:tc>
          <w:tcPr>
            <w:tcW w:w="5039" w:type="dxa"/>
            <w:vAlign w:val="center"/>
          </w:tcPr>
          <w:p w:rsidR="00A32C76" w:rsidRPr="00A32C76" w:rsidRDefault="00A32C76" w:rsidP="003845A2">
            <w:pPr>
              <w:pStyle w:val="Default"/>
              <w:numPr>
                <w:ilvl w:val="0"/>
                <w:numId w:val="9"/>
              </w:numPr>
              <w:ind w:left="360"/>
              <w:jc w:val="center"/>
              <w:rPr>
                <w:sz w:val="23"/>
                <w:szCs w:val="23"/>
              </w:rPr>
            </w:pPr>
            <w:r w:rsidRPr="00A32C76">
              <w:rPr>
                <w:sz w:val="23"/>
                <w:szCs w:val="23"/>
              </w:rPr>
              <w:t>Tarptautinis FINTECH indeksas (ang</w:t>
            </w:r>
            <w:r w:rsidR="00751331">
              <w:rPr>
                <w:sz w:val="23"/>
                <w:szCs w:val="23"/>
              </w:rPr>
              <w:t>l</w:t>
            </w:r>
            <w:r w:rsidRPr="00A32C76">
              <w:rPr>
                <w:sz w:val="23"/>
                <w:szCs w:val="23"/>
              </w:rPr>
              <w:t xml:space="preserve">. </w:t>
            </w:r>
            <w:proofErr w:type="spellStart"/>
            <w:r w:rsidRPr="00A32C76">
              <w:rPr>
                <w:i/>
                <w:sz w:val="23"/>
                <w:szCs w:val="23"/>
              </w:rPr>
              <w:t>The</w:t>
            </w:r>
            <w:proofErr w:type="spellEnd"/>
            <w:r w:rsidRPr="00A32C76">
              <w:rPr>
                <w:i/>
                <w:sz w:val="23"/>
                <w:szCs w:val="23"/>
              </w:rPr>
              <w:t xml:space="preserve"> </w:t>
            </w:r>
            <w:proofErr w:type="spellStart"/>
            <w:r w:rsidRPr="00A32C76">
              <w:rPr>
                <w:i/>
                <w:sz w:val="23"/>
                <w:szCs w:val="23"/>
              </w:rPr>
              <w:t>Global</w:t>
            </w:r>
            <w:proofErr w:type="spellEnd"/>
            <w:r w:rsidRPr="00A32C76">
              <w:rPr>
                <w:i/>
                <w:sz w:val="23"/>
                <w:szCs w:val="23"/>
              </w:rPr>
              <w:t xml:space="preserve"> FINTECH </w:t>
            </w:r>
            <w:proofErr w:type="spellStart"/>
            <w:r w:rsidRPr="00A32C76">
              <w:rPr>
                <w:i/>
                <w:sz w:val="23"/>
                <w:szCs w:val="23"/>
              </w:rPr>
              <w:t>Index</w:t>
            </w:r>
            <w:proofErr w:type="spellEnd"/>
            <w:r w:rsidRPr="00A32C76">
              <w:rPr>
                <w:sz w:val="23"/>
                <w:szCs w:val="23"/>
              </w:rPr>
              <w:t>):</w:t>
            </w:r>
          </w:p>
          <w:p w:rsidR="00A32C76" w:rsidRPr="00A32C76" w:rsidRDefault="00A32C76" w:rsidP="003845A2">
            <w:pPr>
              <w:pStyle w:val="Default"/>
              <w:jc w:val="center"/>
              <w:rPr>
                <w:sz w:val="23"/>
                <w:szCs w:val="23"/>
              </w:rPr>
            </w:pPr>
            <w:r w:rsidRPr="00A32C76">
              <w:rPr>
                <w:sz w:val="23"/>
                <w:szCs w:val="23"/>
              </w:rPr>
              <w:t>Lietuva – 4 pasaulyje ir 2 Europoje</w:t>
            </w:r>
          </w:p>
          <w:p w:rsidR="00A32C76" w:rsidRPr="00A32C76" w:rsidRDefault="00A32C76" w:rsidP="003845A2">
            <w:pPr>
              <w:pStyle w:val="Default"/>
              <w:jc w:val="center"/>
              <w:rPr>
                <w:sz w:val="23"/>
                <w:szCs w:val="23"/>
              </w:rPr>
            </w:pPr>
          </w:p>
          <w:p w:rsidR="00A32C76" w:rsidRPr="00A32C76" w:rsidRDefault="00A32C76" w:rsidP="003845A2">
            <w:pPr>
              <w:pStyle w:val="Default"/>
              <w:numPr>
                <w:ilvl w:val="0"/>
                <w:numId w:val="9"/>
              </w:numPr>
              <w:ind w:left="360"/>
              <w:jc w:val="center"/>
              <w:rPr>
                <w:sz w:val="23"/>
                <w:szCs w:val="23"/>
              </w:rPr>
            </w:pPr>
            <w:r w:rsidRPr="00A32C76">
              <w:rPr>
                <w:sz w:val="23"/>
                <w:szCs w:val="23"/>
              </w:rPr>
              <w:t>FINTECH ateities vietos 2019</w:t>
            </w:r>
            <w:r w:rsidR="00751331">
              <w:rPr>
                <w:sz w:val="23"/>
                <w:szCs w:val="23"/>
              </w:rPr>
              <w:t xml:space="preserve"> ir </w:t>
            </w:r>
            <w:r w:rsidRPr="00A32C76">
              <w:rPr>
                <w:sz w:val="23"/>
                <w:szCs w:val="23"/>
              </w:rPr>
              <w:t>2020 m. (ang</w:t>
            </w:r>
            <w:r w:rsidR="00751331">
              <w:rPr>
                <w:sz w:val="23"/>
                <w:szCs w:val="23"/>
              </w:rPr>
              <w:t>l</w:t>
            </w:r>
            <w:r w:rsidRPr="00A32C76">
              <w:rPr>
                <w:sz w:val="23"/>
                <w:szCs w:val="23"/>
              </w:rPr>
              <w:t xml:space="preserve">. </w:t>
            </w:r>
            <w:r w:rsidRPr="00A32C76">
              <w:rPr>
                <w:i/>
                <w:sz w:val="23"/>
                <w:szCs w:val="23"/>
              </w:rPr>
              <w:t xml:space="preserve">FINTECH </w:t>
            </w:r>
            <w:proofErr w:type="spellStart"/>
            <w:r w:rsidRPr="00A32C76">
              <w:rPr>
                <w:i/>
                <w:sz w:val="23"/>
                <w:szCs w:val="23"/>
              </w:rPr>
              <w:t>Locations</w:t>
            </w:r>
            <w:proofErr w:type="spellEnd"/>
            <w:r w:rsidRPr="00A32C76">
              <w:rPr>
                <w:i/>
                <w:sz w:val="23"/>
                <w:szCs w:val="23"/>
              </w:rPr>
              <w:t xml:space="preserve"> </w:t>
            </w:r>
            <w:proofErr w:type="spellStart"/>
            <w:r w:rsidRPr="00A32C76">
              <w:rPr>
                <w:i/>
                <w:sz w:val="23"/>
                <w:szCs w:val="23"/>
              </w:rPr>
              <w:t>of</w:t>
            </w:r>
            <w:proofErr w:type="spellEnd"/>
            <w:r w:rsidRPr="00A32C76">
              <w:rPr>
                <w:i/>
                <w:sz w:val="23"/>
                <w:szCs w:val="23"/>
              </w:rPr>
              <w:t xml:space="preserve"> </w:t>
            </w:r>
            <w:proofErr w:type="spellStart"/>
            <w:r w:rsidRPr="00A32C76">
              <w:rPr>
                <w:i/>
                <w:sz w:val="23"/>
                <w:szCs w:val="23"/>
              </w:rPr>
              <w:t>the</w:t>
            </w:r>
            <w:proofErr w:type="spellEnd"/>
            <w:r w:rsidRPr="00A32C76">
              <w:rPr>
                <w:i/>
                <w:sz w:val="23"/>
                <w:szCs w:val="23"/>
              </w:rPr>
              <w:t xml:space="preserve"> </w:t>
            </w:r>
            <w:proofErr w:type="spellStart"/>
            <w:r w:rsidRPr="00A32C76">
              <w:rPr>
                <w:i/>
                <w:sz w:val="23"/>
                <w:szCs w:val="23"/>
              </w:rPr>
              <w:t>Future</w:t>
            </w:r>
            <w:proofErr w:type="spellEnd"/>
            <w:r w:rsidRPr="00A32C76">
              <w:rPr>
                <w:sz w:val="23"/>
                <w:szCs w:val="23"/>
              </w:rPr>
              <w:t xml:space="preserve"> 2019/20):</w:t>
            </w:r>
          </w:p>
          <w:p w:rsidR="00A32C76" w:rsidRPr="00A32C76" w:rsidRDefault="00A32C76" w:rsidP="00751331">
            <w:pPr>
              <w:pStyle w:val="Default"/>
              <w:jc w:val="center"/>
              <w:rPr>
                <w:sz w:val="23"/>
                <w:szCs w:val="23"/>
              </w:rPr>
            </w:pPr>
            <w:r w:rsidRPr="00A32C76">
              <w:rPr>
                <w:sz w:val="23"/>
                <w:szCs w:val="23"/>
              </w:rPr>
              <w:t xml:space="preserve">Lietuva </w:t>
            </w:r>
            <w:r w:rsidR="00751331">
              <w:rPr>
                <w:sz w:val="23"/>
                <w:szCs w:val="23"/>
              </w:rPr>
              <w:t>–</w:t>
            </w:r>
            <w:r w:rsidRPr="00A32C76">
              <w:rPr>
                <w:sz w:val="23"/>
                <w:szCs w:val="23"/>
              </w:rPr>
              <w:t xml:space="preserve"> 7 pagal tiesioginių užsienio investicijų pritraukimą, 1 </w:t>
            </w:r>
            <w:r w:rsidR="00751331">
              <w:rPr>
                <w:sz w:val="23"/>
                <w:szCs w:val="23"/>
              </w:rPr>
              <w:t xml:space="preserve">– </w:t>
            </w:r>
            <w:r w:rsidRPr="00A32C76">
              <w:rPr>
                <w:sz w:val="23"/>
                <w:szCs w:val="23"/>
              </w:rPr>
              <w:t>pagal ekonominį efektyvumą</w:t>
            </w:r>
          </w:p>
        </w:tc>
      </w:tr>
      <w:tr w:rsidR="00A32C76" w:rsidTr="003845A2">
        <w:trPr>
          <w:trHeight w:val="275"/>
        </w:trPr>
        <w:tc>
          <w:tcPr>
            <w:tcW w:w="0" w:type="auto"/>
            <w:vAlign w:val="center"/>
          </w:tcPr>
          <w:p w:rsidR="00A32C76" w:rsidRDefault="00A32C76" w:rsidP="00751331">
            <w:pPr>
              <w:pStyle w:val="Default"/>
              <w:jc w:val="center"/>
              <w:rPr>
                <w:sz w:val="23"/>
                <w:szCs w:val="23"/>
              </w:rPr>
            </w:pPr>
            <w:r>
              <w:rPr>
                <w:sz w:val="23"/>
                <w:szCs w:val="23"/>
              </w:rPr>
              <w:t>Reikšmingų FINTECH įmonių, perkėlusių veiklos dalį į Lietuvą, skaičius</w:t>
            </w:r>
          </w:p>
        </w:tc>
        <w:tc>
          <w:tcPr>
            <w:tcW w:w="3022" w:type="dxa"/>
            <w:vAlign w:val="center"/>
          </w:tcPr>
          <w:p w:rsidR="00A32C76" w:rsidRDefault="00A32C76" w:rsidP="003845A2">
            <w:pPr>
              <w:pStyle w:val="Default"/>
              <w:jc w:val="center"/>
              <w:rPr>
                <w:sz w:val="23"/>
                <w:szCs w:val="23"/>
              </w:rPr>
            </w:pPr>
            <w:r>
              <w:rPr>
                <w:sz w:val="23"/>
                <w:szCs w:val="23"/>
              </w:rPr>
              <w:t>–</w:t>
            </w:r>
          </w:p>
        </w:tc>
        <w:tc>
          <w:tcPr>
            <w:tcW w:w="2976" w:type="dxa"/>
            <w:vAlign w:val="center"/>
          </w:tcPr>
          <w:p w:rsidR="00A32C76" w:rsidRDefault="00A32C76" w:rsidP="003845A2">
            <w:pPr>
              <w:pStyle w:val="Default"/>
              <w:jc w:val="center"/>
              <w:rPr>
                <w:sz w:val="23"/>
                <w:szCs w:val="23"/>
              </w:rPr>
            </w:pPr>
            <w:r>
              <w:rPr>
                <w:sz w:val="23"/>
                <w:szCs w:val="23"/>
              </w:rPr>
              <w:t>Bent dvi įmonės</w:t>
            </w:r>
          </w:p>
        </w:tc>
        <w:tc>
          <w:tcPr>
            <w:tcW w:w="5039" w:type="dxa"/>
            <w:vAlign w:val="center"/>
          </w:tcPr>
          <w:p w:rsidR="00A32C76" w:rsidRDefault="00751331" w:rsidP="00751331">
            <w:pPr>
              <w:pStyle w:val="Default"/>
              <w:jc w:val="center"/>
              <w:rPr>
                <w:sz w:val="23"/>
                <w:szCs w:val="23"/>
              </w:rPr>
            </w:pPr>
            <w:r>
              <w:rPr>
                <w:sz w:val="23"/>
                <w:szCs w:val="23"/>
              </w:rPr>
              <w:t>„</w:t>
            </w:r>
            <w:proofErr w:type="spellStart"/>
            <w:r w:rsidR="00A32C76">
              <w:rPr>
                <w:sz w:val="23"/>
                <w:szCs w:val="23"/>
              </w:rPr>
              <w:t>Earthport</w:t>
            </w:r>
            <w:proofErr w:type="spellEnd"/>
            <w:r>
              <w:rPr>
                <w:sz w:val="23"/>
                <w:szCs w:val="23"/>
              </w:rPr>
              <w:t>“</w:t>
            </w:r>
            <w:r w:rsidR="00A32C76">
              <w:rPr>
                <w:sz w:val="23"/>
                <w:szCs w:val="23"/>
              </w:rPr>
              <w:t xml:space="preserve">, </w:t>
            </w:r>
            <w:r>
              <w:rPr>
                <w:sz w:val="23"/>
                <w:szCs w:val="23"/>
              </w:rPr>
              <w:t>„</w:t>
            </w:r>
            <w:proofErr w:type="spellStart"/>
            <w:r w:rsidR="00A32C76">
              <w:rPr>
                <w:sz w:val="23"/>
                <w:szCs w:val="23"/>
              </w:rPr>
              <w:t>SumUp</w:t>
            </w:r>
            <w:proofErr w:type="spellEnd"/>
            <w:r>
              <w:rPr>
                <w:sz w:val="23"/>
                <w:szCs w:val="23"/>
              </w:rPr>
              <w:t>“</w:t>
            </w:r>
            <w:r w:rsidR="00A32C76">
              <w:rPr>
                <w:sz w:val="23"/>
                <w:szCs w:val="23"/>
              </w:rPr>
              <w:t xml:space="preserve">, </w:t>
            </w:r>
            <w:r>
              <w:rPr>
                <w:sz w:val="23"/>
                <w:szCs w:val="23"/>
              </w:rPr>
              <w:t>„</w:t>
            </w:r>
            <w:proofErr w:type="spellStart"/>
            <w:r w:rsidR="00A32C76">
              <w:rPr>
                <w:sz w:val="23"/>
                <w:szCs w:val="23"/>
              </w:rPr>
              <w:t>Flywire</w:t>
            </w:r>
            <w:proofErr w:type="spellEnd"/>
            <w:r>
              <w:rPr>
                <w:sz w:val="23"/>
                <w:szCs w:val="23"/>
              </w:rPr>
              <w:t>“</w:t>
            </w:r>
          </w:p>
        </w:tc>
      </w:tr>
    </w:tbl>
    <w:p w:rsidR="00A32C76" w:rsidRDefault="00A32C76" w:rsidP="00A32C76"/>
    <w:p w:rsidR="00A32C76" w:rsidRDefault="00A32C76" w:rsidP="00A32C76">
      <w:r>
        <w:br w:type="page"/>
      </w:r>
    </w:p>
    <w:tbl>
      <w:tblPr>
        <w:tblStyle w:val="Lentelstinklelis"/>
        <w:tblW w:w="0" w:type="auto"/>
        <w:tblLayout w:type="fixed"/>
        <w:tblLook w:val="04A0" w:firstRow="1" w:lastRow="0" w:firstColumn="1" w:lastColumn="0" w:noHBand="0" w:noVBand="1"/>
      </w:tblPr>
      <w:tblGrid>
        <w:gridCol w:w="3652"/>
        <w:gridCol w:w="2410"/>
        <w:gridCol w:w="1843"/>
        <w:gridCol w:w="6314"/>
      </w:tblGrid>
      <w:tr w:rsidR="001F3E5F" w:rsidRPr="00616493" w:rsidTr="001F3E5F">
        <w:trPr>
          <w:trHeight w:val="300"/>
        </w:trPr>
        <w:tc>
          <w:tcPr>
            <w:tcW w:w="3652" w:type="dxa"/>
            <w:hideMark/>
          </w:tcPr>
          <w:p w:rsidR="001F3E5F" w:rsidRPr="00F463B0" w:rsidRDefault="001F3E5F" w:rsidP="00F463B0">
            <w:pPr>
              <w:jc w:val="center"/>
              <w:rPr>
                <w:b/>
                <w:bCs/>
              </w:rPr>
            </w:pPr>
            <w:r w:rsidRPr="00F463B0">
              <w:rPr>
                <w:b/>
                <w:bCs/>
              </w:rPr>
              <w:lastRenderedPageBreak/>
              <w:t>Priemonė</w:t>
            </w:r>
          </w:p>
        </w:tc>
        <w:tc>
          <w:tcPr>
            <w:tcW w:w="2410" w:type="dxa"/>
            <w:hideMark/>
          </w:tcPr>
          <w:p w:rsidR="001F3E5F" w:rsidRPr="00F463B0" w:rsidRDefault="001F3E5F" w:rsidP="00F463B0">
            <w:pPr>
              <w:jc w:val="center"/>
              <w:rPr>
                <w:b/>
                <w:bCs/>
              </w:rPr>
            </w:pPr>
            <w:r w:rsidRPr="00F463B0">
              <w:rPr>
                <w:b/>
                <w:bCs/>
              </w:rPr>
              <w:t>Atsakinga institucija</w:t>
            </w:r>
          </w:p>
        </w:tc>
        <w:tc>
          <w:tcPr>
            <w:tcW w:w="1843" w:type="dxa"/>
            <w:hideMark/>
          </w:tcPr>
          <w:p w:rsidR="001F3E5F" w:rsidRPr="00F463B0" w:rsidRDefault="001F3E5F" w:rsidP="00F463B0">
            <w:pPr>
              <w:jc w:val="center"/>
              <w:rPr>
                <w:b/>
                <w:bCs/>
              </w:rPr>
            </w:pPr>
            <w:r w:rsidRPr="00F463B0">
              <w:rPr>
                <w:b/>
                <w:bCs/>
              </w:rPr>
              <w:t>Terminas</w:t>
            </w:r>
          </w:p>
        </w:tc>
        <w:tc>
          <w:tcPr>
            <w:tcW w:w="6314" w:type="dxa"/>
            <w:hideMark/>
          </w:tcPr>
          <w:p w:rsidR="001F3E5F" w:rsidRPr="00F463B0" w:rsidRDefault="001F3E5F" w:rsidP="00F463B0">
            <w:pPr>
              <w:jc w:val="center"/>
              <w:rPr>
                <w:b/>
                <w:bCs/>
              </w:rPr>
            </w:pPr>
            <w:r w:rsidRPr="00F463B0">
              <w:rPr>
                <w:b/>
                <w:bCs/>
              </w:rPr>
              <w:t>Rezultatas</w:t>
            </w:r>
          </w:p>
        </w:tc>
      </w:tr>
      <w:tr w:rsidR="001F3E5F" w:rsidRPr="00616493" w:rsidTr="00F463B0">
        <w:trPr>
          <w:trHeight w:val="300"/>
        </w:trPr>
        <w:tc>
          <w:tcPr>
            <w:tcW w:w="14219" w:type="dxa"/>
            <w:gridSpan w:val="4"/>
          </w:tcPr>
          <w:p w:rsidR="001F3E5F" w:rsidRPr="00616493" w:rsidRDefault="001F3E5F" w:rsidP="00F463B0">
            <w:pPr>
              <w:jc w:val="center"/>
              <w:rPr>
                <w:b/>
                <w:bCs/>
              </w:rPr>
            </w:pPr>
            <w:r w:rsidRPr="001F3E5F">
              <w:rPr>
                <w:b/>
                <w:bCs/>
              </w:rPr>
              <w:t xml:space="preserve">1 užduotis. Sutelkti institucijų veiksmus, siekiant plėtoti </w:t>
            </w:r>
            <w:r w:rsidR="00F463B0">
              <w:rPr>
                <w:b/>
                <w:bCs/>
              </w:rPr>
              <w:t>FINTECH</w:t>
            </w:r>
            <w:r w:rsidRPr="001F3E5F">
              <w:rPr>
                <w:b/>
                <w:bCs/>
              </w:rPr>
              <w:t xml:space="preserve"> įmonėms palankią aplinką</w:t>
            </w:r>
            <w:r>
              <w:rPr>
                <w:b/>
                <w:bCs/>
              </w:rPr>
              <w:t>.</w:t>
            </w:r>
          </w:p>
        </w:tc>
      </w:tr>
      <w:tr w:rsidR="001F3E5F" w:rsidRPr="00616493" w:rsidTr="001F3E5F">
        <w:trPr>
          <w:trHeight w:val="2010"/>
        </w:trPr>
        <w:tc>
          <w:tcPr>
            <w:tcW w:w="3652" w:type="dxa"/>
            <w:hideMark/>
          </w:tcPr>
          <w:p w:rsidR="001F3E5F" w:rsidRPr="00616493" w:rsidRDefault="001F3E5F" w:rsidP="00751331">
            <w:pPr>
              <w:jc w:val="both"/>
            </w:pPr>
            <w:r w:rsidRPr="00616493">
              <w:t xml:space="preserve">1.1. Išnaudoti Darbo grupės finansinių technologijų industrijai Lietuvoje plėtoti ir Mokėjimų tarybos veiklą, siekiant užtikrinti sklandų </w:t>
            </w:r>
            <w:r w:rsidR="00F463B0">
              <w:t>FINTECH</w:t>
            </w:r>
            <w:r w:rsidRPr="00616493">
              <w:t xml:space="preserve"> įmonių asociacijų, komercinių bankų atstovų, finansų rinkas išmanančių teisininkų, Lietuvos banko, Finansų ministerijos, </w:t>
            </w:r>
            <w:proofErr w:type="spellStart"/>
            <w:r w:rsidRPr="00616493">
              <w:t>VšĮ</w:t>
            </w:r>
            <w:proofErr w:type="spellEnd"/>
            <w:r w:rsidRPr="00616493">
              <w:t xml:space="preserve"> „Investuok Lietuvoje“ ekspertų ir kitų suinteresuotų šalių bendradarbiavimą įgyvendinant teisinį reguliavimą, skatinantį </w:t>
            </w:r>
            <w:r w:rsidR="00F463B0">
              <w:t>FINTECH</w:t>
            </w:r>
            <w:r w:rsidRPr="00616493">
              <w:t xml:space="preserve"> sektoriaus plėtrą.</w:t>
            </w:r>
          </w:p>
        </w:tc>
        <w:tc>
          <w:tcPr>
            <w:tcW w:w="2410" w:type="dxa"/>
            <w:hideMark/>
          </w:tcPr>
          <w:p w:rsidR="001F3E5F" w:rsidRPr="00616493" w:rsidRDefault="001F3E5F" w:rsidP="00F463B0">
            <w:pPr>
              <w:jc w:val="both"/>
            </w:pPr>
            <w:r w:rsidRPr="00616493">
              <w:t>Lietuvos bankas, Finansų ministerija</w:t>
            </w:r>
          </w:p>
        </w:tc>
        <w:tc>
          <w:tcPr>
            <w:tcW w:w="1843" w:type="dxa"/>
            <w:hideMark/>
          </w:tcPr>
          <w:p w:rsidR="001F3E5F" w:rsidRPr="00616493" w:rsidRDefault="001F3E5F" w:rsidP="00F463B0">
            <w:pPr>
              <w:jc w:val="both"/>
            </w:pPr>
            <w:r w:rsidRPr="00616493">
              <w:t>Nuolat</w:t>
            </w:r>
          </w:p>
        </w:tc>
        <w:tc>
          <w:tcPr>
            <w:tcW w:w="6314" w:type="dxa"/>
            <w:hideMark/>
          </w:tcPr>
          <w:p w:rsidR="001F3E5F" w:rsidRDefault="001F3E5F" w:rsidP="00F463B0">
            <w:pPr>
              <w:jc w:val="both"/>
            </w:pPr>
            <w:r w:rsidRPr="00003F2C">
              <w:rPr>
                <w:b/>
              </w:rPr>
              <w:t>Į</w:t>
            </w:r>
            <w:r w:rsidR="0026699E">
              <w:rPr>
                <w:b/>
              </w:rPr>
              <w:t>gyvendinam</w:t>
            </w:r>
            <w:r w:rsidRPr="00003F2C">
              <w:rPr>
                <w:b/>
              </w:rPr>
              <w:t>a</w:t>
            </w:r>
            <w:r>
              <w:t>.</w:t>
            </w:r>
          </w:p>
          <w:p w:rsidR="001F3E5F" w:rsidRPr="00616493" w:rsidRDefault="001F3E5F" w:rsidP="00F463B0">
            <w:pPr>
              <w:jc w:val="both"/>
            </w:pPr>
            <w:r w:rsidRPr="00616493">
              <w:t>Vyksta nuolatiniai susitikimai, sudaromi ir įgyvendinami planai</w:t>
            </w:r>
            <w:r>
              <w:t>.</w:t>
            </w:r>
          </w:p>
        </w:tc>
      </w:tr>
      <w:tr w:rsidR="001F3E5F" w:rsidRPr="00616493" w:rsidTr="001F3E5F">
        <w:trPr>
          <w:trHeight w:val="2445"/>
        </w:trPr>
        <w:tc>
          <w:tcPr>
            <w:tcW w:w="3652" w:type="dxa"/>
            <w:hideMark/>
          </w:tcPr>
          <w:p w:rsidR="001F3E5F" w:rsidRPr="00616493" w:rsidRDefault="001F3E5F" w:rsidP="00F463B0">
            <w:pPr>
              <w:jc w:val="both"/>
            </w:pPr>
            <w:r w:rsidRPr="00616493">
              <w:t>1.2. Priimti Lietuvos Respublikos pinigų plovimo ir teroristų finansavimo prevencijos įstatymo Nr. VIII-275 10 ir 11 straipsnių pakeitimo įstatymo projektą, kuriuo siekiama numatyti galimybę finansų įstaigoms ir kitiems įpareigotiems subjektams naudoti Europos ekonominės erdvės valstybėje išduotą vairuotojo pažymėjimą ir jame esančius duomenis nustatant kliento tapatybę pagal Pinigų plovimo ir teroristų finansavimo prevencijos įstatymą.</w:t>
            </w:r>
          </w:p>
        </w:tc>
        <w:tc>
          <w:tcPr>
            <w:tcW w:w="2410" w:type="dxa"/>
            <w:hideMark/>
          </w:tcPr>
          <w:p w:rsidR="001F3E5F" w:rsidRPr="00616493" w:rsidRDefault="001F3E5F" w:rsidP="00F463B0">
            <w:pPr>
              <w:jc w:val="both"/>
            </w:pPr>
            <w:r w:rsidRPr="00616493">
              <w:t>Finansų ministerija, Lietuvos bankas, Finansinių nusikaltimų tyrimo tarnyba prie Vidaus reikalų ministerijos, Vidaus reikalų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pPr>
            <w:r w:rsidRPr="00616493">
              <w:rPr>
                <w:b/>
              </w:rPr>
              <w:t>Neįgyvendinta</w:t>
            </w:r>
            <w:r>
              <w:t>.</w:t>
            </w:r>
          </w:p>
          <w:p w:rsidR="001F3E5F" w:rsidRPr="00616493" w:rsidRDefault="004C02AD" w:rsidP="00D16ED4">
            <w:pPr>
              <w:jc w:val="both"/>
            </w:pPr>
            <w:r>
              <w:t>Lietuvos Respublikos Seime</w:t>
            </w:r>
            <w:r w:rsidR="0026699E">
              <w:t xml:space="preserve"> registruotas</w:t>
            </w:r>
            <w:r w:rsidR="001F3E5F" w:rsidRPr="00616493">
              <w:t xml:space="preserve"> </w:t>
            </w:r>
            <w:r w:rsidR="00D16ED4" w:rsidRPr="00616493">
              <w:t xml:space="preserve">Lietuvos Respublikos pinigų plovimo ir teroristų finansavimo prevencijos įstatymo Nr. VIII-275 10 ir 11 straipsnių pakeitimo </w:t>
            </w:r>
            <w:r w:rsidR="0026699E">
              <w:t>įstatymo projektas</w:t>
            </w:r>
            <w:r w:rsidR="001F3E5F" w:rsidRPr="00616493">
              <w:t xml:space="preserve">, </w:t>
            </w:r>
            <w:r w:rsidR="008C3A23">
              <w:t xml:space="preserve">Seimo </w:t>
            </w:r>
            <w:r w:rsidR="001F3E5F" w:rsidRPr="00616493">
              <w:t xml:space="preserve">plenarinėje sesijoje dar nesvarstytas. </w:t>
            </w:r>
            <w:r w:rsidR="00D16ED4">
              <w:t>Priemonę n</w:t>
            </w:r>
            <w:r w:rsidR="001F3E5F" w:rsidRPr="00616493">
              <w:t>uspręsta perkelti į 2020 m. planą.</w:t>
            </w:r>
          </w:p>
        </w:tc>
      </w:tr>
      <w:tr w:rsidR="001F3E5F" w:rsidRPr="00616493" w:rsidTr="005225A4">
        <w:trPr>
          <w:trHeight w:val="3113"/>
        </w:trPr>
        <w:tc>
          <w:tcPr>
            <w:tcW w:w="3652" w:type="dxa"/>
            <w:hideMark/>
          </w:tcPr>
          <w:p w:rsidR="001F3E5F" w:rsidRPr="00616493" w:rsidRDefault="001F3E5F" w:rsidP="00F463B0">
            <w:pPr>
              <w:jc w:val="both"/>
            </w:pPr>
            <w:r w:rsidRPr="00616493">
              <w:lastRenderedPageBreak/>
              <w:t>1.3. Išanalizuoti ir įvertinti galimybes nustatyti naujas kliento (Lietuvos Respublikos rezidento ir ne</w:t>
            </w:r>
            <w:r w:rsidR="0051235D">
              <w:t xml:space="preserve"> </w:t>
            </w:r>
            <w:r w:rsidRPr="00616493">
              <w:t>rezidento) tapatybės nustatymo priemones, leidžiant panaudoti Lietuvos Respublikos gyventojų registro duomenis, biometrinius duomenis, asmens dokumento laikmenoje esančius duomenis, kuriamo Užsieniečių registro duomenis.</w:t>
            </w:r>
          </w:p>
        </w:tc>
        <w:tc>
          <w:tcPr>
            <w:tcW w:w="2410" w:type="dxa"/>
            <w:hideMark/>
          </w:tcPr>
          <w:p w:rsidR="001F3E5F" w:rsidRPr="00616493" w:rsidRDefault="001F3E5F" w:rsidP="00F463B0">
            <w:pPr>
              <w:jc w:val="both"/>
            </w:pPr>
            <w:r w:rsidRPr="00616493">
              <w:t>Finansų ministerija, Finansinių nusikaltimų tyrimo tarnyba prie Vidaus reikalų ministerijos, Lietuvos bankas, Mokėjimų taryba, VĮ Registrų centras</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072ECC">
            <w:pPr>
              <w:jc w:val="both"/>
            </w:pPr>
            <w:r w:rsidRPr="00616493">
              <w:t>Išanalizuotos biometri</w:t>
            </w:r>
            <w:r>
              <w:t xml:space="preserve">nių duomenų naudojimo galimybės. </w:t>
            </w:r>
            <w:r w:rsidRPr="00616493">
              <w:t xml:space="preserve">VĮ Registrų centras </w:t>
            </w:r>
            <w:r w:rsidR="0026699E">
              <w:t xml:space="preserve">strateginiame </w:t>
            </w:r>
            <w:r w:rsidRPr="00616493">
              <w:t>2020</w:t>
            </w:r>
            <w:r w:rsidR="00864261">
              <w:rPr>
                <w:sz w:val="23"/>
                <w:szCs w:val="23"/>
              </w:rPr>
              <w:t>–</w:t>
            </w:r>
            <w:r w:rsidR="0026699E">
              <w:t>2023 metų plane</w:t>
            </w:r>
            <w:r w:rsidRPr="00616493">
              <w:t xml:space="preserve"> nu</w:t>
            </w:r>
            <w:r>
              <w:t xml:space="preserve">matė skirti </w:t>
            </w:r>
            <w:r w:rsidR="00072ECC">
              <w:t xml:space="preserve">išteklių </w:t>
            </w:r>
            <w:r w:rsidRPr="00616493">
              <w:t>bandom</w:t>
            </w:r>
            <w:r w:rsidR="00072ECC">
              <w:t>iesiems</w:t>
            </w:r>
            <w:r w:rsidRPr="00616493">
              <w:t xml:space="preserve"> technologini</w:t>
            </w:r>
            <w:r w:rsidR="00072ECC">
              <w:t>ams</w:t>
            </w:r>
            <w:r w:rsidRPr="00616493">
              <w:t xml:space="preserve"> sprendim</w:t>
            </w:r>
            <w:r w:rsidR="00072ECC">
              <w:t>ams</w:t>
            </w:r>
            <w:r w:rsidR="0026699E">
              <w:t>, paremtiems</w:t>
            </w:r>
            <w:r w:rsidRPr="00616493">
              <w:t xml:space="preserve"> biometrinių duomenų naudojimu, realiz</w:t>
            </w:r>
            <w:r w:rsidR="00072ECC">
              <w:t>uoti</w:t>
            </w:r>
            <w:r w:rsidRPr="00616493">
              <w:t>.</w:t>
            </w:r>
            <w:r w:rsidRPr="00616493">
              <w:br/>
            </w:r>
          </w:p>
        </w:tc>
      </w:tr>
      <w:tr w:rsidR="001F3E5F" w:rsidRPr="00616493" w:rsidTr="001F3E5F">
        <w:trPr>
          <w:trHeight w:val="2520"/>
        </w:trPr>
        <w:tc>
          <w:tcPr>
            <w:tcW w:w="3652" w:type="dxa"/>
            <w:hideMark/>
          </w:tcPr>
          <w:p w:rsidR="001F3E5F" w:rsidRPr="00616493" w:rsidRDefault="001F3E5F" w:rsidP="00F463B0">
            <w:pPr>
              <w:jc w:val="both"/>
            </w:pPr>
            <w:r w:rsidRPr="00616493">
              <w:t>1.4. Tobulinti esamus klientų tapatybės nustatymo būdus ir jiems keliamus reikalavimus, skatinant naujų technologijų pritaikymą ir užtikrinant, kad atsakingos institucijos dalytųsi gerąja praktika ir teiktų rekomendacijas dėl techninių sprendimų pasirinkimo ir įgyvendinimo.</w:t>
            </w:r>
          </w:p>
        </w:tc>
        <w:tc>
          <w:tcPr>
            <w:tcW w:w="2410" w:type="dxa"/>
            <w:hideMark/>
          </w:tcPr>
          <w:p w:rsidR="001F3E5F" w:rsidRPr="00616493" w:rsidRDefault="001F3E5F" w:rsidP="00F463B0">
            <w:pPr>
              <w:jc w:val="both"/>
            </w:pPr>
            <w:r w:rsidRPr="00616493">
              <w:t>Finansų ministerija, Finansinių nusikaltimų tyrimo tarnyba prie Vidaus reikalų ministerijos, Lietuvos bankas, Mokėjimų taryba, VĮ Registrų centras</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137D3" w:rsidP="001137D3">
            <w:pPr>
              <w:jc w:val="both"/>
            </w:pPr>
            <w:r>
              <w:t>Mokėjimų taryba 2019 m. p</w:t>
            </w:r>
            <w:r w:rsidR="005F71C0">
              <w:t>arengė mokėjimų rinkos dalyviams, mokėjimų politiką formuojančioms ir įgyvendinančioms institucijoms rekomendacijas</w:t>
            </w:r>
            <w:r w:rsidR="00072ECC">
              <w:t xml:space="preserve"> </w:t>
            </w:r>
            <w:r w:rsidR="005F71C0">
              <w:t>„Naujų tapatybės patvirtinimo priemonių galimybių ir atitikties pinigų plovimo prevencijos tikslams galimybių studija“</w:t>
            </w:r>
            <w:r w:rsidR="007A7477">
              <w:t xml:space="preserve"> (plačiau </w:t>
            </w:r>
            <w:hyperlink r:id="rId11" w:history="1">
              <w:r w:rsidR="000479B4" w:rsidRPr="005B67CA">
                <w:rPr>
                  <w:rStyle w:val="Hipersaitas"/>
                </w:rPr>
                <w:t>https://finmin.lrv.lt/lt/veiklos-sritys/finansu-rinku-politika/mokejimu-taryba</w:t>
              </w:r>
            </w:hyperlink>
            <w:r w:rsidR="007A7477">
              <w:t>).</w:t>
            </w:r>
            <w:r w:rsidR="007A7477" w:rsidRPr="00616493">
              <w:t xml:space="preserve"> Finansų ministerija </w:t>
            </w:r>
            <w:r w:rsidR="007A7477">
              <w:t xml:space="preserve">toliau skatina </w:t>
            </w:r>
            <w:r w:rsidR="007A7477" w:rsidRPr="00616493">
              <w:t>diskusiją</w:t>
            </w:r>
            <w:r w:rsidR="007A7477">
              <w:t xml:space="preserve"> su rinkos dalyviais, Finansinių nusikaltimų tyrimo tarnyba </w:t>
            </w:r>
            <w:r w:rsidR="00A619F0" w:rsidRPr="00616493">
              <w:t>prie Vidaus reikalų ministerijos</w:t>
            </w:r>
            <w:r w:rsidR="00A619F0">
              <w:t xml:space="preserve"> </w:t>
            </w:r>
            <w:r w:rsidR="007A7477">
              <w:t>ir kitomis suinteresuotomis institucijomis</w:t>
            </w:r>
            <w:r w:rsidR="007A7477" w:rsidRPr="00616493">
              <w:t xml:space="preserve">, </w:t>
            </w:r>
            <w:r w:rsidR="007A7477">
              <w:t>todėl klientų tapatybės nustatymo tobulinimas numatytas ir 2020 m. plane.</w:t>
            </w:r>
          </w:p>
        </w:tc>
      </w:tr>
      <w:tr w:rsidR="001F3E5F" w:rsidRPr="00616493" w:rsidTr="001F3E5F">
        <w:trPr>
          <w:trHeight w:val="4410"/>
        </w:trPr>
        <w:tc>
          <w:tcPr>
            <w:tcW w:w="3652" w:type="dxa"/>
            <w:hideMark/>
          </w:tcPr>
          <w:p w:rsidR="001F3E5F" w:rsidRPr="00616493" w:rsidRDefault="001F3E5F" w:rsidP="000479B4">
            <w:pPr>
              <w:jc w:val="both"/>
            </w:pPr>
            <w:r w:rsidRPr="00616493">
              <w:lastRenderedPageBreak/>
              <w:t xml:space="preserve">1.5. Įvertinti </w:t>
            </w:r>
            <w:proofErr w:type="spellStart"/>
            <w:r w:rsidR="000479B4">
              <w:t>tarpinstitucinio</w:t>
            </w:r>
            <w:proofErr w:type="spellEnd"/>
            <w:r w:rsidR="000479B4" w:rsidRPr="00616493">
              <w:t xml:space="preserve"> </w:t>
            </w:r>
            <w:r w:rsidRPr="00616493">
              <w:t xml:space="preserve">susitarimo </w:t>
            </w:r>
            <w:r w:rsidR="000479B4" w:rsidRPr="00616493">
              <w:t xml:space="preserve">dėl bendradarbiavimo valdant galimas inovacijų finansinių paslaugų sektoriuje plėtros </w:t>
            </w:r>
            <w:proofErr w:type="spellStart"/>
            <w:r w:rsidR="000479B4" w:rsidRPr="00616493">
              <w:t>rizikas</w:t>
            </w:r>
            <w:proofErr w:type="spellEnd"/>
            <w:r w:rsidR="000479B4" w:rsidRPr="00616493">
              <w:t xml:space="preserve"> </w:t>
            </w:r>
            <w:r w:rsidRPr="00616493">
              <w:t xml:space="preserve">sudarymo tikslingumą, suderinti sąlygas ir </w:t>
            </w:r>
            <w:r w:rsidR="000479B4">
              <w:t xml:space="preserve">jį </w:t>
            </w:r>
            <w:r w:rsidRPr="00616493">
              <w:t>pasirašyti.</w:t>
            </w:r>
          </w:p>
        </w:tc>
        <w:tc>
          <w:tcPr>
            <w:tcW w:w="2410" w:type="dxa"/>
            <w:hideMark/>
          </w:tcPr>
          <w:p w:rsidR="001F3E5F" w:rsidRPr="00616493" w:rsidRDefault="001F3E5F" w:rsidP="00F463B0">
            <w:pPr>
              <w:jc w:val="both"/>
            </w:pPr>
            <w:r w:rsidRPr="00616493">
              <w:t>Finansų ministerija, Vidaus reikalų ministerija, Krašto apsaugos ministerija, Lietuvos bankas, Policijos departamentas prie Vidaus reikalų ministerijos, Valstybės saugumo departamentas, Specialiųjų tyrimų tarnyba, Finansinių nusikaltimų tyrimų tarnyba prie Vidaus reikalų ministerijos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043501">
            <w:pPr>
              <w:jc w:val="both"/>
            </w:pPr>
            <w:r>
              <w:t>2019</w:t>
            </w:r>
            <w:r w:rsidR="00043501">
              <w:t xml:space="preserve"> m. kovo </w:t>
            </w:r>
            <w:r w:rsidRPr="00616493">
              <w:t>15</w:t>
            </w:r>
            <w:r w:rsidR="00043501">
              <w:t xml:space="preserve"> d.</w:t>
            </w:r>
            <w:r w:rsidRPr="00616493">
              <w:t xml:space="preserve"> pasirašytas memorandumas dėl bendradarbiavimo ir keitimosi informacija valdant </w:t>
            </w:r>
            <w:proofErr w:type="spellStart"/>
            <w:r w:rsidRPr="00616493">
              <w:t>rizikas</w:t>
            </w:r>
            <w:proofErr w:type="spellEnd"/>
            <w:r w:rsidRPr="00616493">
              <w:t xml:space="preserve"> finansinių inovacijų ir finansinių technologijų srityje</w:t>
            </w:r>
            <w:r>
              <w:t xml:space="preserve">. Plačiau apie memorandumą </w:t>
            </w:r>
            <w:hyperlink r:id="rId12" w:history="1">
              <w:r w:rsidRPr="00C10EC2">
                <w:rPr>
                  <w:rStyle w:val="Hipersaitas"/>
                </w:rPr>
                <w:t>https://finmin.lrv.lt/lt/naujienos/devynios-valstybes-institucijos-vienija-jegas-riziku-valdyme-</w:t>
              </w:r>
              <w:r w:rsidR="00F463B0">
                <w:rPr>
                  <w:rStyle w:val="Hipersaitas"/>
                </w:rPr>
                <w:t>FINTECH</w:t>
              </w:r>
              <w:r w:rsidRPr="00C10EC2">
                <w:rPr>
                  <w:rStyle w:val="Hipersaitas"/>
                </w:rPr>
                <w:t>-srityje</w:t>
              </w:r>
            </w:hyperlink>
            <w:r w:rsidR="00A619F0">
              <w:rPr>
                <w:rStyle w:val="Hipersaitas"/>
              </w:rPr>
              <w:t>.</w:t>
            </w:r>
            <w:r>
              <w:t xml:space="preserve"> </w:t>
            </w:r>
          </w:p>
        </w:tc>
      </w:tr>
      <w:tr w:rsidR="001F3E5F" w:rsidRPr="00616493" w:rsidTr="001F3E5F">
        <w:trPr>
          <w:trHeight w:val="705"/>
        </w:trPr>
        <w:tc>
          <w:tcPr>
            <w:tcW w:w="3652" w:type="dxa"/>
            <w:hideMark/>
          </w:tcPr>
          <w:p w:rsidR="001F3E5F" w:rsidRPr="00616493" w:rsidRDefault="001F3E5F" w:rsidP="00F463B0">
            <w:pPr>
              <w:jc w:val="both"/>
            </w:pPr>
            <w:r w:rsidRPr="00616493">
              <w:t xml:space="preserve">1.6. Išanalizuoti galimybes optimizuoti kliento pažinimo procesą. </w:t>
            </w:r>
          </w:p>
        </w:tc>
        <w:tc>
          <w:tcPr>
            <w:tcW w:w="2410" w:type="dxa"/>
            <w:hideMark/>
          </w:tcPr>
          <w:p w:rsidR="001F3E5F" w:rsidRPr="00616493" w:rsidRDefault="001F3E5F" w:rsidP="00F463B0">
            <w:pPr>
              <w:jc w:val="both"/>
            </w:pPr>
            <w:r w:rsidRPr="00616493">
              <w:t>Mokėjimų taryba</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 xml:space="preserve">Įgyvendinta. </w:t>
            </w:r>
          </w:p>
          <w:p w:rsidR="001F3E5F" w:rsidRPr="00616493" w:rsidRDefault="001137D3" w:rsidP="001137D3">
            <w:pPr>
              <w:jc w:val="both"/>
            </w:pPr>
            <w:r>
              <w:t>Mokėjimų taryba 2019 m. p</w:t>
            </w:r>
            <w:r w:rsidR="001F3E5F">
              <w:t>arengė mokėjimų rinkos dalyviams, mokėjimų politiką formuojančioms ir įgyvendinančioms institucijoms rekomendacijas</w:t>
            </w:r>
            <w:r w:rsidR="00E93AE6">
              <w:t xml:space="preserve"> </w:t>
            </w:r>
            <w:r w:rsidR="001F3E5F">
              <w:t>„</w:t>
            </w:r>
            <w:r w:rsidR="001F3E5F" w:rsidRPr="00BF058D">
              <w:t xml:space="preserve">Kliento pažinimo (angl. </w:t>
            </w:r>
            <w:proofErr w:type="spellStart"/>
            <w:r w:rsidR="001F3E5F" w:rsidRPr="00185EFC">
              <w:rPr>
                <w:i/>
              </w:rPr>
              <w:t>know</w:t>
            </w:r>
            <w:proofErr w:type="spellEnd"/>
            <w:r w:rsidR="001F3E5F" w:rsidRPr="00185EFC">
              <w:rPr>
                <w:i/>
              </w:rPr>
              <w:t xml:space="preserve"> </w:t>
            </w:r>
            <w:proofErr w:type="spellStart"/>
            <w:r w:rsidR="001F3E5F" w:rsidRPr="00185EFC">
              <w:rPr>
                <w:i/>
              </w:rPr>
              <w:t>your</w:t>
            </w:r>
            <w:proofErr w:type="spellEnd"/>
            <w:r w:rsidR="001F3E5F" w:rsidRPr="00185EFC">
              <w:rPr>
                <w:i/>
              </w:rPr>
              <w:t xml:space="preserve"> </w:t>
            </w:r>
            <w:proofErr w:type="spellStart"/>
            <w:r w:rsidR="001F3E5F" w:rsidRPr="00185EFC">
              <w:rPr>
                <w:i/>
              </w:rPr>
              <w:t>customer</w:t>
            </w:r>
            <w:proofErr w:type="spellEnd"/>
            <w:r w:rsidR="001F3E5F" w:rsidRPr="00BF058D">
              <w:t xml:space="preserve">, </w:t>
            </w:r>
            <w:r w:rsidR="001F3E5F" w:rsidRPr="00185EFC">
              <w:rPr>
                <w:i/>
              </w:rPr>
              <w:t>KYC</w:t>
            </w:r>
            <w:r w:rsidR="001F3E5F" w:rsidRPr="00BF058D">
              <w:t>) proceso optimizavimo galimybės</w:t>
            </w:r>
            <w:r w:rsidR="001F3E5F">
              <w:t xml:space="preserve">“ </w:t>
            </w:r>
            <w:hyperlink r:id="rId13" w:history="1">
              <w:r w:rsidR="001F3E5F" w:rsidRPr="00C10EC2">
                <w:rPr>
                  <w:rStyle w:val="Hipersaitas"/>
                </w:rPr>
                <w:t>https://finmin.lrv.lt/uploads/finmin/documents/files/KYC%20proceso%20optimizavimo%20galimybes.pdf</w:t>
              </w:r>
            </w:hyperlink>
            <w:r w:rsidR="00E93AE6">
              <w:rPr>
                <w:rStyle w:val="Hipersaitas"/>
              </w:rPr>
              <w:t>.</w:t>
            </w:r>
            <w:r w:rsidR="001F3E5F">
              <w:t xml:space="preserve"> </w:t>
            </w:r>
          </w:p>
        </w:tc>
      </w:tr>
      <w:tr w:rsidR="001F3E5F" w:rsidRPr="00616493" w:rsidTr="003845A2">
        <w:trPr>
          <w:trHeight w:val="703"/>
        </w:trPr>
        <w:tc>
          <w:tcPr>
            <w:tcW w:w="3652" w:type="dxa"/>
            <w:hideMark/>
          </w:tcPr>
          <w:p w:rsidR="001F3E5F" w:rsidRPr="00616493" w:rsidRDefault="001F3E5F" w:rsidP="00F463B0">
            <w:pPr>
              <w:jc w:val="both"/>
            </w:pPr>
            <w:r w:rsidRPr="00616493">
              <w:t>1.7. Išanalizuoti momentinių mokėjimų galimybes ir jų pritaikymo būdus praktikoje, nustatyti trūkstamus standartizavimo elementus, parengti rekomendacijas verslui ir viešajam sektoriui.</w:t>
            </w:r>
          </w:p>
        </w:tc>
        <w:tc>
          <w:tcPr>
            <w:tcW w:w="2410" w:type="dxa"/>
            <w:hideMark/>
          </w:tcPr>
          <w:p w:rsidR="001F3E5F" w:rsidRPr="00616493" w:rsidRDefault="001F3E5F" w:rsidP="00F463B0">
            <w:pPr>
              <w:jc w:val="both"/>
            </w:pPr>
            <w:r w:rsidRPr="00616493">
              <w:t>Mokėjimų taryba</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 xml:space="preserve">Įgyvendinta. </w:t>
            </w:r>
          </w:p>
          <w:p w:rsidR="001F3E5F" w:rsidRPr="00616493" w:rsidRDefault="001137D3" w:rsidP="001137D3">
            <w:pPr>
              <w:jc w:val="both"/>
            </w:pPr>
            <w:r>
              <w:t xml:space="preserve">Mokėjimų taryba </w:t>
            </w:r>
            <w:r w:rsidR="001F3E5F">
              <w:t>2019</w:t>
            </w:r>
            <w:r>
              <w:t xml:space="preserve"> m. p</w:t>
            </w:r>
            <w:r w:rsidR="001F3E5F" w:rsidRPr="00BF058D">
              <w:t xml:space="preserve">arengė mokėjimų rinkos dalyviams, mokėjimų politiką formuojančioms ir įgyvendinančioms institucijoms rekomendacijas </w:t>
            </w:r>
            <w:r w:rsidR="0051235D">
              <w:t>„</w:t>
            </w:r>
            <w:r w:rsidR="001F3E5F" w:rsidRPr="00BF058D">
              <w:t>Momentiniai mokėjimai Lietuvoje: standartizavimas ir plėtojimo kryptys</w:t>
            </w:r>
            <w:r w:rsidR="00E93AE6">
              <w:rPr>
                <w:rFonts w:cs="Times New Roman"/>
              </w:rPr>
              <w:t>“</w:t>
            </w:r>
            <w:r w:rsidR="001F3E5F">
              <w:t xml:space="preserve"> </w:t>
            </w:r>
            <w:hyperlink r:id="rId14" w:history="1">
              <w:r w:rsidR="001F3E5F" w:rsidRPr="00C10EC2">
                <w:rPr>
                  <w:rStyle w:val="Hipersaitas"/>
                </w:rPr>
                <w:t>https://finmin.lrv.lt/uploads/finmin/documents/files/Momentiniai%20mokejimai%20Lietuvoje.pdf</w:t>
              </w:r>
            </w:hyperlink>
            <w:r w:rsidR="00E93AE6">
              <w:rPr>
                <w:rStyle w:val="Hipersaitas"/>
              </w:rPr>
              <w:t>.</w:t>
            </w:r>
            <w:r w:rsidR="001F3E5F">
              <w:t xml:space="preserve"> </w:t>
            </w:r>
          </w:p>
        </w:tc>
      </w:tr>
      <w:tr w:rsidR="001F3E5F" w:rsidRPr="00616493" w:rsidTr="001F3E5F">
        <w:trPr>
          <w:trHeight w:val="2940"/>
        </w:trPr>
        <w:tc>
          <w:tcPr>
            <w:tcW w:w="3652" w:type="dxa"/>
            <w:hideMark/>
          </w:tcPr>
          <w:p w:rsidR="001F3E5F" w:rsidRPr="00616493" w:rsidRDefault="001F3E5F" w:rsidP="00F463B0">
            <w:pPr>
              <w:jc w:val="both"/>
            </w:pPr>
            <w:r w:rsidRPr="00616493">
              <w:lastRenderedPageBreak/>
              <w:t xml:space="preserve">1.8. Į </w:t>
            </w:r>
            <w:proofErr w:type="spellStart"/>
            <w:r w:rsidRPr="00616493">
              <w:t>VšĮ</w:t>
            </w:r>
            <w:proofErr w:type="spellEnd"/>
            <w:r w:rsidRPr="00616493">
              <w:t xml:space="preserve"> „Versli Lietuva“ administruojamą </w:t>
            </w:r>
            <w:proofErr w:type="spellStart"/>
            <w:r w:rsidRPr="00616493">
              <w:t>mentorių</w:t>
            </w:r>
            <w:proofErr w:type="spellEnd"/>
            <w:r w:rsidRPr="00616493">
              <w:t xml:space="preserve"> tinklą įtraukti </w:t>
            </w:r>
            <w:r w:rsidR="00F463B0">
              <w:t>FINTECH</w:t>
            </w:r>
            <w:r w:rsidRPr="00616493">
              <w:t xml:space="preserve"> srities </w:t>
            </w:r>
            <w:proofErr w:type="spellStart"/>
            <w:r w:rsidRPr="00616493">
              <w:t>mentorius</w:t>
            </w:r>
            <w:proofErr w:type="spellEnd"/>
            <w:r w:rsidRPr="00616493">
              <w:t>.</w:t>
            </w:r>
          </w:p>
        </w:tc>
        <w:tc>
          <w:tcPr>
            <w:tcW w:w="2410" w:type="dxa"/>
            <w:hideMark/>
          </w:tcPr>
          <w:p w:rsidR="001F3E5F" w:rsidRPr="00616493" w:rsidRDefault="001F3E5F" w:rsidP="00F463B0">
            <w:pPr>
              <w:jc w:val="both"/>
            </w:pPr>
            <w:proofErr w:type="spellStart"/>
            <w:r w:rsidRPr="00616493">
              <w:t>VšĮ</w:t>
            </w:r>
            <w:proofErr w:type="spellEnd"/>
            <w:r w:rsidRPr="00616493">
              <w:t xml:space="preserve"> „Versli Lietuva“</w:t>
            </w:r>
          </w:p>
        </w:tc>
        <w:tc>
          <w:tcPr>
            <w:tcW w:w="1843" w:type="dxa"/>
            <w:hideMark/>
          </w:tcPr>
          <w:p w:rsidR="001F3E5F" w:rsidRPr="00616493" w:rsidRDefault="001F3E5F" w:rsidP="00F463B0">
            <w:pPr>
              <w:jc w:val="both"/>
            </w:pPr>
            <w:r w:rsidRPr="00616493">
              <w:t xml:space="preserve">2019 m. I </w:t>
            </w:r>
            <w:proofErr w:type="spellStart"/>
            <w:r w:rsidRPr="00616493">
              <w:t>pusm</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Default="001F3E5F" w:rsidP="00F463B0">
            <w:pPr>
              <w:jc w:val="both"/>
            </w:pPr>
            <w:r>
              <w:t xml:space="preserve">Į </w:t>
            </w:r>
            <w:proofErr w:type="spellStart"/>
            <w:r>
              <w:t>VšĮ</w:t>
            </w:r>
            <w:proofErr w:type="spellEnd"/>
            <w:r>
              <w:t xml:space="preserve"> „Versli Lietuva“ valdomą </w:t>
            </w:r>
            <w:proofErr w:type="spellStart"/>
            <w:r>
              <w:t>mentorių</w:t>
            </w:r>
            <w:proofErr w:type="spellEnd"/>
            <w:r>
              <w:t xml:space="preserve"> tinklą įtraukti </w:t>
            </w:r>
            <w:r w:rsidR="00F463B0">
              <w:t>FINTECH</w:t>
            </w:r>
            <w:r>
              <w:t xml:space="preserve"> </w:t>
            </w:r>
            <w:r w:rsidR="000479B4">
              <w:t xml:space="preserve">srities </w:t>
            </w:r>
            <w:proofErr w:type="spellStart"/>
            <w:r>
              <w:t>mentoriai</w:t>
            </w:r>
            <w:proofErr w:type="spellEnd"/>
            <w:r>
              <w:t>, jų sąrašas nuolat pildomas (</w:t>
            </w:r>
            <w:hyperlink r:id="rId15" w:history="1">
              <w:r w:rsidRPr="00C10EC2">
                <w:rPr>
                  <w:rStyle w:val="Hipersaitas"/>
                </w:rPr>
                <w:t>https://mentoriai.verslilietuva.lt/mentoriai/22</w:t>
              </w:r>
            </w:hyperlink>
            <w:r>
              <w:t>).</w:t>
            </w:r>
          </w:p>
          <w:p w:rsidR="001F3E5F" w:rsidRDefault="001F3E5F" w:rsidP="00F463B0">
            <w:pPr>
              <w:jc w:val="both"/>
            </w:pPr>
            <w:proofErr w:type="spellStart"/>
            <w:r>
              <w:t>Mentorystė</w:t>
            </w:r>
            <w:proofErr w:type="spellEnd"/>
            <w:r>
              <w:t xml:space="preserve"> vyksta dviem kryptimis. Viena iš jų vykdoma </w:t>
            </w:r>
            <w:proofErr w:type="spellStart"/>
            <w:r w:rsidR="002445F7">
              <w:t>bendradarbystės</w:t>
            </w:r>
            <w:proofErr w:type="spellEnd"/>
            <w:r w:rsidR="002445F7">
              <w:t xml:space="preserve"> centre </w:t>
            </w:r>
            <w:r>
              <w:t>„Spiečius“, kur</w:t>
            </w:r>
            <w:r w:rsidR="002445F7">
              <w:t>iame</w:t>
            </w:r>
            <w:r>
              <w:t xml:space="preserve"> susirenka jaunieji verslininkai (</w:t>
            </w:r>
            <w:r w:rsidR="002445F7">
              <w:t>tarp jų –</w:t>
            </w:r>
            <w:r>
              <w:t xml:space="preserve"> ir </w:t>
            </w:r>
            <w:proofErr w:type="spellStart"/>
            <w:r>
              <w:t>startuoliai</w:t>
            </w:r>
            <w:proofErr w:type="spellEnd"/>
            <w:r>
              <w:t xml:space="preserve">), kuriems reikalingi </w:t>
            </w:r>
            <w:proofErr w:type="spellStart"/>
            <w:r>
              <w:t>mentorių</w:t>
            </w:r>
            <w:proofErr w:type="spellEnd"/>
            <w:r>
              <w:t xml:space="preserve"> patarimai. </w:t>
            </w:r>
            <w:r w:rsidR="002445F7">
              <w:t>V</w:t>
            </w:r>
            <w:r>
              <w:t xml:space="preserve">isos programos trukmė </w:t>
            </w:r>
            <w:r w:rsidR="002445F7">
              <w:t xml:space="preserve">– </w:t>
            </w:r>
            <w:r>
              <w:t xml:space="preserve">6 mėn., kas 2 mėn. vyksta progreso aptarimo sesijos, o iki jų </w:t>
            </w:r>
            <w:proofErr w:type="spellStart"/>
            <w:r>
              <w:t>mentorius</w:t>
            </w:r>
            <w:proofErr w:type="spellEnd"/>
            <w:r>
              <w:t xml:space="preserve"> ir mokinys susitinka kel</w:t>
            </w:r>
            <w:r w:rsidR="000479B4">
              <w:t>is</w:t>
            </w:r>
            <w:r>
              <w:t xml:space="preserve"> kart</w:t>
            </w:r>
            <w:r w:rsidR="000479B4">
              <w:t>us</w:t>
            </w:r>
            <w:r>
              <w:t xml:space="preserve"> per mėn., taip pat jiems sutarus bendrauja ir nuotoliniu būdu.</w:t>
            </w:r>
          </w:p>
          <w:p w:rsidR="001F3E5F" w:rsidRPr="00616493" w:rsidRDefault="001F3E5F" w:rsidP="000A3A89">
            <w:pPr>
              <w:jc w:val="both"/>
            </w:pPr>
            <w:r>
              <w:t xml:space="preserve">Kita kryptis – elektroninė platforma, kurioje užsiregistravęs </w:t>
            </w:r>
            <w:proofErr w:type="spellStart"/>
            <w:r>
              <w:t>startuolis</w:t>
            </w:r>
            <w:proofErr w:type="spellEnd"/>
            <w:r>
              <w:t xml:space="preserve"> suranda jam reikalingą </w:t>
            </w:r>
            <w:r w:rsidR="000A3A89">
              <w:t>(-</w:t>
            </w:r>
            <w:proofErr w:type="spellStart"/>
            <w:r w:rsidR="000A3A89">
              <w:t>us</w:t>
            </w:r>
            <w:proofErr w:type="spellEnd"/>
            <w:r w:rsidR="000A3A89">
              <w:t xml:space="preserve">) </w:t>
            </w:r>
            <w:proofErr w:type="spellStart"/>
            <w:r>
              <w:t>mentor</w:t>
            </w:r>
            <w:r w:rsidR="000A3A89">
              <w:t>ių</w:t>
            </w:r>
            <w:proofErr w:type="spellEnd"/>
            <w:r w:rsidR="000A3A89">
              <w:t xml:space="preserve"> (-</w:t>
            </w:r>
            <w:proofErr w:type="spellStart"/>
            <w:r>
              <w:t>ius</w:t>
            </w:r>
            <w:proofErr w:type="spellEnd"/>
            <w:r w:rsidR="000A3A89">
              <w:t>)</w:t>
            </w:r>
            <w:r>
              <w:t xml:space="preserve"> ir tiesiogiai internetu kreipiasi į </w:t>
            </w:r>
            <w:r w:rsidR="000A3A89">
              <w:t>jį (</w:t>
            </w:r>
            <w:r>
              <w:t>juos</w:t>
            </w:r>
            <w:r w:rsidR="000A3A89">
              <w:t>)</w:t>
            </w:r>
            <w:r>
              <w:t xml:space="preserve"> pagalbos. </w:t>
            </w:r>
          </w:p>
        </w:tc>
      </w:tr>
      <w:tr w:rsidR="001F3E5F" w:rsidRPr="00616493" w:rsidTr="001F3E5F">
        <w:trPr>
          <w:trHeight w:val="1575"/>
        </w:trPr>
        <w:tc>
          <w:tcPr>
            <w:tcW w:w="3652" w:type="dxa"/>
            <w:hideMark/>
          </w:tcPr>
          <w:p w:rsidR="001F3E5F" w:rsidRPr="00616493" w:rsidRDefault="001F3E5F" w:rsidP="00F463B0">
            <w:pPr>
              <w:jc w:val="both"/>
            </w:pPr>
            <w:r w:rsidRPr="00616493">
              <w:t xml:space="preserve">1.9. Užtikrinti nuolatinį priemonių, skirtų reguliavimo ir priežiūros aplinkai tobulinti, diegimą ir panaikinti perteklines </w:t>
            </w:r>
            <w:proofErr w:type="spellStart"/>
            <w:r w:rsidRPr="00616493">
              <w:t>inovatyvių</w:t>
            </w:r>
            <w:proofErr w:type="spellEnd"/>
            <w:r w:rsidRPr="00616493">
              <w:t xml:space="preserve"> verslo modelių įėjimo į rinką ir veikimo joje kliūtis.</w:t>
            </w:r>
          </w:p>
        </w:tc>
        <w:tc>
          <w:tcPr>
            <w:tcW w:w="2410" w:type="dxa"/>
            <w:hideMark/>
          </w:tcPr>
          <w:p w:rsidR="001F3E5F" w:rsidRPr="00616493" w:rsidRDefault="001F3E5F" w:rsidP="00167BA4">
            <w:pPr>
              <w:jc w:val="both"/>
            </w:pPr>
            <w:r w:rsidRPr="00616493">
              <w:t xml:space="preserve">Finansų ministerija, Vidaus reikalų ministerija, </w:t>
            </w:r>
            <w:r w:rsidR="00167BA4">
              <w:t xml:space="preserve">Ekonomikos ir inovacijų </w:t>
            </w:r>
            <w:r w:rsidRPr="00616493">
              <w:t>ministerija, Teisingumo ministerija</w:t>
            </w:r>
          </w:p>
        </w:tc>
        <w:tc>
          <w:tcPr>
            <w:tcW w:w="1843" w:type="dxa"/>
            <w:hideMark/>
          </w:tcPr>
          <w:p w:rsidR="001F3E5F" w:rsidRPr="00616493" w:rsidRDefault="001F3E5F" w:rsidP="00F463B0">
            <w:pPr>
              <w:jc w:val="both"/>
            </w:pPr>
            <w:r w:rsidRPr="00616493">
              <w:t>Nuolat</w:t>
            </w:r>
          </w:p>
        </w:tc>
        <w:tc>
          <w:tcPr>
            <w:tcW w:w="6314" w:type="dxa"/>
            <w:hideMark/>
          </w:tcPr>
          <w:p w:rsidR="001F3E5F" w:rsidRDefault="006643F0" w:rsidP="00F463B0">
            <w:pPr>
              <w:jc w:val="both"/>
              <w:rPr>
                <w:b/>
              </w:rPr>
            </w:pPr>
            <w:r>
              <w:rPr>
                <w:b/>
              </w:rPr>
              <w:t>Įgyvendinama.</w:t>
            </w:r>
          </w:p>
          <w:p w:rsidR="001F3E5F" w:rsidRPr="002E7F30" w:rsidRDefault="001F3E5F" w:rsidP="002445F7">
            <w:pPr>
              <w:jc w:val="both"/>
            </w:pPr>
            <w:r w:rsidRPr="002E7F30">
              <w:t>Vykdoma nuolatinė</w:t>
            </w:r>
            <w:r w:rsidR="00F22D43">
              <w:t xml:space="preserve"> </w:t>
            </w:r>
            <w:proofErr w:type="spellStart"/>
            <w:r w:rsidR="00F22D43">
              <w:t>inovatyvių</w:t>
            </w:r>
            <w:proofErr w:type="spellEnd"/>
            <w:r w:rsidR="00F22D43">
              <w:t xml:space="preserve"> verslo modelių įėjimo į rinką ir veikimo joje kliūčių</w:t>
            </w:r>
            <w:r w:rsidRPr="002E7F30">
              <w:t xml:space="preserve"> </w:t>
            </w:r>
            <w:proofErr w:type="spellStart"/>
            <w:r w:rsidRPr="002E7F30">
              <w:t>stebėsena</w:t>
            </w:r>
            <w:proofErr w:type="spellEnd"/>
            <w:r w:rsidRPr="002E7F30">
              <w:t>, E</w:t>
            </w:r>
            <w:r w:rsidR="0051235D">
              <w:t>konomikos ir inovacijų ministerija</w:t>
            </w:r>
            <w:r w:rsidRPr="002E7F30">
              <w:t xml:space="preserve"> vertina teisės </w:t>
            </w:r>
            <w:r w:rsidR="002445F7">
              <w:t xml:space="preserve">aktų </w:t>
            </w:r>
            <w:r w:rsidR="002445F7" w:rsidRPr="002E7F30">
              <w:t>projekt</w:t>
            </w:r>
            <w:r w:rsidR="002445F7">
              <w:t>us</w:t>
            </w:r>
            <w:r w:rsidR="002445F7" w:rsidRPr="002E7F30">
              <w:t xml:space="preserve"> </w:t>
            </w:r>
            <w:r w:rsidRPr="002E7F30">
              <w:t>administracinės naštos, perteklinių reikalavimų prevencijos, konkurencijos ribojimo tikslais.</w:t>
            </w:r>
          </w:p>
        </w:tc>
      </w:tr>
      <w:tr w:rsidR="001F3E5F" w:rsidRPr="00616493" w:rsidTr="001107CA">
        <w:trPr>
          <w:trHeight w:val="274"/>
        </w:trPr>
        <w:tc>
          <w:tcPr>
            <w:tcW w:w="3652" w:type="dxa"/>
            <w:hideMark/>
          </w:tcPr>
          <w:p w:rsidR="001F3E5F" w:rsidRPr="00616493" w:rsidRDefault="001F3E5F" w:rsidP="00F463B0">
            <w:pPr>
              <w:jc w:val="both"/>
            </w:pPr>
            <w:r w:rsidRPr="00616493">
              <w:t>1.10. Išanalizuoti galimybes ir tikslingumą sukurti gyventojų asmeninės taupymo sąskaitos teisinį reguliavimą.</w:t>
            </w:r>
          </w:p>
        </w:tc>
        <w:tc>
          <w:tcPr>
            <w:tcW w:w="2410" w:type="dxa"/>
            <w:hideMark/>
          </w:tcPr>
          <w:p w:rsidR="001F3E5F" w:rsidRPr="00616493" w:rsidRDefault="001F3E5F" w:rsidP="00F463B0">
            <w:pPr>
              <w:jc w:val="both"/>
            </w:pPr>
            <w:r w:rsidRPr="00616493">
              <w:t>Finansų ministerija,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r w:rsidR="001107CA">
              <w:rPr>
                <w:b/>
              </w:rPr>
              <w:t>.</w:t>
            </w:r>
          </w:p>
          <w:p w:rsidR="001F3E5F" w:rsidRPr="00616493" w:rsidRDefault="0029554A" w:rsidP="001107CA">
            <w:pPr>
              <w:jc w:val="both"/>
            </w:pPr>
            <w:r>
              <w:t>2019 m. buvo</w:t>
            </w:r>
            <w:r w:rsidRPr="0029554A">
              <w:t xml:space="preserve"> vertinamos potencialios investicinės taupymo sąskaitos modelio Lietuvoje sukūrimo galimybės, atsižvelgiant į kitų valstybių praktiką šioje srityje bei Lietuvoje jau galiojančias mokesčių lengvatas, skatinančias ilgalaikį taupymą, t.</w:t>
            </w:r>
            <w:r w:rsidR="000A3A89">
              <w:t xml:space="preserve"> </w:t>
            </w:r>
            <w:r w:rsidRPr="0029554A">
              <w:t>y.</w:t>
            </w:r>
            <w:r>
              <w:t xml:space="preserve"> </w:t>
            </w:r>
            <w:r w:rsidRPr="0029554A">
              <w:t>pajamoms iš tam tikrų investavimo produktų (pavyzdžiui, pajamoms iš ilgalaikio gyventojų investavimo į gyvybės draudim</w:t>
            </w:r>
            <w:r w:rsidR="001107CA">
              <w:t xml:space="preserve">ą, pensijų kaupimą, </w:t>
            </w:r>
            <w:r w:rsidRPr="0029554A">
              <w:t>taip pat pajamoms iš finansinių priemonių perleidimo</w:t>
            </w:r>
            <w:r w:rsidR="001107CA">
              <w:t xml:space="preserve">). </w:t>
            </w:r>
            <w:r>
              <w:t xml:space="preserve">Vertinant </w:t>
            </w:r>
            <w:r w:rsidR="000A3A89">
              <w:t xml:space="preserve">šią </w:t>
            </w:r>
            <w:r>
              <w:t xml:space="preserve">galimybę </w:t>
            </w:r>
            <w:r w:rsidR="001F3E5F" w:rsidRPr="00616493">
              <w:t>nuspręsta priemonę pe</w:t>
            </w:r>
            <w:r w:rsidR="001F3E5F">
              <w:t xml:space="preserve">rkelti į 2020 m. planą, </w:t>
            </w:r>
            <w:r w:rsidR="000A3A89">
              <w:t xml:space="preserve">nes </w:t>
            </w:r>
            <w:r>
              <w:t>turėtų</w:t>
            </w:r>
            <w:r w:rsidR="001F3E5F">
              <w:t xml:space="preserve"> būti </w:t>
            </w:r>
            <w:r w:rsidR="001F3E5F" w:rsidRPr="00616493">
              <w:t xml:space="preserve">kompleksiškai įvertintos visos </w:t>
            </w:r>
            <w:r>
              <w:t xml:space="preserve">jau šiuo metu </w:t>
            </w:r>
            <w:r w:rsidR="001F3E5F" w:rsidRPr="00616493">
              <w:t xml:space="preserve">galiojančios </w:t>
            </w:r>
            <w:r w:rsidR="001F3E5F" w:rsidRPr="00616493">
              <w:lastRenderedPageBreak/>
              <w:t>lengvatos</w:t>
            </w:r>
            <w:r w:rsidR="0051235D">
              <w:t>.</w:t>
            </w:r>
          </w:p>
        </w:tc>
      </w:tr>
      <w:tr w:rsidR="001F3E5F" w:rsidRPr="00616493" w:rsidTr="005225A4">
        <w:trPr>
          <w:trHeight w:val="1696"/>
        </w:trPr>
        <w:tc>
          <w:tcPr>
            <w:tcW w:w="3652" w:type="dxa"/>
            <w:hideMark/>
          </w:tcPr>
          <w:p w:rsidR="001F3E5F" w:rsidRPr="00616493" w:rsidRDefault="001F3E5F" w:rsidP="00F463B0">
            <w:pPr>
              <w:jc w:val="both"/>
            </w:pPr>
            <w:r w:rsidRPr="00616493">
              <w:lastRenderedPageBreak/>
              <w:t>1.11. Sukurti Visuomenės finansinio švietimo 2017–2021 metų plano valdymo modelį ir jį įgyvendinti.</w:t>
            </w:r>
          </w:p>
        </w:tc>
        <w:tc>
          <w:tcPr>
            <w:tcW w:w="2410" w:type="dxa"/>
            <w:hideMark/>
          </w:tcPr>
          <w:p w:rsidR="001F3E5F" w:rsidRPr="00616493" w:rsidRDefault="001F3E5F" w:rsidP="00F463B0">
            <w:pPr>
              <w:jc w:val="both"/>
            </w:pPr>
            <w:r w:rsidRPr="00616493">
              <w:t>Švietimo ir mokslo ministerija, Finansų ministerija,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175088">
            <w:pPr>
              <w:jc w:val="both"/>
            </w:pPr>
            <w:r w:rsidRPr="00616493">
              <w:t>Sukurtas valdymo modelis, tačiau</w:t>
            </w:r>
            <w:r w:rsidR="000A3A89">
              <w:t>,</w:t>
            </w:r>
            <w:r w:rsidRPr="00616493">
              <w:t xml:space="preserve"> Š</w:t>
            </w:r>
            <w:r>
              <w:t xml:space="preserve">vietimo, mokslo ir sporto ministerijos </w:t>
            </w:r>
            <w:r w:rsidRPr="00616493">
              <w:t>teigimu, kol neišgryninta</w:t>
            </w:r>
            <w:r w:rsidR="0051235D">
              <w:t>s nacionalinio lygmens įstaigos</w:t>
            </w:r>
            <w:r w:rsidRPr="00616493">
              <w:t xml:space="preserve"> veiklos vystymosi modelis, nėra tikslinga sudaryti Finansinio švietimo taryb</w:t>
            </w:r>
            <w:r w:rsidR="00175088">
              <w:t>os</w:t>
            </w:r>
            <w:r w:rsidRPr="00616493">
              <w:t xml:space="preserve"> ir Finansinio švietimo koordinacin</w:t>
            </w:r>
            <w:r w:rsidR="00175088">
              <w:t>io</w:t>
            </w:r>
            <w:r w:rsidRPr="00616493">
              <w:t xml:space="preserve"> komitet</w:t>
            </w:r>
            <w:r w:rsidR="00175088">
              <w:t>o.</w:t>
            </w:r>
          </w:p>
        </w:tc>
      </w:tr>
      <w:tr w:rsidR="001F3E5F" w:rsidRPr="00616493" w:rsidTr="001F3E5F">
        <w:trPr>
          <w:trHeight w:val="274"/>
        </w:trPr>
        <w:tc>
          <w:tcPr>
            <w:tcW w:w="3652" w:type="dxa"/>
            <w:hideMark/>
          </w:tcPr>
          <w:p w:rsidR="001F3E5F" w:rsidRPr="00616493" w:rsidRDefault="001F3E5F" w:rsidP="00F463B0">
            <w:pPr>
              <w:jc w:val="both"/>
            </w:pPr>
            <w:r w:rsidRPr="00616493">
              <w:t>1.12. Parengti teisės akto, reglamentuojančio virtualiųjų valiutų keityklų operatorių veiklą pinigų plovimo prevencijos ir terorizmo prevencijos aspektais, projektą.</w:t>
            </w:r>
          </w:p>
        </w:tc>
        <w:tc>
          <w:tcPr>
            <w:tcW w:w="2410" w:type="dxa"/>
            <w:hideMark/>
          </w:tcPr>
          <w:p w:rsidR="001F3E5F" w:rsidRPr="00616493" w:rsidRDefault="001F3E5F" w:rsidP="00F463B0">
            <w:pPr>
              <w:jc w:val="both"/>
            </w:pPr>
            <w:r w:rsidRPr="00616493">
              <w:t>Finansų ministerija, Lietuvos bankas, Finansinių nusikaltimų tyrimo tarnyba prie Vidaus reikalų ministerijos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pPr>
            <w:r w:rsidRPr="00590FA7">
              <w:rPr>
                <w:b/>
              </w:rPr>
              <w:t>Įgyvendinta</w:t>
            </w:r>
            <w:r>
              <w:t>.</w:t>
            </w:r>
          </w:p>
          <w:p w:rsidR="001F3E5F" w:rsidRPr="00616493" w:rsidRDefault="001F3E5F" w:rsidP="00175088">
            <w:pPr>
              <w:jc w:val="both"/>
            </w:pPr>
            <w:r w:rsidRPr="002E7F30">
              <w:t>L</w:t>
            </w:r>
            <w:r>
              <w:t xml:space="preserve">ietuvos </w:t>
            </w:r>
            <w:r w:rsidRPr="002E7F30">
              <w:t>R</w:t>
            </w:r>
            <w:r>
              <w:t xml:space="preserve">espublikos </w:t>
            </w:r>
            <w:r w:rsidRPr="002E7F30">
              <w:t>S</w:t>
            </w:r>
            <w:r>
              <w:t>eim</w:t>
            </w:r>
            <w:r w:rsidR="00087D0A">
              <w:t xml:space="preserve">as </w:t>
            </w:r>
            <w:r w:rsidR="00175088">
              <w:t xml:space="preserve">2019 m. gruodžio 19 d. </w:t>
            </w:r>
            <w:r w:rsidR="00087D0A">
              <w:t xml:space="preserve">priėmė </w:t>
            </w:r>
            <w:r w:rsidR="00087D0A" w:rsidRPr="002E7F30">
              <w:t>Pinigų plovimo ir teroristų finansavimo prevencijos įstatymo</w:t>
            </w:r>
            <w:r w:rsidR="00087D0A">
              <w:t xml:space="preserve"> pakeitimus.</w:t>
            </w:r>
          </w:p>
        </w:tc>
      </w:tr>
      <w:tr w:rsidR="001F3E5F" w:rsidRPr="00616493" w:rsidTr="001F3E5F">
        <w:trPr>
          <w:trHeight w:val="780"/>
        </w:trPr>
        <w:tc>
          <w:tcPr>
            <w:tcW w:w="3652" w:type="dxa"/>
            <w:hideMark/>
          </w:tcPr>
          <w:p w:rsidR="001F3E5F" w:rsidRPr="00616493" w:rsidRDefault="001F3E5F" w:rsidP="00F463B0">
            <w:pPr>
              <w:jc w:val="both"/>
            </w:pPr>
            <w:r w:rsidRPr="00616493">
              <w:t>1.13. Parengti teisės aktų, kurie leistų teikti paskolas juridiniams asmenims naudojantis tarpusavio skolinimo platformos operatorių paslaugomis, projektus.</w:t>
            </w:r>
          </w:p>
        </w:tc>
        <w:tc>
          <w:tcPr>
            <w:tcW w:w="2410" w:type="dxa"/>
            <w:hideMark/>
          </w:tcPr>
          <w:p w:rsidR="001F3E5F" w:rsidRPr="00616493" w:rsidRDefault="001F3E5F" w:rsidP="00F463B0">
            <w:pPr>
              <w:jc w:val="both"/>
            </w:pPr>
            <w:r w:rsidRPr="00616493">
              <w:t>Finansų ministerija,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C3322E">
            <w:pPr>
              <w:jc w:val="both"/>
              <w:rPr>
                <w:b/>
              </w:rPr>
            </w:pPr>
            <w:r w:rsidRPr="00590FA7">
              <w:rPr>
                <w:b/>
              </w:rPr>
              <w:t>Įgyvendinta.</w:t>
            </w:r>
          </w:p>
          <w:p w:rsidR="001F3E5F" w:rsidRPr="00F20E73" w:rsidRDefault="00F20E73" w:rsidP="00A11865">
            <w:pPr>
              <w:jc w:val="both"/>
            </w:pPr>
            <w:r>
              <w:t xml:space="preserve">Parengtas </w:t>
            </w:r>
            <w:r w:rsidR="00C3322E">
              <w:t>Lietuvos Respublikos v</w:t>
            </w:r>
            <w:r w:rsidRPr="00F20E73">
              <w:t>artojimo kredito įstatymo Nr.</w:t>
            </w:r>
            <w:r w:rsidR="00C3322E">
              <w:t> </w:t>
            </w:r>
            <w:r w:rsidRPr="00F20E73">
              <w:t xml:space="preserve">XI-1253 2 straipsnio pakeitimo įstatymo projektas </w:t>
            </w:r>
            <w:r w:rsidR="00175088">
              <w:t>(</w:t>
            </w:r>
            <w:r w:rsidRPr="00F20E73">
              <w:t>reg</w:t>
            </w:r>
            <w:r w:rsidR="00175088">
              <w:t>istruotas</w:t>
            </w:r>
            <w:r w:rsidRPr="00F20E73">
              <w:t xml:space="preserve"> 2018-04-10</w:t>
            </w:r>
            <w:r w:rsidR="00C3322E">
              <w:t>,</w:t>
            </w:r>
            <w:r w:rsidR="00C3322E" w:rsidRPr="00F20E73">
              <w:t xml:space="preserve"> Nr. XIIIP-1943</w:t>
            </w:r>
            <w:r w:rsidR="00175088">
              <w:t>)</w:t>
            </w:r>
            <w:r>
              <w:t>, tačiau dar nepriimtas, p</w:t>
            </w:r>
            <w:r w:rsidRPr="00616493">
              <w:t>riemonė bus tęsiama 2020</w:t>
            </w:r>
            <w:r w:rsidR="00C3322E">
              <w:t> </w:t>
            </w:r>
            <w:r w:rsidRPr="00616493">
              <w:t>m. plane</w:t>
            </w:r>
            <w:r w:rsidR="00175088">
              <w:t>.</w:t>
            </w:r>
          </w:p>
        </w:tc>
      </w:tr>
      <w:tr w:rsidR="001F3E5F" w:rsidRPr="00616493" w:rsidTr="001107CA">
        <w:trPr>
          <w:trHeight w:val="1611"/>
        </w:trPr>
        <w:tc>
          <w:tcPr>
            <w:tcW w:w="3652" w:type="dxa"/>
            <w:hideMark/>
          </w:tcPr>
          <w:p w:rsidR="001F3E5F" w:rsidRPr="00616493" w:rsidRDefault="001F3E5F" w:rsidP="00A11865">
            <w:pPr>
              <w:tabs>
                <w:tab w:val="left" w:pos="709"/>
              </w:tabs>
              <w:jc w:val="both"/>
            </w:pPr>
            <w:r w:rsidRPr="00616493">
              <w:t>1.14. Įvertinti galimybes supaprastinti juridinio asmens tapatybės nustatymą, kai tapatybė nustatoma klientui dalyvaujant fiziškai.</w:t>
            </w:r>
          </w:p>
        </w:tc>
        <w:tc>
          <w:tcPr>
            <w:tcW w:w="2410" w:type="dxa"/>
            <w:hideMark/>
          </w:tcPr>
          <w:p w:rsidR="001F3E5F" w:rsidRPr="00616493" w:rsidRDefault="001F3E5F" w:rsidP="00F463B0">
            <w:pPr>
              <w:jc w:val="both"/>
            </w:pPr>
            <w:r w:rsidRPr="00616493">
              <w:t>Finansų ministerija, Lietuvos bankas, Finansinių nusikaltimų tyrimo tarnyba prie Vidaus reikalų ministerijos</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E6609A" w:rsidRDefault="001F3E5F" w:rsidP="00F463B0">
            <w:pPr>
              <w:jc w:val="both"/>
              <w:rPr>
                <w:b/>
              </w:rPr>
            </w:pPr>
            <w:r w:rsidRPr="00E6609A">
              <w:rPr>
                <w:b/>
              </w:rPr>
              <w:t>Įgyvendinta.</w:t>
            </w:r>
            <w:r w:rsidR="00175088">
              <w:t xml:space="preserve"> </w:t>
            </w:r>
          </w:p>
          <w:p w:rsidR="00087D0A" w:rsidRDefault="00087D0A" w:rsidP="00F463B0">
            <w:pPr>
              <w:jc w:val="both"/>
            </w:pPr>
            <w:r w:rsidRPr="002E7F30">
              <w:t>L</w:t>
            </w:r>
            <w:r>
              <w:t xml:space="preserve">ietuvos </w:t>
            </w:r>
            <w:r w:rsidRPr="002E7F30">
              <w:t>R</w:t>
            </w:r>
            <w:r>
              <w:t xml:space="preserve">espublikos </w:t>
            </w:r>
            <w:r w:rsidRPr="002E7F30">
              <w:t>S</w:t>
            </w:r>
            <w:r>
              <w:t xml:space="preserve">eimas </w:t>
            </w:r>
            <w:r w:rsidR="00175088">
              <w:t xml:space="preserve">2019 m. gruodžio 19 d. </w:t>
            </w:r>
            <w:r>
              <w:t xml:space="preserve">priėmė </w:t>
            </w:r>
            <w:r w:rsidRPr="002E7F30">
              <w:t>Pinigų plovimo ir teroristų finansavimo prevencijos įstatymo</w:t>
            </w:r>
            <w:r>
              <w:t xml:space="preserve"> pakeitimus</w:t>
            </w:r>
            <w:r w:rsidR="00175088">
              <w:t>.</w:t>
            </w:r>
            <w:r>
              <w:t xml:space="preserve"> </w:t>
            </w:r>
          </w:p>
          <w:p w:rsidR="001F3E5F" w:rsidRPr="0057384D" w:rsidRDefault="001F3E5F" w:rsidP="00087D0A">
            <w:pPr>
              <w:jc w:val="both"/>
              <w:rPr>
                <w:highlight w:val="yellow"/>
              </w:rPr>
            </w:pPr>
          </w:p>
        </w:tc>
      </w:tr>
      <w:tr w:rsidR="001F3E5F" w:rsidRPr="00616493" w:rsidTr="001F3E5F">
        <w:trPr>
          <w:trHeight w:val="2250"/>
        </w:trPr>
        <w:tc>
          <w:tcPr>
            <w:tcW w:w="3652" w:type="dxa"/>
            <w:hideMark/>
          </w:tcPr>
          <w:p w:rsidR="001F3E5F" w:rsidRPr="00616493" w:rsidRDefault="001F3E5F" w:rsidP="00F463B0">
            <w:pPr>
              <w:jc w:val="both"/>
            </w:pPr>
            <w:r w:rsidRPr="00616493">
              <w:t xml:space="preserve">1.15. Įvertinti galimybę peržiūrėti teisinę bazę, siekiant užtikrinti elektroninių pinigų turėtojų lėšų, perduotų elektroninių pinigų įstaigai, saugumą, kai kredito įstaiga tampa nemoki. </w:t>
            </w:r>
          </w:p>
        </w:tc>
        <w:tc>
          <w:tcPr>
            <w:tcW w:w="2410" w:type="dxa"/>
            <w:hideMark/>
          </w:tcPr>
          <w:p w:rsidR="001F3E5F" w:rsidRPr="00616493" w:rsidRDefault="001F3E5F" w:rsidP="00F463B0">
            <w:pPr>
              <w:jc w:val="both"/>
            </w:pPr>
            <w:r w:rsidRPr="00616493">
              <w:t>Finansų ministerija, Lietuvos bankas</w:t>
            </w:r>
          </w:p>
        </w:tc>
        <w:tc>
          <w:tcPr>
            <w:tcW w:w="1843" w:type="dxa"/>
            <w:hideMark/>
          </w:tcPr>
          <w:p w:rsidR="001F3E5F" w:rsidRPr="00616493" w:rsidRDefault="001F3E5F" w:rsidP="00F463B0">
            <w:pPr>
              <w:jc w:val="both"/>
            </w:pPr>
            <w:r w:rsidRPr="00616493">
              <w:t xml:space="preserve">2019 m. III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Default="001F3E5F" w:rsidP="00F463B0">
            <w:pPr>
              <w:jc w:val="both"/>
            </w:pPr>
            <w:r w:rsidRPr="00616493">
              <w:t>L</w:t>
            </w:r>
            <w:r>
              <w:t xml:space="preserve">ietuvos </w:t>
            </w:r>
            <w:r w:rsidR="00175088">
              <w:t>b</w:t>
            </w:r>
            <w:r>
              <w:t>ankas</w:t>
            </w:r>
            <w:r w:rsidRPr="00616493">
              <w:t xml:space="preserve"> </w:t>
            </w:r>
            <w:r w:rsidR="00175088">
              <w:t xml:space="preserve">suteikė </w:t>
            </w:r>
            <w:r w:rsidRPr="002E7F30">
              <w:t>viešą konsultaciją šiuo klausimu ir pateikė savo nuomonę</w:t>
            </w:r>
            <w:r w:rsidR="00C3322E">
              <w:t xml:space="preserve"> (</w:t>
            </w:r>
            <w:hyperlink r:id="rId16" w:history="1">
              <w:r w:rsidRPr="00C10EC2">
                <w:rPr>
                  <w:rStyle w:val="Hipersaitas"/>
                </w:rPr>
                <w:t>https://www.lb.lt/lt/konsultacijos/viesoji-konsultacija-del-elektroniniu-pinigu-ir-mokejimo-istaigu-klientu-lesu-apsaugos</w:t>
              </w:r>
            </w:hyperlink>
            <w:r w:rsidR="00C3322E">
              <w:rPr>
                <w:rStyle w:val="Hipersaitas"/>
              </w:rPr>
              <w:t>)</w:t>
            </w:r>
            <w:r>
              <w:t xml:space="preserve">. </w:t>
            </w:r>
            <w:r w:rsidRPr="002E7F30">
              <w:t xml:space="preserve"> </w:t>
            </w:r>
          </w:p>
          <w:p w:rsidR="001F3E5F" w:rsidRDefault="001F3E5F" w:rsidP="00F463B0">
            <w:pPr>
              <w:jc w:val="both"/>
            </w:pPr>
            <w:r w:rsidRPr="002E7F30">
              <w:t xml:space="preserve">Pagrindinės išvados: </w:t>
            </w:r>
          </w:p>
          <w:p w:rsidR="001F3E5F" w:rsidRDefault="001F3E5F" w:rsidP="00F463B0">
            <w:pPr>
              <w:jc w:val="both"/>
            </w:pPr>
            <w:r w:rsidRPr="002E7F30">
              <w:t xml:space="preserve">a) galimybė </w:t>
            </w:r>
            <w:r w:rsidR="00175088" w:rsidRPr="000C1422">
              <w:rPr>
                <w:rFonts w:cs="Times New Roman"/>
                <w:szCs w:val="24"/>
              </w:rPr>
              <w:t xml:space="preserve">elektroninių pinigų </w:t>
            </w:r>
            <w:r w:rsidR="00175088">
              <w:rPr>
                <w:rFonts w:cs="Times New Roman"/>
                <w:szCs w:val="24"/>
              </w:rPr>
              <w:t>a</w:t>
            </w:r>
            <w:r w:rsidR="00175088" w:rsidRPr="000C1422">
              <w:rPr>
                <w:rFonts w:cs="Times New Roman"/>
                <w:szCs w:val="24"/>
              </w:rPr>
              <w:t>r mokėjimų įstaig</w:t>
            </w:r>
            <w:r w:rsidR="00175088">
              <w:rPr>
                <w:rFonts w:cs="Times New Roman"/>
                <w:szCs w:val="24"/>
              </w:rPr>
              <w:t xml:space="preserve">ų </w:t>
            </w:r>
            <w:r w:rsidRPr="002E7F30">
              <w:t xml:space="preserve">klientų </w:t>
            </w:r>
            <w:r w:rsidRPr="002E7F30">
              <w:lastRenderedPageBreak/>
              <w:t xml:space="preserve">lėšas laikyti Lietuvos banke nebus toliau plėtojama, </w:t>
            </w:r>
            <w:r w:rsidR="00175088">
              <w:t xml:space="preserve">nes </w:t>
            </w:r>
            <w:r w:rsidRPr="002E7F30">
              <w:t xml:space="preserve">tokia galimybė jau </w:t>
            </w:r>
            <w:r w:rsidR="00033A5E">
              <w:t xml:space="preserve">suteikta </w:t>
            </w:r>
            <w:r w:rsidRPr="002E7F30">
              <w:t xml:space="preserve">mokėjimo sistemos </w:t>
            </w:r>
            <w:r w:rsidR="00175088">
              <w:rPr>
                <w:rFonts w:cs="Times New Roman"/>
              </w:rPr>
              <w:t>„</w:t>
            </w:r>
            <w:proofErr w:type="spellStart"/>
            <w:r w:rsidRPr="002E7F30">
              <w:t>CENTROlink</w:t>
            </w:r>
            <w:proofErr w:type="spellEnd"/>
            <w:r w:rsidR="00175088">
              <w:rPr>
                <w:rFonts w:cs="Times New Roman"/>
              </w:rPr>
              <w:t>“</w:t>
            </w:r>
            <w:r w:rsidRPr="002E7F30">
              <w:t xml:space="preserve"> naudotojams; </w:t>
            </w:r>
          </w:p>
          <w:p w:rsidR="001F3E5F" w:rsidRDefault="001F3E5F" w:rsidP="00F463B0">
            <w:pPr>
              <w:jc w:val="both"/>
            </w:pPr>
            <w:r>
              <w:t>b)</w:t>
            </w:r>
            <w:r w:rsidRPr="002E7F30">
              <w:t xml:space="preserve"> Lietuvos bankas planuoja atnaujinti </w:t>
            </w:r>
            <w:r w:rsidR="00175088">
              <w:t>v</w:t>
            </w:r>
            <w:r w:rsidRPr="002E7F30">
              <w:t xml:space="preserve">idaus kontrolės, rizikos valdymo ir gautų lėšų apsaugos reikalavimus ir aiškiau nurodyti, kokios lėšos negali būti laikomos atskiroje kredito įstaigos sąskaitoje, kokios investicijos yra laikomos saugiu, likvidžiu ir mažos rizikos turtu ir kaip jos turi būti atskirtos nuo kitų įstaigos nuosavų lėšų investicijų; </w:t>
            </w:r>
          </w:p>
          <w:p w:rsidR="001F3E5F" w:rsidRDefault="001F3E5F" w:rsidP="00F463B0">
            <w:pPr>
              <w:jc w:val="both"/>
            </w:pPr>
            <w:r w:rsidRPr="002E7F30">
              <w:t xml:space="preserve">c) </w:t>
            </w:r>
            <w:r w:rsidR="00033A5E" w:rsidRPr="000C1422">
              <w:rPr>
                <w:rFonts w:cs="Times New Roman"/>
                <w:szCs w:val="24"/>
              </w:rPr>
              <w:t xml:space="preserve">elektroninių pinigų </w:t>
            </w:r>
            <w:r w:rsidR="00033A5E">
              <w:rPr>
                <w:rFonts w:cs="Times New Roman"/>
                <w:szCs w:val="24"/>
              </w:rPr>
              <w:t>a</w:t>
            </w:r>
            <w:r w:rsidR="00033A5E" w:rsidRPr="000C1422">
              <w:rPr>
                <w:rFonts w:cs="Times New Roman"/>
                <w:szCs w:val="24"/>
              </w:rPr>
              <w:t>r mokėjimų įstaig</w:t>
            </w:r>
            <w:r w:rsidR="00033A5E">
              <w:rPr>
                <w:rFonts w:cs="Times New Roman"/>
                <w:szCs w:val="24"/>
              </w:rPr>
              <w:t xml:space="preserve">ų </w:t>
            </w:r>
            <w:r w:rsidRPr="002E7F30">
              <w:t xml:space="preserve">klientų lėšų, laikomų kredito įstaigose, įtraukimas į indėlių draudimo sistemą ir patikėjimo indėlio statuso įtvirtinimas nacionaliniu mastu turėtų tik ribotą poveikį, todėl siūloma toliau neplėtoti šių nacionalinių priemonių įgyvendinimo galimybių; </w:t>
            </w:r>
          </w:p>
          <w:p w:rsidR="001F3E5F" w:rsidRPr="00616493" w:rsidRDefault="001F3E5F" w:rsidP="00033A5E">
            <w:pPr>
              <w:jc w:val="both"/>
            </w:pPr>
            <w:r w:rsidRPr="002E7F30">
              <w:t xml:space="preserve">d) </w:t>
            </w:r>
            <w:r w:rsidR="00033A5E">
              <w:t>a</w:t>
            </w:r>
            <w:r w:rsidRPr="002E7F30">
              <w:t>tsižvelg</w:t>
            </w:r>
            <w:r w:rsidR="00033A5E">
              <w:t>damas</w:t>
            </w:r>
            <w:r w:rsidRPr="002E7F30">
              <w:t xml:space="preserve"> į tai, kad nacionalinės priemonės, susijusios su klientų lėšų, laikomų kredito įstaigose, apsaugos didinimu, turėtų nedidelį poveikį ir galėtų būti taikomos tik ribotai, Lietuvos bankas sieks, kad </w:t>
            </w:r>
            <w:r w:rsidR="00033A5E" w:rsidRPr="000C1422">
              <w:rPr>
                <w:rFonts w:cs="Times New Roman"/>
                <w:szCs w:val="24"/>
              </w:rPr>
              <w:t xml:space="preserve">elektroninių pinigų </w:t>
            </w:r>
            <w:r w:rsidR="00033A5E">
              <w:rPr>
                <w:rFonts w:cs="Times New Roman"/>
                <w:szCs w:val="24"/>
              </w:rPr>
              <w:t>a</w:t>
            </w:r>
            <w:r w:rsidR="00033A5E" w:rsidRPr="000C1422">
              <w:rPr>
                <w:rFonts w:cs="Times New Roman"/>
                <w:szCs w:val="24"/>
              </w:rPr>
              <w:t>r mokėjimų įstaig</w:t>
            </w:r>
            <w:r w:rsidR="00033A5E">
              <w:rPr>
                <w:rFonts w:cs="Times New Roman"/>
                <w:szCs w:val="24"/>
              </w:rPr>
              <w:t xml:space="preserve">ų </w:t>
            </w:r>
            <w:r w:rsidRPr="002E7F30">
              <w:t>klientų lėšų apsaugos didinimo klausimas būtų diskutuojamas E</w:t>
            </w:r>
            <w:r w:rsidR="00033A5E">
              <w:t xml:space="preserve">uropos </w:t>
            </w:r>
            <w:r w:rsidRPr="002E7F30">
              <w:t>S</w:t>
            </w:r>
            <w:r w:rsidR="00033A5E">
              <w:t>ąjungos</w:t>
            </w:r>
            <w:r w:rsidRPr="002E7F30">
              <w:t xml:space="preserve"> lygiu</w:t>
            </w:r>
            <w:r w:rsidR="00627C65">
              <w:t>.</w:t>
            </w:r>
          </w:p>
        </w:tc>
      </w:tr>
      <w:tr w:rsidR="001F3E5F" w:rsidRPr="00616493" w:rsidTr="005225A4">
        <w:trPr>
          <w:trHeight w:val="420"/>
        </w:trPr>
        <w:tc>
          <w:tcPr>
            <w:tcW w:w="3652" w:type="dxa"/>
            <w:hideMark/>
          </w:tcPr>
          <w:p w:rsidR="001F3E5F" w:rsidRPr="00616493" w:rsidRDefault="001F3E5F" w:rsidP="00F463B0">
            <w:pPr>
              <w:jc w:val="both"/>
            </w:pPr>
            <w:r w:rsidRPr="00616493">
              <w:lastRenderedPageBreak/>
              <w:t xml:space="preserve">1.16. Įvertinti galimybes išplėsti atvejus, kada galima taikyti supaprastintą kliento tapatybės nustatymą (nustatyti mažą pinigų plovimo ir (ar) teroristų finansavimo riziką), pavyzdžiui, padidinant bendrai per kalendorinius metus įvykdytų operacijų vertės ribą nuo 1 000 iki 3 000 eurų, suteikiant galimybę kliento tapatybės duomenis patikrinti naudojant mažiau </w:t>
            </w:r>
            <w:r w:rsidRPr="00616493">
              <w:lastRenderedPageBreak/>
              <w:t>patikimus dokumentus, ar kitus atvejus, remiantis Europos priežiūros institucijų priimtomis Gairėmis pagal Direktyvos (ES) 2015/849 17 straipsnį ir 18 straipsnio 4 dalį dėl supaprastinto ir sustiprinto deramo klientų tikrinimo ir dėl veiksnių, į kuriuos kredito ir finansų įstaigos turėtų atsižvelgti vertindamos su atskirais verslo santykiais ir pavieniais sandoriais susijusią pinigų plovimo ir teroristų finansavimo riziką.</w:t>
            </w:r>
          </w:p>
        </w:tc>
        <w:tc>
          <w:tcPr>
            <w:tcW w:w="2410" w:type="dxa"/>
            <w:hideMark/>
          </w:tcPr>
          <w:p w:rsidR="001F3E5F" w:rsidRPr="00616493" w:rsidRDefault="001F3E5F" w:rsidP="00F463B0">
            <w:pPr>
              <w:jc w:val="both"/>
            </w:pPr>
            <w:r w:rsidRPr="00616493">
              <w:lastRenderedPageBreak/>
              <w:t>Finansų ministerija, Lietuvos bankas, Vidaus reikalų ministerija (Finansinių nusikaltimų tyrimo tarnyba prie Vidaus reikalų ministerijos)</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087D0A" w:rsidP="00033A5E">
            <w:pPr>
              <w:jc w:val="both"/>
            </w:pPr>
            <w:r>
              <w:t>Įvertinus įmonių teiktus pasiūlymus dėl supaprastinto kliento tapatybės nustatymo taikymo atvejų,</w:t>
            </w:r>
            <w:r w:rsidRPr="00087D0A">
              <w:t xml:space="preserve"> </w:t>
            </w:r>
            <w:r>
              <w:t xml:space="preserve">priemonės vykdymas perkeltas į 2020 m., susiejant ją su </w:t>
            </w:r>
            <w:r w:rsidR="00033A5E">
              <w:t>n</w:t>
            </w:r>
            <w:r>
              <w:t xml:space="preserve">acionalinio rizikos vertinimo rezultatais ir </w:t>
            </w:r>
            <w:r w:rsidR="00033A5E">
              <w:t xml:space="preserve">skatinant </w:t>
            </w:r>
            <w:r>
              <w:t>išsamesn</w:t>
            </w:r>
            <w:r w:rsidR="00033A5E">
              <w:t>e</w:t>
            </w:r>
            <w:r>
              <w:t>s diskusij</w:t>
            </w:r>
            <w:r w:rsidR="00033A5E">
              <w:t>a</w:t>
            </w:r>
            <w:r>
              <w:t>s dėl galimų konkrečių priemonių.</w:t>
            </w:r>
          </w:p>
        </w:tc>
      </w:tr>
      <w:tr w:rsidR="001F3E5F" w:rsidRPr="00616493" w:rsidTr="003845A2">
        <w:trPr>
          <w:trHeight w:val="703"/>
        </w:trPr>
        <w:tc>
          <w:tcPr>
            <w:tcW w:w="3652" w:type="dxa"/>
            <w:hideMark/>
          </w:tcPr>
          <w:p w:rsidR="001F3E5F" w:rsidRPr="00616493" w:rsidRDefault="001F3E5F" w:rsidP="00F463B0">
            <w:pPr>
              <w:jc w:val="both"/>
            </w:pPr>
            <w:r w:rsidRPr="00616493">
              <w:lastRenderedPageBreak/>
              <w:t xml:space="preserve">1.17. Įvertinti galimybę peržiūrėti teisinę bazę dėl pridėtinės vertės mokesčio </w:t>
            </w:r>
            <w:r w:rsidR="00033A5E">
              <w:t xml:space="preserve">(toliau – </w:t>
            </w:r>
            <w:r w:rsidR="00033A5E" w:rsidRPr="002E7F30">
              <w:t>PV</w:t>
            </w:r>
            <w:r w:rsidR="00033A5E">
              <w:t xml:space="preserve">M) </w:t>
            </w:r>
            <w:r w:rsidRPr="00616493">
              <w:t>netaikymo finansinėms paslaugoms, kai dalis veiklos funkcijų perduodama trečiosioms šalims.</w:t>
            </w:r>
          </w:p>
        </w:tc>
        <w:tc>
          <w:tcPr>
            <w:tcW w:w="2410" w:type="dxa"/>
            <w:hideMark/>
          </w:tcPr>
          <w:p w:rsidR="001F3E5F" w:rsidRPr="00616493" w:rsidRDefault="001F3E5F" w:rsidP="00F463B0">
            <w:pPr>
              <w:jc w:val="both"/>
            </w:pPr>
            <w:r w:rsidRPr="00616493">
              <w:t>Finansų ministerija, Valstybinė mokesčių inspekcija</w:t>
            </w:r>
          </w:p>
        </w:tc>
        <w:tc>
          <w:tcPr>
            <w:tcW w:w="1843" w:type="dxa"/>
            <w:hideMark/>
          </w:tcPr>
          <w:p w:rsidR="001F3E5F" w:rsidRPr="00616493" w:rsidRDefault="001F3E5F" w:rsidP="00F463B0">
            <w:pPr>
              <w:jc w:val="both"/>
            </w:pPr>
            <w:r w:rsidRPr="00616493">
              <w:t xml:space="preserve">2019 m. III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1107CA">
            <w:pPr>
              <w:jc w:val="both"/>
            </w:pPr>
            <w:r w:rsidRPr="002E7F30">
              <w:t>Atvejai, kada finansinės paslaugos neapmokestinamos PV</w:t>
            </w:r>
            <w:r w:rsidR="00925B6D">
              <w:t>M</w:t>
            </w:r>
            <w:r w:rsidRPr="002E7F30">
              <w:t xml:space="preserve">, nustatyti </w:t>
            </w:r>
            <w:r w:rsidR="001107CA" w:rsidRPr="00925B6D">
              <w:t>2006 m. l</w:t>
            </w:r>
            <w:r w:rsidR="001107CA">
              <w:t>apkričio 28 d. Tarybos direktyvos</w:t>
            </w:r>
            <w:r w:rsidR="001107CA" w:rsidRPr="00925B6D">
              <w:t xml:space="preserve"> 2006/112/EB dėl pridėtinės vertės mokesčio bendros sistemos</w:t>
            </w:r>
            <w:r w:rsidR="001107CA">
              <w:t xml:space="preserve"> </w:t>
            </w:r>
            <w:r w:rsidRPr="002E7F30">
              <w:t>135 str</w:t>
            </w:r>
            <w:r w:rsidR="00033A5E">
              <w:t>aipsnio</w:t>
            </w:r>
            <w:r w:rsidRPr="002E7F30">
              <w:t xml:space="preserve"> b, c, d, e, f, g punktuose, o Europos Sąjungos Teisingumo Teismas yra suformavęs praktiką, pagal kurią vien fizinio, techninio, administracinio ar panašaus pobūdžio paslaugų teikimas, nekeičiantis finansinio sandorio teisinės ar finansinės padėties, nelaikomas finansinių paslaugų teikimu. </w:t>
            </w:r>
            <w:r w:rsidR="00033A5E">
              <w:t xml:space="preserve">Kadangi, </w:t>
            </w:r>
            <w:r w:rsidRPr="002E7F30">
              <w:t>nustatant, ar teikiama paslauga laikytina finansine paslauga, kiekvienas atvejis turi būti nagrinėjamas ir vertinamas atskirai, peržiūrėti teisin</w:t>
            </w:r>
            <w:r w:rsidR="00033A5E">
              <w:t>ės</w:t>
            </w:r>
            <w:r w:rsidRPr="002E7F30">
              <w:t xml:space="preserve"> baz</w:t>
            </w:r>
            <w:r w:rsidR="00033A5E">
              <w:t>ės</w:t>
            </w:r>
            <w:r w:rsidRPr="002E7F30">
              <w:t xml:space="preserve"> dėl PVM netaikymo finansinėms paslaugoms, kai dalis veiklos funkcijų perduodama trečiosioms šalims, iš esmės nėra galimybės.</w:t>
            </w:r>
          </w:p>
        </w:tc>
      </w:tr>
      <w:tr w:rsidR="001F3E5F" w:rsidRPr="00616493" w:rsidTr="00A110A1">
        <w:trPr>
          <w:trHeight w:val="1692"/>
        </w:trPr>
        <w:tc>
          <w:tcPr>
            <w:tcW w:w="3652" w:type="dxa"/>
            <w:hideMark/>
          </w:tcPr>
          <w:p w:rsidR="001F3E5F" w:rsidRPr="00616493" w:rsidRDefault="001F3E5F" w:rsidP="00F463B0">
            <w:pPr>
              <w:jc w:val="both"/>
            </w:pPr>
            <w:r w:rsidRPr="00616493">
              <w:lastRenderedPageBreak/>
              <w:t>1.18. Įvertinti galimybes pakeisti kliento tapatybės nustatymo proceso techninius reikalavimus, numatant, kad galimas ir netiesioginis pateikiamo tapatybės dokumento nuotraukos perdavimas.</w:t>
            </w:r>
          </w:p>
        </w:tc>
        <w:tc>
          <w:tcPr>
            <w:tcW w:w="2410" w:type="dxa"/>
            <w:hideMark/>
          </w:tcPr>
          <w:p w:rsidR="001F3E5F" w:rsidRPr="00616493" w:rsidRDefault="001F3E5F" w:rsidP="00F463B0">
            <w:pPr>
              <w:jc w:val="both"/>
            </w:pPr>
            <w:r w:rsidRPr="00616493">
              <w:t>Finansų ministerija, Finansinių nusikaltimų tyrimo tarnyba prie Vidaus reikalų ministerijos,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pPr>
            <w:r w:rsidRPr="00590FA7">
              <w:rPr>
                <w:b/>
              </w:rPr>
              <w:t>Įgyvendinta</w:t>
            </w:r>
            <w:r>
              <w:t>.</w:t>
            </w:r>
          </w:p>
          <w:p w:rsidR="001F3E5F" w:rsidRPr="00616493" w:rsidRDefault="001F3E5F" w:rsidP="00F463B0">
            <w:pPr>
              <w:jc w:val="both"/>
            </w:pPr>
            <w:r w:rsidRPr="00616493">
              <w:t>Galimybės įvertintos, tačiau netiesioginis pateikiamo tapatybės dokumento nuotraukos perdavimas įvertintas kaip per daug rizikingas</w:t>
            </w:r>
            <w:r>
              <w:t>.</w:t>
            </w:r>
          </w:p>
        </w:tc>
      </w:tr>
      <w:tr w:rsidR="001F3E5F" w:rsidRPr="00616493" w:rsidTr="001F3E5F">
        <w:trPr>
          <w:trHeight w:val="387"/>
        </w:trPr>
        <w:tc>
          <w:tcPr>
            <w:tcW w:w="14219" w:type="dxa"/>
            <w:gridSpan w:val="4"/>
          </w:tcPr>
          <w:p w:rsidR="001F3E5F" w:rsidRPr="00590FA7" w:rsidRDefault="001F3E5F" w:rsidP="00E6609A">
            <w:pPr>
              <w:jc w:val="center"/>
              <w:rPr>
                <w:b/>
              </w:rPr>
            </w:pPr>
            <w:r w:rsidRPr="001F3E5F">
              <w:rPr>
                <w:b/>
              </w:rPr>
              <w:t>2 užduotis. Populiarinti Lietuvos jurisdikciją tikslinėse rinkose ir sudaryti užsienio įmonių veikimo sąlygas</w:t>
            </w:r>
          </w:p>
        </w:tc>
      </w:tr>
      <w:tr w:rsidR="001F3E5F" w:rsidRPr="00616493" w:rsidTr="001F3E5F">
        <w:trPr>
          <w:trHeight w:val="1275"/>
        </w:trPr>
        <w:tc>
          <w:tcPr>
            <w:tcW w:w="3652" w:type="dxa"/>
            <w:hideMark/>
          </w:tcPr>
          <w:p w:rsidR="001F3E5F" w:rsidRPr="00616493" w:rsidRDefault="001F3E5F" w:rsidP="00F463B0">
            <w:pPr>
              <w:jc w:val="both"/>
            </w:pPr>
            <w:r w:rsidRPr="00616493">
              <w:t>2.1. Siūlyti Lietuvos bankui plėsti bendradarbiavimą su kitomis priežiūros institucijomis tikslinėse rinkose, pasirašant su jomis memorandumus.</w:t>
            </w:r>
          </w:p>
        </w:tc>
        <w:tc>
          <w:tcPr>
            <w:tcW w:w="2410" w:type="dxa"/>
            <w:hideMark/>
          </w:tcPr>
          <w:p w:rsidR="001F3E5F" w:rsidRPr="00616493" w:rsidRDefault="001F3E5F" w:rsidP="00F463B0">
            <w:pPr>
              <w:jc w:val="both"/>
            </w:pPr>
            <w:r w:rsidRPr="00616493">
              <w:t>Lietuvos bankas, Užsienio reikalų ministerija</w:t>
            </w:r>
          </w:p>
        </w:tc>
        <w:tc>
          <w:tcPr>
            <w:tcW w:w="1843" w:type="dxa"/>
            <w:hideMark/>
          </w:tcPr>
          <w:p w:rsidR="001F3E5F" w:rsidRPr="00616493" w:rsidRDefault="001F3E5F" w:rsidP="00C82790">
            <w:r w:rsidRPr="00616493">
              <w:t>Nuolat</w:t>
            </w:r>
          </w:p>
        </w:tc>
        <w:tc>
          <w:tcPr>
            <w:tcW w:w="6314" w:type="dxa"/>
            <w:hideMark/>
          </w:tcPr>
          <w:p w:rsidR="001107CA" w:rsidRPr="001107CA" w:rsidRDefault="001107CA" w:rsidP="00F463B0">
            <w:pPr>
              <w:jc w:val="both"/>
              <w:rPr>
                <w:b/>
              </w:rPr>
            </w:pPr>
            <w:r w:rsidRPr="001107CA">
              <w:rPr>
                <w:b/>
              </w:rPr>
              <w:t>Įgyvendinama.</w:t>
            </w:r>
          </w:p>
          <w:p w:rsidR="001F3E5F" w:rsidRDefault="001F3E5F" w:rsidP="00F463B0">
            <w:pPr>
              <w:jc w:val="both"/>
            </w:pPr>
            <w:r>
              <w:t>Siek</w:t>
            </w:r>
            <w:r w:rsidR="000310E4">
              <w:t>damos</w:t>
            </w:r>
            <w:r>
              <w:t xml:space="preserve"> stiprinti tarptautinius ryšius</w:t>
            </w:r>
            <w:r w:rsidR="000310E4">
              <w:t>,</w:t>
            </w:r>
            <w:r>
              <w:t xml:space="preserve"> </w:t>
            </w:r>
            <w:r w:rsidR="000310E4">
              <w:t xml:space="preserve">kai yra </w:t>
            </w:r>
            <w:r>
              <w:t>Lietuvos banko iniciatyva, U</w:t>
            </w:r>
            <w:r w:rsidR="00E6609A">
              <w:t>žsienio reikalų ministerija</w:t>
            </w:r>
            <w:r>
              <w:t xml:space="preserve"> ir Lietuvos diplomatinės atstovybės užsienyje tarpininkauja Lietuvos bankui sudarant bendradarbiavimo </w:t>
            </w:r>
            <w:r w:rsidR="00F463B0">
              <w:t>FINTECH</w:t>
            </w:r>
            <w:r>
              <w:t xml:space="preserve"> srityje susitarimus.</w:t>
            </w:r>
          </w:p>
          <w:p w:rsidR="001F3E5F" w:rsidRPr="00616493" w:rsidRDefault="001F3E5F" w:rsidP="00F463B0">
            <w:pPr>
              <w:jc w:val="both"/>
            </w:pPr>
            <w:r>
              <w:t xml:space="preserve">2018 m. bendradarbiavimo </w:t>
            </w:r>
            <w:r w:rsidR="00F463B0">
              <w:t>FINTECH</w:t>
            </w:r>
            <w:r>
              <w:t xml:space="preserve"> srityje susitarimai buvo </w:t>
            </w:r>
            <w:r w:rsidR="00E6609A">
              <w:t>sudaryti su Singapūro, Ukrainos</w:t>
            </w:r>
            <w:r>
              <w:t xml:space="preserve"> centriniais bankais ir </w:t>
            </w:r>
            <w:proofErr w:type="spellStart"/>
            <w:r>
              <w:t>Astanos</w:t>
            </w:r>
            <w:proofErr w:type="spellEnd"/>
            <w:r>
              <w:t xml:space="preserve"> (Kazachstanas) finansinių paslaugų priežiūros institucija.</w:t>
            </w:r>
          </w:p>
        </w:tc>
      </w:tr>
      <w:tr w:rsidR="001F3E5F" w:rsidRPr="00616493" w:rsidTr="00A110A1">
        <w:trPr>
          <w:trHeight w:val="987"/>
        </w:trPr>
        <w:tc>
          <w:tcPr>
            <w:tcW w:w="3652" w:type="dxa"/>
            <w:hideMark/>
          </w:tcPr>
          <w:p w:rsidR="001F3E5F" w:rsidRPr="00616493" w:rsidRDefault="001F3E5F" w:rsidP="00F463B0">
            <w:pPr>
              <w:jc w:val="both"/>
            </w:pPr>
            <w:r w:rsidRPr="00616493">
              <w:t xml:space="preserve">2.2. Skatinti tarptautinių </w:t>
            </w:r>
            <w:r w:rsidR="00F463B0">
              <w:t>FINTECH</w:t>
            </w:r>
            <w:r w:rsidRPr="00616493">
              <w:t xml:space="preserve"> renginių organizavimą Lietuvoje. </w:t>
            </w:r>
          </w:p>
        </w:tc>
        <w:tc>
          <w:tcPr>
            <w:tcW w:w="2410" w:type="dxa"/>
            <w:hideMark/>
          </w:tcPr>
          <w:p w:rsidR="001F3E5F" w:rsidRPr="00616493" w:rsidRDefault="001F3E5F" w:rsidP="00F463B0">
            <w:pPr>
              <w:jc w:val="both"/>
            </w:pPr>
            <w:proofErr w:type="spellStart"/>
            <w:r w:rsidRPr="00616493">
              <w:t>VšĮ</w:t>
            </w:r>
            <w:proofErr w:type="spellEnd"/>
            <w:r w:rsidRPr="00616493">
              <w:t xml:space="preserve"> „Investuok Lietuvoje“, Užsienio reikalų ministerija, </w:t>
            </w:r>
            <w:proofErr w:type="spellStart"/>
            <w:r w:rsidRPr="00616493">
              <w:t>VšĮ</w:t>
            </w:r>
            <w:proofErr w:type="spellEnd"/>
            <w:r w:rsidRPr="00616493">
              <w:t xml:space="preserve"> „GO Vilnius“</w:t>
            </w:r>
          </w:p>
        </w:tc>
        <w:tc>
          <w:tcPr>
            <w:tcW w:w="1843" w:type="dxa"/>
            <w:hideMark/>
          </w:tcPr>
          <w:p w:rsidR="001F3E5F" w:rsidRPr="00616493" w:rsidRDefault="001F3E5F" w:rsidP="00F463B0">
            <w:pPr>
              <w:jc w:val="both"/>
            </w:pPr>
            <w:r w:rsidRPr="00616493">
              <w:t>Nuolat</w:t>
            </w:r>
          </w:p>
        </w:tc>
        <w:tc>
          <w:tcPr>
            <w:tcW w:w="6314" w:type="dxa"/>
            <w:hideMark/>
          </w:tcPr>
          <w:p w:rsidR="001F3E5F" w:rsidRPr="00590FA7" w:rsidRDefault="001107CA" w:rsidP="00F463B0">
            <w:pPr>
              <w:jc w:val="both"/>
              <w:rPr>
                <w:b/>
              </w:rPr>
            </w:pPr>
            <w:r>
              <w:rPr>
                <w:b/>
              </w:rPr>
              <w:t>Įgyvendin</w:t>
            </w:r>
            <w:r w:rsidR="001F3E5F" w:rsidRPr="00590FA7">
              <w:rPr>
                <w:b/>
              </w:rPr>
              <w:t>a</w:t>
            </w:r>
            <w:r>
              <w:rPr>
                <w:b/>
              </w:rPr>
              <w:t>ma</w:t>
            </w:r>
            <w:r w:rsidR="001F3E5F" w:rsidRPr="00590FA7">
              <w:rPr>
                <w:b/>
              </w:rPr>
              <w:t>.</w:t>
            </w:r>
          </w:p>
          <w:p w:rsidR="001F3E5F" w:rsidRPr="00616493" w:rsidRDefault="001E06A0" w:rsidP="00CC5E6C">
            <w:pPr>
              <w:jc w:val="both"/>
            </w:pPr>
            <w:r>
              <w:t xml:space="preserve">Siekiant didinti informacijos apie Lietuvos FINTECH ekosistemą sklaidą užsienyje, Lietuvoje organizuotas </w:t>
            </w:r>
            <w:r w:rsidR="007C7C80">
              <w:t xml:space="preserve">renginys </w:t>
            </w:r>
            <w:r w:rsidR="007C7C80">
              <w:rPr>
                <w:rFonts w:cs="Times New Roman"/>
              </w:rPr>
              <w:t>„</w:t>
            </w:r>
            <w:proofErr w:type="spellStart"/>
            <w:r>
              <w:t>Payments</w:t>
            </w:r>
            <w:proofErr w:type="spellEnd"/>
            <w:r>
              <w:t xml:space="preserve"> </w:t>
            </w:r>
            <w:proofErr w:type="spellStart"/>
            <w:r>
              <w:t>Race</w:t>
            </w:r>
            <w:proofErr w:type="spellEnd"/>
            <w:r w:rsidR="007C7C80">
              <w:rPr>
                <w:rFonts w:cs="Times New Roman"/>
              </w:rPr>
              <w:t>“</w:t>
            </w:r>
            <w:r>
              <w:t xml:space="preserve">. Prieš </w:t>
            </w:r>
            <w:r w:rsidR="007C7C80">
              <w:t xml:space="preserve">konferenciją </w:t>
            </w:r>
            <w:r w:rsidR="007C7C80">
              <w:rPr>
                <w:rFonts w:cs="Times New Roman"/>
              </w:rPr>
              <w:t>„</w:t>
            </w:r>
            <w:r>
              <w:t xml:space="preserve">Money 2020 </w:t>
            </w:r>
            <w:proofErr w:type="spellStart"/>
            <w:r>
              <w:t>Europe</w:t>
            </w:r>
            <w:proofErr w:type="spellEnd"/>
            <w:r w:rsidR="007C7C80">
              <w:rPr>
                <w:rFonts w:cs="Times New Roman"/>
              </w:rPr>
              <w:t>“</w:t>
            </w:r>
            <w:r>
              <w:t>, vykusią 2019 m. birželio 4–6 d</w:t>
            </w:r>
            <w:r w:rsidR="007C7C80">
              <w:t>.</w:t>
            </w:r>
            <w:r>
              <w:t xml:space="preserve"> Amsterdame, 4 nuomonės formuotojai turėjo apkeliauti aplink pasaulį naudodami tik vieną iš mokėjimo metodų (grynieji</w:t>
            </w:r>
            <w:r w:rsidR="007C7C80">
              <w:t xml:space="preserve"> pinigai</w:t>
            </w:r>
            <w:r>
              <w:t xml:space="preserve">, kortelės, mobilieji mokėjimai, </w:t>
            </w:r>
            <w:r w:rsidR="007C7C80">
              <w:t xml:space="preserve"> virtualiosios </w:t>
            </w:r>
            <w:r>
              <w:t xml:space="preserve">valiutos). Buvo privalomos 3 stotelės: Belfastas, Honkongas ir Vilnius. Atvykę į Vilnių </w:t>
            </w:r>
            <w:r w:rsidR="00CC5E6C">
              <w:t xml:space="preserve">konferencijos </w:t>
            </w:r>
            <w:r>
              <w:t xml:space="preserve">dalyviai ėmė interviu iš vietinių FINTECH rinkos žaidėjų (vienas iš daugelio </w:t>
            </w:r>
            <w:r w:rsidR="00CC5E6C">
              <w:t xml:space="preserve">vaizdo įrašų </w:t>
            </w:r>
            <w:hyperlink r:id="rId17" w:history="1">
              <w:r w:rsidR="00416D76" w:rsidRPr="00C10EC2">
                <w:rPr>
                  <w:rStyle w:val="Hipersaitas"/>
                </w:rPr>
                <w:t>https://www.youtube.com/watch?v=E624jIzZE2Y</w:t>
              </w:r>
            </w:hyperlink>
            <w:r>
              <w:t>).</w:t>
            </w:r>
            <w:r w:rsidR="00416D76">
              <w:t xml:space="preserve"> </w:t>
            </w:r>
            <w:r w:rsidR="00CC5E6C">
              <w:t>F</w:t>
            </w:r>
            <w:r w:rsidR="00416D76">
              <w:t>ilmuota medžiaga buvo dalijam</w:t>
            </w:r>
            <w:r w:rsidR="00416D76" w:rsidRPr="00416D76">
              <w:t>asi socialinė</w:t>
            </w:r>
            <w:r w:rsidR="00416D76">
              <w:t xml:space="preserve">se </w:t>
            </w:r>
            <w:proofErr w:type="spellStart"/>
            <w:r w:rsidR="00416D76">
              <w:t>medijose</w:t>
            </w:r>
            <w:proofErr w:type="spellEnd"/>
            <w:r w:rsidR="00416D76">
              <w:t xml:space="preserve">. </w:t>
            </w:r>
            <w:r w:rsidR="00416D76" w:rsidRPr="00416D76">
              <w:t xml:space="preserve">Ši iniciatyva sulaukė daug dėmesio iš </w:t>
            </w:r>
            <w:r w:rsidR="00416D76">
              <w:t>FINTECH</w:t>
            </w:r>
            <w:r w:rsidR="00416D76" w:rsidRPr="00416D76">
              <w:t xml:space="preserve"> industrijos atstovų ir ja besidominčių žmonių.</w:t>
            </w:r>
          </w:p>
        </w:tc>
      </w:tr>
      <w:tr w:rsidR="001F3E5F" w:rsidRPr="00616493" w:rsidTr="008B6AAD">
        <w:trPr>
          <w:trHeight w:val="3154"/>
        </w:trPr>
        <w:tc>
          <w:tcPr>
            <w:tcW w:w="3652" w:type="dxa"/>
            <w:hideMark/>
          </w:tcPr>
          <w:p w:rsidR="001F3E5F" w:rsidRPr="00907448" w:rsidRDefault="001F3E5F" w:rsidP="0008124E">
            <w:pPr>
              <w:jc w:val="both"/>
            </w:pPr>
            <w:r w:rsidRPr="00907448">
              <w:lastRenderedPageBreak/>
              <w:t>2.3. Parengti komunikacijos planą, kuriame būtų numatytos priemonės, siekiant įtraukimo į tarptautinių reitingų agentūrų sudaromus finansinius reitingus (atsižvelgiant į pinigų plovimo atvejų Estijoje ir Latvijoje kontekstą).</w:t>
            </w:r>
            <w:r w:rsidRPr="00907448">
              <w:br/>
              <w:t xml:space="preserve">Siekiamas rodiklis </w:t>
            </w:r>
            <w:r w:rsidR="0008124E" w:rsidRPr="00907448">
              <w:t>–</w:t>
            </w:r>
            <w:r w:rsidRPr="00907448">
              <w:t xml:space="preserve"> </w:t>
            </w:r>
            <w:r w:rsidR="0008124E" w:rsidRPr="00907448">
              <w:t>į</w:t>
            </w:r>
            <w:r w:rsidRPr="00907448">
              <w:t>traukimas į vieną iš svarbiausių tarptautinių finansinių centrų reitingų</w:t>
            </w:r>
            <w:r w:rsidR="0008124E" w:rsidRPr="00907448">
              <w:t>.</w:t>
            </w:r>
          </w:p>
        </w:tc>
        <w:tc>
          <w:tcPr>
            <w:tcW w:w="2410" w:type="dxa"/>
            <w:hideMark/>
          </w:tcPr>
          <w:p w:rsidR="001F3E5F" w:rsidRPr="00907448" w:rsidRDefault="001F3E5F" w:rsidP="00F463B0">
            <w:pPr>
              <w:jc w:val="both"/>
            </w:pPr>
            <w:proofErr w:type="spellStart"/>
            <w:r w:rsidRPr="00907448">
              <w:t>VšĮ</w:t>
            </w:r>
            <w:proofErr w:type="spellEnd"/>
            <w:r w:rsidRPr="00907448">
              <w:t xml:space="preserve"> „GO Vilnius“, Finansų ministerija, Lietuvos bankas</w:t>
            </w:r>
          </w:p>
        </w:tc>
        <w:tc>
          <w:tcPr>
            <w:tcW w:w="1843" w:type="dxa"/>
            <w:hideMark/>
          </w:tcPr>
          <w:p w:rsidR="001F3E5F" w:rsidRPr="00907448" w:rsidRDefault="001F3E5F" w:rsidP="00F463B0">
            <w:pPr>
              <w:jc w:val="both"/>
            </w:pPr>
            <w:r w:rsidRPr="00907448">
              <w:t xml:space="preserve">2019 m. I </w:t>
            </w:r>
            <w:proofErr w:type="spellStart"/>
            <w:r w:rsidRPr="00907448">
              <w:t>ketv</w:t>
            </w:r>
            <w:proofErr w:type="spellEnd"/>
            <w:r w:rsidRPr="00907448">
              <w:t>.</w:t>
            </w:r>
          </w:p>
        </w:tc>
        <w:tc>
          <w:tcPr>
            <w:tcW w:w="6314" w:type="dxa"/>
            <w:hideMark/>
          </w:tcPr>
          <w:p w:rsidR="001F3E5F" w:rsidRPr="00907448" w:rsidRDefault="001F3E5F" w:rsidP="00F463B0">
            <w:pPr>
              <w:jc w:val="both"/>
              <w:rPr>
                <w:b/>
              </w:rPr>
            </w:pPr>
            <w:r w:rsidRPr="00907448">
              <w:rPr>
                <w:b/>
              </w:rPr>
              <w:t>Įgyvendinta.</w:t>
            </w:r>
          </w:p>
          <w:p w:rsidR="001F3E5F" w:rsidRPr="00907448" w:rsidRDefault="001F3E5F" w:rsidP="00F463B0">
            <w:pPr>
              <w:jc w:val="both"/>
            </w:pPr>
            <w:r w:rsidRPr="00907448">
              <w:t>Vilnius įtrauktas į du reikšmingus tarptautinius finansinių centrų reitingus:</w:t>
            </w:r>
          </w:p>
          <w:p w:rsidR="008B6AAD" w:rsidRPr="00907448" w:rsidRDefault="008B6AAD" w:rsidP="008B6AAD">
            <w:pPr>
              <w:pStyle w:val="Sraopastraipa"/>
              <w:numPr>
                <w:ilvl w:val="0"/>
                <w:numId w:val="7"/>
              </w:numPr>
              <w:jc w:val="both"/>
            </w:pPr>
            <w:r w:rsidRPr="00907448">
              <w:t>Tarptautinis FINTECH indeksas (ang</w:t>
            </w:r>
            <w:r w:rsidR="00907448">
              <w:t>l</w:t>
            </w:r>
            <w:r w:rsidRPr="00907448">
              <w:t xml:space="preserve">. </w:t>
            </w:r>
            <w:proofErr w:type="spellStart"/>
            <w:r w:rsidRPr="00907448">
              <w:rPr>
                <w:i/>
              </w:rPr>
              <w:t>The</w:t>
            </w:r>
            <w:proofErr w:type="spellEnd"/>
            <w:r w:rsidRPr="00907448">
              <w:rPr>
                <w:i/>
              </w:rPr>
              <w:t xml:space="preserve"> </w:t>
            </w:r>
            <w:proofErr w:type="spellStart"/>
            <w:r w:rsidRPr="00907448">
              <w:rPr>
                <w:i/>
              </w:rPr>
              <w:t>Global</w:t>
            </w:r>
            <w:proofErr w:type="spellEnd"/>
            <w:r w:rsidRPr="00907448">
              <w:rPr>
                <w:i/>
              </w:rPr>
              <w:t xml:space="preserve"> FINTECH </w:t>
            </w:r>
            <w:proofErr w:type="spellStart"/>
            <w:r w:rsidRPr="00907448">
              <w:rPr>
                <w:i/>
              </w:rPr>
              <w:t>Index</w:t>
            </w:r>
            <w:proofErr w:type="spellEnd"/>
            <w:r w:rsidRPr="00907448">
              <w:t>):</w:t>
            </w:r>
          </w:p>
          <w:p w:rsidR="008B6AAD" w:rsidRPr="00907448" w:rsidRDefault="008B6AAD" w:rsidP="008B6AAD">
            <w:pPr>
              <w:jc w:val="both"/>
            </w:pPr>
            <w:r w:rsidRPr="00907448">
              <w:t>Lietuva – 4 pasaulyje ir 2 Europoje.</w:t>
            </w:r>
          </w:p>
          <w:p w:rsidR="008B6AAD" w:rsidRPr="00907448" w:rsidRDefault="008B6AAD" w:rsidP="008B6AAD">
            <w:pPr>
              <w:pStyle w:val="Sraopastraipa"/>
              <w:numPr>
                <w:ilvl w:val="0"/>
                <w:numId w:val="7"/>
              </w:numPr>
              <w:jc w:val="both"/>
            </w:pPr>
            <w:r w:rsidRPr="00907448">
              <w:t>FINTECH ateities vietos 2019</w:t>
            </w:r>
            <w:r w:rsidR="00907448">
              <w:t xml:space="preserve"> ir </w:t>
            </w:r>
            <w:r w:rsidRPr="00907448">
              <w:t>2020 m. (ang</w:t>
            </w:r>
            <w:r w:rsidR="00907448">
              <w:t>l</w:t>
            </w:r>
            <w:r w:rsidRPr="00907448">
              <w:t xml:space="preserve">. </w:t>
            </w:r>
            <w:r w:rsidRPr="00907448">
              <w:rPr>
                <w:i/>
              </w:rPr>
              <w:t xml:space="preserve">FINTECH </w:t>
            </w:r>
            <w:proofErr w:type="spellStart"/>
            <w:r w:rsidRPr="00907448">
              <w:rPr>
                <w:i/>
              </w:rPr>
              <w:t>Locations</w:t>
            </w:r>
            <w:proofErr w:type="spellEnd"/>
            <w:r w:rsidRPr="00907448">
              <w:rPr>
                <w:i/>
              </w:rPr>
              <w:t xml:space="preserve"> </w:t>
            </w:r>
            <w:proofErr w:type="spellStart"/>
            <w:r w:rsidRPr="00907448">
              <w:rPr>
                <w:i/>
              </w:rPr>
              <w:t>of</w:t>
            </w:r>
            <w:proofErr w:type="spellEnd"/>
            <w:r w:rsidRPr="00907448">
              <w:rPr>
                <w:i/>
              </w:rPr>
              <w:t xml:space="preserve"> </w:t>
            </w:r>
            <w:proofErr w:type="spellStart"/>
            <w:r w:rsidRPr="00907448">
              <w:rPr>
                <w:i/>
              </w:rPr>
              <w:t>the</w:t>
            </w:r>
            <w:proofErr w:type="spellEnd"/>
            <w:r w:rsidRPr="00907448">
              <w:rPr>
                <w:i/>
              </w:rPr>
              <w:t xml:space="preserve"> </w:t>
            </w:r>
            <w:proofErr w:type="spellStart"/>
            <w:r w:rsidRPr="00907448">
              <w:rPr>
                <w:i/>
              </w:rPr>
              <w:t>Future</w:t>
            </w:r>
            <w:proofErr w:type="spellEnd"/>
            <w:r w:rsidRPr="00907448">
              <w:rPr>
                <w:i/>
              </w:rPr>
              <w:t xml:space="preserve"> 2019/20</w:t>
            </w:r>
            <w:r w:rsidRPr="00907448">
              <w:t>):</w:t>
            </w:r>
          </w:p>
          <w:p w:rsidR="008B6AAD" w:rsidRPr="00907448" w:rsidRDefault="008B6AAD" w:rsidP="008B6AAD">
            <w:pPr>
              <w:jc w:val="both"/>
            </w:pPr>
            <w:r w:rsidRPr="00907448">
              <w:t xml:space="preserve">Lietuva </w:t>
            </w:r>
            <w:r w:rsidR="00907448">
              <w:t>–</w:t>
            </w:r>
            <w:r w:rsidRPr="00907448">
              <w:t xml:space="preserve"> 7 pagal tiesioginių užsienio investicijų pritraukimą, 1 pagal ekonominį efektyvumą.</w:t>
            </w:r>
          </w:p>
          <w:p w:rsidR="001F3E5F" w:rsidRPr="00907448" w:rsidRDefault="001F3E5F" w:rsidP="00E6609A">
            <w:pPr>
              <w:jc w:val="both"/>
            </w:pPr>
          </w:p>
        </w:tc>
      </w:tr>
      <w:tr w:rsidR="001F3E5F" w:rsidRPr="00616493" w:rsidTr="00E6609A">
        <w:trPr>
          <w:trHeight w:val="1214"/>
        </w:trPr>
        <w:tc>
          <w:tcPr>
            <w:tcW w:w="3652" w:type="dxa"/>
            <w:hideMark/>
          </w:tcPr>
          <w:p w:rsidR="001F3E5F" w:rsidRPr="00616493" w:rsidRDefault="001F3E5F" w:rsidP="00F463B0">
            <w:pPr>
              <w:jc w:val="both"/>
            </w:pPr>
            <w:r w:rsidRPr="00616493">
              <w:t xml:space="preserve">2.4. Sukurti </w:t>
            </w:r>
            <w:r w:rsidR="00F463B0">
              <w:t>FINTECH</w:t>
            </w:r>
            <w:r w:rsidRPr="00616493">
              <w:t xml:space="preserve"> ir Lietuvos jurisdikciją pristatančio stendo dizainą.</w:t>
            </w:r>
          </w:p>
        </w:tc>
        <w:tc>
          <w:tcPr>
            <w:tcW w:w="2410" w:type="dxa"/>
            <w:hideMark/>
          </w:tcPr>
          <w:p w:rsidR="001F3E5F" w:rsidRPr="00616493" w:rsidRDefault="001F3E5F" w:rsidP="00F463B0">
            <w:pPr>
              <w:jc w:val="both"/>
            </w:pPr>
            <w:proofErr w:type="spellStart"/>
            <w:r w:rsidRPr="00616493">
              <w:t>VšĮ</w:t>
            </w:r>
            <w:proofErr w:type="spellEnd"/>
            <w:r w:rsidRPr="00616493">
              <w:t xml:space="preserve"> „Investuok Lietuvoje“, Lietuvos bankas, Finansų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F463B0">
            <w:pPr>
              <w:jc w:val="both"/>
            </w:pPr>
            <w:r w:rsidRPr="00616493">
              <w:t>Stendas sukurtas</w:t>
            </w:r>
            <w:r>
              <w:t>.</w:t>
            </w:r>
          </w:p>
        </w:tc>
      </w:tr>
      <w:tr w:rsidR="001F3E5F" w:rsidRPr="00616493" w:rsidTr="001F3E5F">
        <w:trPr>
          <w:trHeight w:val="2688"/>
        </w:trPr>
        <w:tc>
          <w:tcPr>
            <w:tcW w:w="3652" w:type="dxa"/>
            <w:hideMark/>
          </w:tcPr>
          <w:p w:rsidR="001F3E5F" w:rsidRPr="00616493" w:rsidRDefault="001F3E5F" w:rsidP="00F463B0">
            <w:pPr>
              <w:jc w:val="both"/>
            </w:pPr>
            <w:r w:rsidRPr="00616493">
              <w:t xml:space="preserve">2.5. Užtikrinti su </w:t>
            </w:r>
            <w:r w:rsidR="00F463B0">
              <w:t>FINTECH</w:t>
            </w:r>
            <w:r w:rsidRPr="00616493">
              <w:t xml:space="preserve"> susijusių naujienų srauto viešinimą.</w:t>
            </w:r>
          </w:p>
        </w:tc>
        <w:tc>
          <w:tcPr>
            <w:tcW w:w="2410" w:type="dxa"/>
            <w:hideMark/>
          </w:tcPr>
          <w:p w:rsidR="001F3E5F" w:rsidRPr="00616493" w:rsidRDefault="001F3E5F" w:rsidP="00F463B0">
            <w:pPr>
              <w:jc w:val="both"/>
            </w:pPr>
            <w:proofErr w:type="spellStart"/>
            <w:r w:rsidRPr="00616493">
              <w:t>VšĮ</w:t>
            </w:r>
            <w:proofErr w:type="spellEnd"/>
            <w:r w:rsidRPr="00616493">
              <w:t xml:space="preserve"> „Investuok Lietuvoje“, Lietuvos bankas, Finansų ministerija, </w:t>
            </w:r>
            <w:proofErr w:type="spellStart"/>
            <w:r w:rsidRPr="00616493">
              <w:t>VšĮ</w:t>
            </w:r>
            <w:proofErr w:type="spellEnd"/>
            <w:r w:rsidRPr="00616493">
              <w:t xml:space="preserve"> „GO Vilnius“</w:t>
            </w:r>
          </w:p>
        </w:tc>
        <w:tc>
          <w:tcPr>
            <w:tcW w:w="1843" w:type="dxa"/>
            <w:hideMark/>
          </w:tcPr>
          <w:p w:rsidR="001F3E5F" w:rsidRPr="00616493" w:rsidRDefault="001F3E5F" w:rsidP="00F463B0">
            <w:pPr>
              <w:jc w:val="both"/>
            </w:pPr>
            <w:r w:rsidRPr="00616493">
              <w:t>Nuolat</w:t>
            </w:r>
          </w:p>
        </w:tc>
        <w:tc>
          <w:tcPr>
            <w:tcW w:w="6314" w:type="dxa"/>
            <w:hideMark/>
          </w:tcPr>
          <w:p w:rsidR="001F3E5F" w:rsidRPr="00590FA7" w:rsidRDefault="006643F0" w:rsidP="00F463B0">
            <w:pPr>
              <w:jc w:val="both"/>
              <w:rPr>
                <w:b/>
              </w:rPr>
            </w:pPr>
            <w:r>
              <w:rPr>
                <w:b/>
              </w:rPr>
              <w:t>Įgyvendinama.</w:t>
            </w:r>
          </w:p>
          <w:p w:rsidR="001F3E5F" w:rsidRDefault="001F3E5F" w:rsidP="004E5933">
            <w:pPr>
              <w:jc w:val="both"/>
            </w:pPr>
            <w:r>
              <w:t>Per 2019 m. spaudoje pasirodė beveik 100 publikacijų. Lietuva m</w:t>
            </w:r>
            <w:r w:rsidR="00E6609A">
              <w:t>inėta tokiuose leidiniuose</w:t>
            </w:r>
            <w:r w:rsidR="00907448">
              <w:t xml:space="preserve"> ir informacijos šaltiniuose</w:t>
            </w:r>
            <w:r w:rsidR="00E6609A">
              <w:t xml:space="preserve"> kaip</w:t>
            </w:r>
            <w:r>
              <w:t xml:space="preserve"> </w:t>
            </w:r>
            <w:r w:rsidR="00907448">
              <w:rPr>
                <w:rFonts w:cs="Times New Roman"/>
              </w:rPr>
              <w:t>„</w:t>
            </w:r>
            <w:proofErr w:type="spellStart"/>
            <w:r>
              <w:t>Bloomberg</w:t>
            </w:r>
            <w:proofErr w:type="spellEnd"/>
            <w:r w:rsidR="00907448">
              <w:rPr>
                <w:rFonts w:cs="Times New Roman"/>
              </w:rPr>
              <w:t>“</w:t>
            </w:r>
            <w:r>
              <w:t xml:space="preserve">, BBC, </w:t>
            </w:r>
            <w:r w:rsidR="00907448">
              <w:rPr>
                <w:rFonts w:cs="Times New Roman"/>
              </w:rPr>
              <w:t>„</w:t>
            </w:r>
            <w:proofErr w:type="spellStart"/>
            <w:r>
              <w:t>Wired</w:t>
            </w:r>
            <w:proofErr w:type="spellEnd"/>
            <w:r w:rsidR="00907448">
              <w:rPr>
                <w:rFonts w:cs="Times New Roman"/>
              </w:rPr>
              <w:t>“</w:t>
            </w:r>
            <w:r>
              <w:t xml:space="preserve">, </w:t>
            </w:r>
            <w:r w:rsidR="00907448">
              <w:rPr>
                <w:rFonts w:cs="Times New Roman"/>
              </w:rPr>
              <w:t>„</w:t>
            </w:r>
            <w:proofErr w:type="spellStart"/>
            <w:r w:rsidRPr="00050416">
              <w:t>Fina</w:t>
            </w:r>
            <w:r>
              <w:t>ncial</w:t>
            </w:r>
            <w:proofErr w:type="spellEnd"/>
            <w:r>
              <w:t xml:space="preserve"> </w:t>
            </w:r>
            <w:proofErr w:type="spellStart"/>
            <w:r>
              <w:t>Times</w:t>
            </w:r>
            <w:proofErr w:type="spellEnd"/>
            <w:r w:rsidR="00907448">
              <w:rPr>
                <w:rFonts w:cs="Times New Roman"/>
              </w:rPr>
              <w:t>“</w:t>
            </w:r>
            <w:r>
              <w:t xml:space="preserve"> ir</w:t>
            </w:r>
            <w:r w:rsidRPr="00050416">
              <w:t xml:space="preserve"> </w:t>
            </w:r>
            <w:r w:rsidR="00907448">
              <w:rPr>
                <w:rFonts w:cs="Times New Roman"/>
              </w:rPr>
              <w:t>„</w:t>
            </w:r>
            <w:proofErr w:type="spellStart"/>
            <w:r w:rsidRPr="00050416">
              <w:t>Business</w:t>
            </w:r>
            <w:proofErr w:type="spellEnd"/>
            <w:r w:rsidRPr="00050416">
              <w:t xml:space="preserve"> </w:t>
            </w:r>
            <w:proofErr w:type="spellStart"/>
            <w:r w:rsidRPr="00050416">
              <w:t>Inside</w:t>
            </w:r>
            <w:proofErr w:type="spellEnd"/>
            <w:r w:rsidR="00907448">
              <w:rPr>
                <w:rFonts w:cs="Times New Roman"/>
              </w:rPr>
              <w:t>“</w:t>
            </w:r>
            <w:r>
              <w:t>.</w:t>
            </w:r>
          </w:p>
          <w:p w:rsidR="001F3E5F" w:rsidRDefault="001F3E5F" w:rsidP="004E5933">
            <w:pPr>
              <w:jc w:val="both"/>
            </w:pPr>
            <w:r>
              <w:t>Parengtas pirmasis</w:t>
            </w:r>
            <w:r w:rsidR="00907448">
              <w:rPr>
                <w:i/>
              </w:rPr>
              <w:t xml:space="preserve"> </w:t>
            </w:r>
            <w:r w:rsidR="00907448">
              <w:t>internetinis seminaras</w:t>
            </w:r>
            <w:r>
              <w:t xml:space="preserve">: </w:t>
            </w:r>
            <w:hyperlink r:id="rId18" w:history="1">
              <w:r w:rsidR="00273C5E" w:rsidRPr="005B67CA">
                <w:rPr>
                  <w:rStyle w:val="Hipersaitas"/>
                </w:rPr>
                <w:t>https://www.youtube.com/watch?v=UBFfcfOBo_8)/</w:t>
              </w:r>
            </w:hyperlink>
            <w:r w:rsidR="00091E28">
              <w:t>.</w:t>
            </w:r>
          </w:p>
          <w:p w:rsidR="001F3E5F" w:rsidRPr="00616493" w:rsidRDefault="00091E28" w:rsidP="001107CA">
            <w:pPr>
              <w:jc w:val="both"/>
            </w:pPr>
            <w:r>
              <w:t xml:space="preserve">Užfiksuota </w:t>
            </w:r>
            <w:r w:rsidR="001F3E5F">
              <w:t>121</w:t>
            </w:r>
            <w:r>
              <w:t xml:space="preserve"> </w:t>
            </w:r>
            <w:r w:rsidR="001F3E5F">
              <w:t xml:space="preserve">700 </w:t>
            </w:r>
            <w:proofErr w:type="spellStart"/>
            <w:r w:rsidRPr="00402231">
              <w:rPr>
                <w:i/>
              </w:rPr>
              <w:t>Google</w:t>
            </w:r>
            <w:proofErr w:type="spellEnd"/>
            <w:r w:rsidRPr="00402231">
              <w:rPr>
                <w:i/>
              </w:rPr>
              <w:t xml:space="preserve"> </w:t>
            </w:r>
            <w:proofErr w:type="spellStart"/>
            <w:r w:rsidRPr="00402231">
              <w:rPr>
                <w:i/>
              </w:rPr>
              <w:t>Ads</w:t>
            </w:r>
            <w:proofErr w:type="spellEnd"/>
            <w:r>
              <w:t xml:space="preserve"> </w:t>
            </w:r>
            <w:r w:rsidR="001F3E5F">
              <w:t>parodymų tikslinėse rinkose, 20</w:t>
            </w:r>
            <w:r>
              <w:t xml:space="preserve"> </w:t>
            </w:r>
            <w:r w:rsidR="001F3E5F">
              <w:t xml:space="preserve">400 </w:t>
            </w:r>
            <w:proofErr w:type="spellStart"/>
            <w:r w:rsidR="001F3E5F" w:rsidRPr="004E5933">
              <w:rPr>
                <w:i/>
              </w:rPr>
              <w:t>Google</w:t>
            </w:r>
            <w:proofErr w:type="spellEnd"/>
            <w:r w:rsidR="001F3E5F">
              <w:t xml:space="preserve"> </w:t>
            </w:r>
            <w:r>
              <w:t xml:space="preserve">natūralios </w:t>
            </w:r>
            <w:r w:rsidR="001F3E5F">
              <w:t>paieško</w:t>
            </w:r>
            <w:r>
              <w:t>s parodymų</w:t>
            </w:r>
            <w:r w:rsidR="001F3E5F">
              <w:t>.</w:t>
            </w:r>
          </w:p>
        </w:tc>
      </w:tr>
      <w:tr w:rsidR="001F3E5F" w:rsidRPr="00616493" w:rsidTr="001F3E5F">
        <w:trPr>
          <w:trHeight w:val="945"/>
        </w:trPr>
        <w:tc>
          <w:tcPr>
            <w:tcW w:w="3652" w:type="dxa"/>
            <w:hideMark/>
          </w:tcPr>
          <w:p w:rsidR="001F3E5F" w:rsidRPr="00616493" w:rsidRDefault="001F3E5F" w:rsidP="00F463B0">
            <w:pPr>
              <w:jc w:val="both"/>
            </w:pPr>
            <w:r w:rsidRPr="00616493">
              <w:t>2.6. Pasiūlyti Lietuvos bankui „</w:t>
            </w:r>
            <w:proofErr w:type="spellStart"/>
            <w:r w:rsidRPr="00616493">
              <w:t>Newcomer</w:t>
            </w:r>
            <w:proofErr w:type="spellEnd"/>
            <w:r w:rsidRPr="00616493">
              <w:t>“ programą plėsti į tikslines užsienio rinkas.</w:t>
            </w:r>
          </w:p>
        </w:tc>
        <w:tc>
          <w:tcPr>
            <w:tcW w:w="2410" w:type="dxa"/>
            <w:hideMark/>
          </w:tcPr>
          <w:p w:rsidR="001F3E5F" w:rsidRPr="00616493" w:rsidRDefault="001F3E5F" w:rsidP="00F463B0">
            <w:pPr>
              <w:jc w:val="both"/>
            </w:pPr>
            <w:r w:rsidRPr="00616493">
              <w:t>Lietuvos bankas, Užsienio reikalų ministerija</w:t>
            </w:r>
          </w:p>
        </w:tc>
        <w:tc>
          <w:tcPr>
            <w:tcW w:w="1843" w:type="dxa"/>
            <w:hideMark/>
          </w:tcPr>
          <w:p w:rsidR="001F3E5F" w:rsidRPr="00616493" w:rsidRDefault="001F3E5F" w:rsidP="00F463B0">
            <w:pPr>
              <w:jc w:val="both"/>
            </w:pPr>
            <w:r w:rsidRPr="00616493">
              <w:t>Nuolat</w:t>
            </w:r>
          </w:p>
        </w:tc>
        <w:tc>
          <w:tcPr>
            <w:tcW w:w="6314" w:type="dxa"/>
            <w:hideMark/>
          </w:tcPr>
          <w:p w:rsidR="00091E28" w:rsidRDefault="006643F0" w:rsidP="00F463B0">
            <w:pPr>
              <w:jc w:val="both"/>
            </w:pPr>
            <w:r>
              <w:rPr>
                <w:b/>
              </w:rPr>
              <w:t>Įgyvendinama.</w:t>
            </w:r>
          </w:p>
          <w:p w:rsidR="001F3E5F" w:rsidRPr="00616493" w:rsidRDefault="00091E28" w:rsidP="00091E28">
            <w:pPr>
              <w:jc w:val="both"/>
            </w:pPr>
            <w:r>
              <w:t>D</w:t>
            </w:r>
            <w:r w:rsidR="001F3E5F" w:rsidRPr="00616493">
              <w:t>alyvau</w:t>
            </w:r>
            <w:r>
              <w:t>ta</w:t>
            </w:r>
            <w:r w:rsidR="001F3E5F" w:rsidRPr="00616493">
              <w:t xml:space="preserve"> tikslinių rinkų renginiuose</w:t>
            </w:r>
            <w:r w:rsidR="001F3E5F">
              <w:t>.</w:t>
            </w:r>
          </w:p>
        </w:tc>
      </w:tr>
      <w:tr w:rsidR="001F3E5F" w:rsidRPr="00616493" w:rsidTr="001F3E5F">
        <w:trPr>
          <w:trHeight w:val="945"/>
        </w:trPr>
        <w:tc>
          <w:tcPr>
            <w:tcW w:w="3652" w:type="dxa"/>
            <w:hideMark/>
          </w:tcPr>
          <w:p w:rsidR="001F3E5F" w:rsidRPr="00616493" w:rsidRDefault="001F3E5F" w:rsidP="00F463B0">
            <w:pPr>
              <w:jc w:val="both"/>
            </w:pPr>
            <w:r w:rsidRPr="00616493">
              <w:t xml:space="preserve">2.7. </w:t>
            </w:r>
            <w:proofErr w:type="spellStart"/>
            <w:r w:rsidRPr="00616493">
              <w:t>VšĮ</w:t>
            </w:r>
            <w:proofErr w:type="spellEnd"/>
            <w:r w:rsidRPr="00616493">
              <w:t xml:space="preserve"> „Investuok Lietuvoje“ parengto sąrašo pagrindu koordinuoti užsienio </w:t>
            </w:r>
            <w:r w:rsidRPr="00616493">
              <w:lastRenderedPageBreak/>
              <w:t xml:space="preserve">investuotojams svarbios informacijos prieinamumą (teisės aktai, įmonės registracijos reikalavimai, leidimų ir licencijų gavimas) ir susirašinėjimą užsienio kalba.  </w:t>
            </w:r>
          </w:p>
        </w:tc>
        <w:tc>
          <w:tcPr>
            <w:tcW w:w="2410" w:type="dxa"/>
            <w:hideMark/>
          </w:tcPr>
          <w:p w:rsidR="001F3E5F" w:rsidRPr="00616493" w:rsidRDefault="001F3E5F" w:rsidP="00F463B0">
            <w:pPr>
              <w:jc w:val="both"/>
            </w:pPr>
            <w:r w:rsidRPr="00616493">
              <w:lastRenderedPageBreak/>
              <w:t>Vyriausybės kanceliarija</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E6609A" w:rsidRDefault="00F463B0" w:rsidP="00F463B0">
            <w:pPr>
              <w:jc w:val="both"/>
              <w:rPr>
                <w:b/>
              </w:rPr>
            </w:pPr>
            <w:r w:rsidRPr="00E6609A">
              <w:rPr>
                <w:b/>
              </w:rPr>
              <w:t>Įgyvendinta.</w:t>
            </w:r>
          </w:p>
          <w:p w:rsidR="001F3E5F" w:rsidRPr="00616493" w:rsidRDefault="001F3E5F" w:rsidP="00F463B0">
            <w:pPr>
              <w:jc w:val="both"/>
            </w:pPr>
            <w:r>
              <w:t>Informacija užsienio investuotojams prieinama anglų kalba.</w:t>
            </w:r>
          </w:p>
        </w:tc>
      </w:tr>
      <w:tr w:rsidR="001F3E5F" w:rsidRPr="00616493" w:rsidTr="001F3E5F">
        <w:trPr>
          <w:trHeight w:val="2520"/>
        </w:trPr>
        <w:tc>
          <w:tcPr>
            <w:tcW w:w="3652" w:type="dxa"/>
            <w:hideMark/>
          </w:tcPr>
          <w:p w:rsidR="001F3E5F" w:rsidRPr="00616493" w:rsidRDefault="001F3E5F" w:rsidP="00F463B0">
            <w:pPr>
              <w:jc w:val="both"/>
            </w:pPr>
            <w:r w:rsidRPr="00616493">
              <w:lastRenderedPageBreak/>
              <w:t>2.8. Įvertinti galimybę įmonę steigiant elektroniniu būdu reikalingus dokumentus pateikti užsienio (anglų) kalba.</w:t>
            </w:r>
          </w:p>
        </w:tc>
        <w:tc>
          <w:tcPr>
            <w:tcW w:w="2410" w:type="dxa"/>
            <w:hideMark/>
          </w:tcPr>
          <w:p w:rsidR="001F3E5F" w:rsidRPr="00616493" w:rsidRDefault="001F3E5F" w:rsidP="00F463B0">
            <w:pPr>
              <w:jc w:val="both"/>
            </w:pPr>
            <w:r w:rsidRPr="00616493">
              <w:t>VĮ Registrų centras, Teisingumo ministerija</w:t>
            </w:r>
          </w:p>
        </w:tc>
        <w:tc>
          <w:tcPr>
            <w:tcW w:w="1843" w:type="dxa"/>
            <w:hideMark/>
          </w:tcPr>
          <w:p w:rsidR="001F3E5F" w:rsidRPr="00616493" w:rsidRDefault="001F3E5F" w:rsidP="00F463B0">
            <w:pPr>
              <w:jc w:val="both"/>
            </w:pPr>
            <w:r w:rsidRPr="00616493">
              <w:t xml:space="preserve">2019 m. IV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091E28">
            <w:pPr>
              <w:jc w:val="both"/>
            </w:pPr>
            <w:r w:rsidRPr="00616493">
              <w:t>Iki 2020 m. lapkričio 1 d. planuojama sukurti Juridinių asmenų elektroninės paslaugos (JAREP) funkci</w:t>
            </w:r>
            <w:r w:rsidR="00091E28">
              <w:t>nes galimybes</w:t>
            </w:r>
            <w:r w:rsidRPr="00616493">
              <w:t xml:space="preserve">,  </w:t>
            </w:r>
            <w:r w:rsidR="00091E28">
              <w:t xml:space="preserve">leidžiančias </w:t>
            </w:r>
            <w:r w:rsidRPr="00616493">
              <w:t>klient</w:t>
            </w:r>
            <w:r w:rsidR="00091E28">
              <w:t>am</w:t>
            </w:r>
            <w:r w:rsidRPr="00616493">
              <w:t>s anglų kalba pildyti duomenis dėl naujo juridinio asmens steigimo i</w:t>
            </w:r>
            <w:r w:rsidR="00091E28">
              <w:t>r</w:t>
            </w:r>
            <w:r w:rsidRPr="00616493">
              <w:t xml:space="preserve"> laikino juridinio asmens pavadinimo įrašymo į Juridinių asmenų registrą</w:t>
            </w:r>
            <w:r w:rsidR="00E6609A">
              <w:t>.</w:t>
            </w:r>
          </w:p>
        </w:tc>
      </w:tr>
      <w:tr w:rsidR="001F3E5F" w:rsidRPr="00616493" w:rsidTr="001F3E5F">
        <w:trPr>
          <w:trHeight w:val="2085"/>
        </w:trPr>
        <w:tc>
          <w:tcPr>
            <w:tcW w:w="3652" w:type="dxa"/>
            <w:hideMark/>
          </w:tcPr>
          <w:p w:rsidR="001F3E5F" w:rsidRPr="00616493" w:rsidRDefault="001F3E5F" w:rsidP="001107CA">
            <w:pPr>
              <w:jc w:val="both"/>
            </w:pPr>
            <w:r w:rsidRPr="00616493">
              <w:t>2.9. Įkurti komitetą dėl 1</w:t>
            </w:r>
            <w:r w:rsidR="001107CA">
              <w:t xml:space="preserve">7 </w:t>
            </w:r>
            <w:r w:rsidRPr="00616493">
              <w:t xml:space="preserve">+ 1 formato valstybių </w:t>
            </w:r>
            <w:r w:rsidR="00F463B0">
              <w:t>FINTECH</w:t>
            </w:r>
            <w:r w:rsidRPr="00616493">
              <w:t xml:space="preserve"> koordinavimo centro įsteigimo ir aukšto lygio </w:t>
            </w:r>
            <w:r w:rsidR="00F463B0">
              <w:t>FINTECH</w:t>
            </w:r>
            <w:r w:rsidRPr="00616493">
              <w:t xml:space="preserve"> konferencijos organizavimo 2019 metais.</w:t>
            </w:r>
          </w:p>
        </w:tc>
        <w:tc>
          <w:tcPr>
            <w:tcW w:w="2410" w:type="dxa"/>
            <w:hideMark/>
          </w:tcPr>
          <w:p w:rsidR="001F3E5F" w:rsidRPr="00616493" w:rsidRDefault="001F3E5F" w:rsidP="00F463B0">
            <w:pPr>
              <w:jc w:val="both"/>
            </w:pPr>
            <w:r w:rsidRPr="00616493">
              <w:t xml:space="preserve">Finansų ministerija, Vyriausybės kanceliarija, Užsienio reikalų ministerija </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Default="001F3E5F" w:rsidP="00F463B0">
            <w:pPr>
              <w:jc w:val="both"/>
            </w:pPr>
            <w:r>
              <w:t>Atskiras komitetas nekurtas</w:t>
            </w:r>
            <w:r w:rsidRPr="00616493">
              <w:t>, tačiau suorganizuotas 17</w:t>
            </w:r>
            <w:r w:rsidR="00210ABC">
              <w:t xml:space="preserve"> </w:t>
            </w:r>
            <w:r w:rsidRPr="00616493">
              <w:t>+</w:t>
            </w:r>
            <w:r w:rsidR="00210ABC">
              <w:t xml:space="preserve"> </w:t>
            </w:r>
            <w:r w:rsidRPr="00616493">
              <w:t xml:space="preserve">1 </w:t>
            </w:r>
            <w:r>
              <w:t xml:space="preserve">aukšto lygio </w:t>
            </w:r>
            <w:r w:rsidR="00F463B0">
              <w:t>FINTECH</w:t>
            </w:r>
            <w:r>
              <w:t xml:space="preserve"> f</w:t>
            </w:r>
            <w:r w:rsidRPr="00616493">
              <w:t>orum</w:t>
            </w:r>
            <w:r>
              <w:t>as</w:t>
            </w:r>
            <w:r w:rsidRPr="00616493">
              <w:t xml:space="preserve"> ir įsteigtas 17</w:t>
            </w:r>
            <w:r w:rsidR="00210ABC">
              <w:t xml:space="preserve"> </w:t>
            </w:r>
            <w:r w:rsidRPr="00616493">
              <w:t>+</w:t>
            </w:r>
            <w:r w:rsidR="00210ABC">
              <w:t xml:space="preserve"> </w:t>
            </w:r>
            <w:r w:rsidRPr="00616493">
              <w:t xml:space="preserve">1 </w:t>
            </w:r>
            <w:r w:rsidR="00F463B0">
              <w:t>FINTECH</w:t>
            </w:r>
            <w:r w:rsidRPr="00616493">
              <w:t xml:space="preserve"> koordinavimo cen</w:t>
            </w:r>
            <w:r>
              <w:t xml:space="preserve">tras: </w:t>
            </w:r>
            <w:hyperlink r:id="rId19" w:history="1">
              <w:r w:rsidRPr="00C10EC2">
                <w:rPr>
                  <w:rStyle w:val="Hipersaitas"/>
                </w:rPr>
                <w:t>http://finmin.lrv.lt/lt/naujienos/lietuvoje-kuriamas-vidurio-ir-rytu-europos-saliu-bei-kinijos-17-1-bendradarbiavimo-formato-</w:t>
              </w:r>
              <w:r w:rsidR="00F463B0">
                <w:rPr>
                  <w:rStyle w:val="Hipersaitas"/>
                </w:rPr>
                <w:t>FINTECH</w:t>
              </w:r>
              <w:r w:rsidRPr="00C10EC2">
                <w:rPr>
                  <w:rStyle w:val="Hipersaitas"/>
                </w:rPr>
                <w:t>-koordinatoriu-tinklas</w:t>
              </w:r>
            </w:hyperlink>
            <w:r>
              <w:t xml:space="preserve">. </w:t>
            </w:r>
          </w:p>
          <w:p w:rsidR="001F3E5F" w:rsidRPr="00616493" w:rsidRDefault="001F3E5F" w:rsidP="00F463B0">
            <w:pPr>
              <w:jc w:val="both"/>
            </w:pPr>
          </w:p>
        </w:tc>
      </w:tr>
      <w:tr w:rsidR="001F3E5F" w:rsidRPr="00616493" w:rsidTr="001F3E5F">
        <w:trPr>
          <w:trHeight w:val="1575"/>
        </w:trPr>
        <w:tc>
          <w:tcPr>
            <w:tcW w:w="3652" w:type="dxa"/>
            <w:hideMark/>
          </w:tcPr>
          <w:p w:rsidR="001F3E5F" w:rsidRPr="00616493" w:rsidRDefault="001F3E5F" w:rsidP="00210ABC">
            <w:pPr>
              <w:jc w:val="both"/>
            </w:pPr>
            <w:r w:rsidRPr="00616493">
              <w:t xml:space="preserve">2.10. Nustatyti užsienyje veikiančias </w:t>
            </w:r>
            <w:r w:rsidR="00F463B0">
              <w:t>FINTECH</w:t>
            </w:r>
            <w:r w:rsidRPr="00616493">
              <w:t xml:space="preserve"> įmones, kurių veiklos pritraukimas į Lietuvą laikytinas prioritetiniu, ir </w:t>
            </w:r>
            <w:r w:rsidR="00210ABC">
              <w:t xml:space="preserve">parengti </w:t>
            </w:r>
            <w:r w:rsidRPr="00616493">
              <w:t>ši</w:t>
            </w:r>
            <w:r w:rsidR="00210ABC">
              <w:t>oms</w:t>
            </w:r>
            <w:r w:rsidRPr="00616493">
              <w:t xml:space="preserve"> įmon</w:t>
            </w:r>
            <w:r w:rsidR="00210ABC">
              <w:t>ėms</w:t>
            </w:r>
            <w:r w:rsidRPr="00616493">
              <w:t xml:space="preserve"> pritrauk</w:t>
            </w:r>
            <w:r w:rsidR="00210ABC">
              <w:t>t</w:t>
            </w:r>
            <w:r w:rsidRPr="00616493">
              <w:t xml:space="preserve">i reikalingus pasiūlymus. </w:t>
            </w:r>
          </w:p>
        </w:tc>
        <w:tc>
          <w:tcPr>
            <w:tcW w:w="2410" w:type="dxa"/>
            <w:hideMark/>
          </w:tcPr>
          <w:p w:rsidR="001F3E5F" w:rsidRPr="00616493" w:rsidRDefault="001F3E5F" w:rsidP="00167BA4">
            <w:pPr>
              <w:jc w:val="both"/>
            </w:pPr>
            <w:proofErr w:type="spellStart"/>
            <w:r w:rsidRPr="00616493">
              <w:t>VšĮ</w:t>
            </w:r>
            <w:proofErr w:type="spellEnd"/>
            <w:r w:rsidRPr="00616493">
              <w:t xml:space="preserve"> „Investuok Lietuvoje“, </w:t>
            </w:r>
            <w:r w:rsidR="00167BA4">
              <w:t xml:space="preserve">Ekonomikos ir inovacijų </w:t>
            </w:r>
            <w:r w:rsidRPr="00616493">
              <w:t>ministerija, Finansų ministerija,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210ABC">
            <w:pPr>
              <w:jc w:val="both"/>
            </w:pPr>
            <w:r w:rsidRPr="00616493">
              <w:t>Sąrašas</w:t>
            </w:r>
            <w:r w:rsidR="00210ABC">
              <w:t xml:space="preserve"> parengtas</w:t>
            </w:r>
            <w:r>
              <w:t xml:space="preserve">. </w:t>
            </w:r>
            <w:r w:rsidRPr="00050416">
              <w:t>2019</w:t>
            </w:r>
            <w:r w:rsidR="0004425E">
              <w:t xml:space="preserve"> m.</w:t>
            </w:r>
            <w:r w:rsidRPr="00050416">
              <w:t xml:space="preserve"> įvyko susitikimai su 50 įmonių iš šio sąrašo, pusė šių įmonių išreiškė susidomėjimą Lietuva ir su jomis </w:t>
            </w:r>
            <w:r w:rsidR="00210ABC">
              <w:t xml:space="preserve">įgyvendinami </w:t>
            </w:r>
            <w:r>
              <w:t xml:space="preserve">tęstiniai projektai. </w:t>
            </w:r>
            <w:r w:rsidRPr="00050416">
              <w:t>3 įmonės iš šio sąrašo</w:t>
            </w:r>
            <w:r>
              <w:t xml:space="preserve"> </w:t>
            </w:r>
            <w:r w:rsidR="00210ABC">
              <w:t>–</w:t>
            </w:r>
            <w:r>
              <w:t xml:space="preserve"> </w:t>
            </w:r>
            <w:r w:rsidR="00210ABC">
              <w:rPr>
                <w:rFonts w:cs="Times New Roman"/>
              </w:rPr>
              <w:t>„</w:t>
            </w:r>
            <w:proofErr w:type="spellStart"/>
            <w:r>
              <w:t>Earthport</w:t>
            </w:r>
            <w:proofErr w:type="spellEnd"/>
            <w:r w:rsidR="00210ABC">
              <w:rPr>
                <w:rFonts w:cs="Times New Roman"/>
              </w:rPr>
              <w:t>“</w:t>
            </w:r>
            <w:r>
              <w:t xml:space="preserve">, </w:t>
            </w:r>
            <w:r w:rsidR="00210ABC">
              <w:rPr>
                <w:rFonts w:cs="Times New Roman"/>
              </w:rPr>
              <w:t>„</w:t>
            </w:r>
            <w:proofErr w:type="spellStart"/>
            <w:r>
              <w:t>Sumup</w:t>
            </w:r>
            <w:proofErr w:type="spellEnd"/>
            <w:r w:rsidR="00210ABC">
              <w:rPr>
                <w:rFonts w:cs="Times New Roman"/>
              </w:rPr>
              <w:t>“</w:t>
            </w:r>
            <w:r>
              <w:t xml:space="preserve"> ir </w:t>
            </w:r>
            <w:r w:rsidR="00210ABC">
              <w:rPr>
                <w:rFonts w:cs="Times New Roman"/>
              </w:rPr>
              <w:t>„</w:t>
            </w:r>
            <w:proofErr w:type="spellStart"/>
            <w:r>
              <w:t>Flywire</w:t>
            </w:r>
            <w:proofErr w:type="spellEnd"/>
            <w:r w:rsidR="00210ABC">
              <w:rPr>
                <w:rFonts w:cs="Times New Roman"/>
              </w:rPr>
              <w:t>“</w:t>
            </w:r>
            <w:r>
              <w:t xml:space="preserve"> </w:t>
            </w:r>
            <w:r w:rsidR="00210ABC">
              <w:t>–</w:t>
            </w:r>
            <w:r w:rsidRPr="00050416">
              <w:t xml:space="preserve"> jau įsikūrė Lietuvoje.</w:t>
            </w:r>
          </w:p>
        </w:tc>
      </w:tr>
      <w:tr w:rsidR="001F3E5F" w:rsidRPr="00616493" w:rsidTr="001F3E5F">
        <w:trPr>
          <w:trHeight w:val="945"/>
        </w:trPr>
        <w:tc>
          <w:tcPr>
            <w:tcW w:w="3652" w:type="dxa"/>
            <w:hideMark/>
          </w:tcPr>
          <w:p w:rsidR="001F3E5F" w:rsidRPr="00616493" w:rsidRDefault="001F3E5F" w:rsidP="00F463B0">
            <w:pPr>
              <w:jc w:val="both"/>
            </w:pPr>
            <w:r w:rsidRPr="00616493">
              <w:t xml:space="preserve">2.11. Siūlyti Vilniaus miesto savivaldybei sudaryti memorandumus su užsienio miestų </w:t>
            </w:r>
            <w:r w:rsidRPr="00616493">
              <w:lastRenderedPageBreak/>
              <w:t xml:space="preserve">savivaldos institucijomis siekiant skatinti bendradarbiavimą </w:t>
            </w:r>
            <w:r w:rsidR="00F463B0">
              <w:t>FINTECH</w:t>
            </w:r>
            <w:r w:rsidRPr="00616493">
              <w:t xml:space="preserve"> srityje.</w:t>
            </w:r>
          </w:p>
        </w:tc>
        <w:tc>
          <w:tcPr>
            <w:tcW w:w="2410" w:type="dxa"/>
            <w:hideMark/>
          </w:tcPr>
          <w:p w:rsidR="001F3E5F" w:rsidRPr="00616493" w:rsidRDefault="001F3E5F" w:rsidP="00F463B0">
            <w:pPr>
              <w:jc w:val="both"/>
            </w:pPr>
            <w:proofErr w:type="spellStart"/>
            <w:r w:rsidRPr="00616493">
              <w:lastRenderedPageBreak/>
              <w:t>VšĮ</w:t>
            </w:r>
            <w:proofErr w:type="spellEnd"/>
            <w:r w:rsidRPr="00616493">
              <w:t xml:space="preserve"> „GO Vilnius“</w:t>
            </w:r>
          </w:p>
        </w:tc>
        <w:tc>
          <w:tcPr>
            <w:tcW w:w="1843" w:type="dxa"/>
            <w:hideMark/>
          </w:tcPr>
          <w:p w:rsidR="001F3E5F" w:rsidRPr="00616493" w:rsidRDefault="001F3E5F" w:rsidP="00F463B0">
            <w:pPr>
              <w:jc w:val="both"/>
            </w:pPr>
            <w:r w:rsidRPr="00616493">
              <w:t>Nuolat</w:t>
            </w:r>
          </w:p>
        </w:tc>
        <w:tc>
          <w:tcPr>
            <w:tcW w:w="6314" w:type="dxa"/>
            <w:hideMark/>
          </w:tcPr>
          <w:p w:rsidR="001F3E5F" w:rsidRPr="00590FA7" w:rsidRDefault="001F3E5F" w:rsidP="00F463B0">
            <w:pPr>
              <w:jc w:val="both"/>
              <w:rPr>
                <w:b/>
              </w:rPr>
            </w:pPr>
            <w:r w:rsidRPr="00590FA7">
              <w:rPr>
                <w:b/>
              </w:rPr>
              <w:t>Įgyvendinta.</w:t>
            </w:r>
          </w:p>
          <w:p w:rsidR="001F3E5F" w:rsidRPr="00616493" w:rsidRDefault="001F3E5F" w:rsidP="00210ABC">
            <w:pPr>
              <w:jc w:val="both"/>
            </w:pPr>
            <w:r w:rsidRPr="00616493">
              <w:t>Pasiūlymai pateikti, tačiau Vilniaus m</w:t>
            </w:r>
            <w:r w:rsidR="0034683B">
              <w:t>iesto</w:t>
            </w:r>
            <w:r w:rsidRPr="00616493">
              <w:t xml:space="preserve"> savivaldybė memorandumų nebesudar</w:t>
            </w:r>
            <w:r w:rsidR="00210ABC">
              <w:t>o</w:t>
            </w:r>
            <w:r>
              <w:t>.</w:t>
            </w:r>
          </w:p>
        </w:tc>
      </w:tr>
      <w:tr w:rsidR="001F3E5F" w:rsidRPr="00616493" w:rsidTr="00F463B0">
        <w:trPr>
          <w:trHeight w:val="399"/>
        </w:trPr>
        <w:tc>
          <w:tcPr>
            <w:tcW w:w="14219" w:type="dxa"/>
            <w:gridSpan w:val="4"/>
          </w:tcPr>
          <w:p w:rsidR="001F3E5F" w:rsidRPr="00590FA7" w:rsidRDefault="001F3E5F" w:rsidP="003845A2">
            <w:pPr>
              <w:jc w:val="center"/>
              <w:rPr>
                <w:b/>
              </w:rPr>
            </w:pPr>
            <w:r>
              <w:rPr>
                <w:b/>
              </w:rPr>
              <w:lastRenderedPageBreak/>
              <w:t xml:space="preserve">3 užduotis. </w:t>
            </w:r>
            <w:r w:rsidRPr="001F3E5F">
              <w:rPr>
                <w:b/>
              </w:rPr>
              <w:t xml:space="preserve">Didinti </w:t>
            </w:r>
            <w:r w:rsidR="00F463B0">
              <w:rPr>
                <w:b/>
              </w:rPr>
              <w:t>FINTECH</w:t>
            </w:r>
            <w:r w:rsidRPr="001F3E5F">
              <w:rPr>
                <w:b/>
              </w:rPr>
              <w:t xml:space="preserve"> žinomumą ir naudojimą</w:t>
            </w:r>
          </w:p>
        </w:tc>
      </w:tr>
      <w:tr w:rsidR="001F3E5F" w:rsidRPr="00616493" w:rsidTr="00E6609A">
        <w:trPr>
          <w:trHeight w:val="2390"/>
        </w:trPr>
        <w:tc>
          <w:tcPr>
            <w:tcW w:w="3652" w:type="dxa"/>
            <w:hideMark/>
          </w:tcPr>
          <w:p w:rsidR="001F3E5F" w:rsidRPr="00616493" w:rsidRDefault="001F3E5F" w:rsidP="00F463B0">
            <w:pPr>
              <w:jc w:val="both"/>
            </w:pPr>
            <w:r w:rsidRPr="00616493">
              <w:t xml:space="preserve">3.1. Užtikrinti, kad, planuojant ir derinant informacinių technologijų projektus, atskirai būtų įvertintos decentralizuotos blokų grandinės (angl. </w:t>
            </w:r>
            <w:proofErr w:type="spellStart"/>
            <w:r w:rsidRPr="00616493">
              <w:rPr>
                <w:i/>
                <w:iCs/>
              </w:rPr>
              <w:t>blockchain</w:t>
            </w:r>
            <w:proofErr w:type="spellEnd"/>
            <w:r w:rsidRPr="00616493">
              <w:rPr>
                <w:i/>
                <w:iCs/>
              </w:rPr>
              <w:t>)</w:t>
            </w:r>
            <w:r w:rsidRPr="00616493">
              <w:t xml:space="preserve"> įgyvendinimo galimybės viešajame sektoriuje.</w:t>
            </w:r>
          </w:p>
        </w:tc>
        <w:tc>
          <w:tcPr>
            <w:tcW w:w="2410" w:type="dxa"/>
            <w:hideMark/>
          </w:tcPr>
          <w:p w:rsidR="001F3E5F" w:rsidRPr="00616493" w:rsidRDefault="00167BA4" w:rsidP="00167BA4">
            <w:pPr>
              <w:jc w:val="both"/>
            </w:pPr>
            <w:r>
              <w:t xml:space="preserve">Ekonomikos ir inovacijų </w:t>
            </w:r>
            <w:r w:rsidR="001F3E5F" w:rsidRPr="00616493">
              <w:t>ministerija, Informacinės visuomenės plėtros komitetas, VĮ Registrų centras, Finansų ministerija, Lietuvos bankas</w:t>
            </w:r>
          </w:p>
        </w:tc>
        <w:tc>
          <w:tcPr>
            <w:tcW w:w="1843" w:type="dxa"/>
            <w:hideMark/>
          </w:tcPr>
          <w:p w:rsidR="001F3E5F" w:rsidRPr="00616493" w:rsidRDefault="001F3E5F" w:rsidP="00F463B0">
            <w:pPr>
              <w:jc w:val="both"/>
            </w:pPr>
            <w:r w:rsidRPr="00616493">
              <w:t>Nuolat</w:t>
            </w:r>
          </w:p>
        </w:tc>
        <w:tc>
          <w:tcPr>
            <w:tcW w:w="6314" w:type="dxa"/>
            <w:hideMark/>
          </w:tcPr>
          <w:p w:rsidR="001F3E5F" w:rsidRPr="00590FA7" w:rsidRDefault="006643F0" w:rsidP="00F463B0">
            <w:pPr>
              <w:jc w:val="both"/>
              <w:rPr>
                <w:b/>
              </w:rPr>
            </w:pPr>
            <w:r>
              <w:rPr>
                <w:b/>
              </w:rPr>
              <w:t>Įgyvendinama.</w:t>
            </w:r>
          </w:p>
          <w:p w:rsidR="001F3E5F" w:rsidRPr="00616493" w:rsidRDefault="001F3E5F" w:rsidP="00210ABC">
            <w:pPr>
              <w:jc w:val="both"/>
            </w:pPr>
            <w:r w:rsidRPr="00616493">
              <w:t xml:space="preserve">VĮ Registrų centras aktyviai stebi </w:t>
            </w:r>
            <w:r w:rsidR="0004425E" w:rsidRPr="0004425E">
              <w:t xml:space="preserve">decentralizuotos blokų grandinės </w:t>
            </w:r>
            <w:r w:rsidR="0004425E">
              <w:t xml:space="preserve">technologijos </w:t>
            </w:r>
            <w:r w:rsidRPr="00616493">
              <w:t xml:space="preserve">vystymąsi, </w:t>
            </w:r>
            <w:r w:rsidR="0004425E">
              <w:t xml:space="preserve">pritaikymo galimybes, </w:t>
            </w:r>
            <w:r w:rsidRPr="00616493">
              <w:t>V</w:t>
            </w:r>
            <w:r>
              <w:t xml:space="preserve">idaus reikalų ministerija </w:t>
            </w:r>
            <w:r w:rsidRPr="00616493">
              <w:t>(</w:t>
            </w:r>
            <w:r w:rsidR="00416D76">
              <w:t>tarpvalstybinis elektroninis</w:t>
            </w:r>
            <w:r w:rsidR="00416D76" w:rsidRPr="00416D76">
              <w:t xml:space="preserve"> važtarašt</w:t>
            </w:r>
            <w:r w:rsidR="00416D76">
              <w:t>is</w:t>
            </w:r>
            <w:r w:rsidRPr="00616493">
              <w:t>) ir K</w:t>
            </w:r>
            <w:r>
              <w:t xml:space="preserve">ultūros </w:t>
            </w:r>
            <w:r w:rsidR="00210ABC">
              <w:t>m</w:t>
            </w:r>
            <w:r>
              <w:t>inisterija</w:t>
            </w:r>
            <w:r w:rsidRPr="00616493">
              <w:t xml:space="preserve"> (kultūros pasas) nagrinėja </w:t>
            </w:r>
            <w:r w:rsidR="00016555">
              <w:t xml:space="preserve">šias </w:t>
            </w:r>
            <w:r w:rsidRPr="00616493">
              <w:t>galimybes</w:t>
            </w:r>
            <w:r>
              <w:t>.</w:t>
            </w:r>
          </w:p>
        </w:tc>
      </w:tr>
      <w:tr w:rsidR="001F3E5F" w:rsidRPr="00616493" w:rsidTr="001F3E5F">
        <w:trPr>
          <w:trHeight w:val="70"/>
        </w:trPr>
        <w:tc>
          <w:tcPr>
            <w:tcW w:w="3652" w:type="dxa"/>
            <w:hideMark/>
          </w:tcPr>
          <w:p w:rsidR="001F3E5F" w:rsidRPr="00616493" w:rsidRDefault="001F3E5F" w:rsidP="007011EC">
            <w:pPr>
              <w:jc w:val="both"/>
            </w:pPr>
            <w:r w:rsidRPr="00616493">
              <w:t xml:space="preserve">3.2. Inicijuoti ir įgyvendinti </w:t>
            </w:r>
            <w:r w:rsidR="00F463B0">
              <w:t>FINTECH</w:t>
            </w:r>
            <w:r w:rsidRPr="00616493">
              <w:t xml:space="preserve"> LT projektą:</w:t>
            </w:r>
            <w:r w:rsidRPr="00616493">
              <w:br/>
              <w:t xml:space="preserve">3.2.1 2019 ir 2020 metais organizuoti tarptautines </w:t>
            </w:r>
            <w:r w:rsidR="00F463B0">
              <w:t>FINTECH</w:t>
            </w:r>
            <w:r w:rsidRPr="00616493">
              <w:t xml:space="preserve"> inovacijų konferencijas Lietuvoje; </w:t>
            </w:r>
            <w:r w:rsidRPr="00616493">
              <w:br/>
              <w:t xml:space="preserve">3.2.2. organizuoti renginius užsienyje </w:t>
            </w:r>
            <w:r w:rsidR="00F463B0">
              <w:t>FINTECH</w:t>
            </w:r>
            <w:r w:rsidRPr="00616493">
              <w:t xml:space="preserve"> inovacijų tema;</w:t>
            </w:r>
            <w:r w:rsidRPr="00616493">
              <w:br/>
              <w:t>3.2.3. organizuoti užsienio žiniasklaidos vizitus Lietuvoje, užsakomuosius straipsnius užsienio žiniasklaidos priemonėse, vaizdo klipų ar laidų rengimą, jų platinimo paslaugos užsakymą bei vykdyti kitas komunikacijos priemones, skirtas finansinėms inovacijoms populiarinti;</w:t>
            </w:r>
            <w:r w:rsidRPr="00616493">
              <w:br/>
              <w:t xml:space="preserve">3.2.4. organizuoti renginių finansinių inovacijų Lietuvoje tema </w:t>
            </w:r>
            <w:r w:rsidRPr="00616493">
              <w:lastRenderedPageBreak/>
              <w:t>ciklą ir užsakomųjų straipsnių žiniasklaidoje parengimą ir spausdinimą bei vykdyti kitas komunikacijos priemones, skirtas finansinėms inovacijoms populiarinti;</w:t>
            </w:r>
            <w:r w:rsidRPr="00616493">
              <w:br/>
              <w:t xml:space="preserve">3.2.5. organizuoti konsultacijų teikimą </w:t>
            </w:r>
            <w:r w:rsidR="00F463B0">
              <w:t>FINTECH</w:t>
            </w:r>
            <w:r w:rsidRPr="00616493">
              <w:t xml:space="preserve"> įmonėms</w:t>
            </w:r>
            <w:r w:rsidR="007011EC" w:rsidRPr="00616493">
              <w:t xml:space="preserve"> inovacijų</w:t>
            </w:r>
            <w:r w:rsidR="007011EC">
              <w:t xml:space="preserve"> klausimais</w:t>
            </w:r>
            <w:r w:rsidRPr="00616493">
              <w:t xml:space="preserve">. </w:t>
            </w:r>
          </w:p>
        </w:tc>
        <w:tc>
          <w:tcPr>
            <w:tcW w:w="2410" w:type="dxa"/>
            <w:hideMark/>
          </w:tcPr>
          <w:p w:rsidR="001F3E5F" w:rsidRPr="00616493" w:rsidRDefault="009965A0" w:rsidP="00F463B0">
            <w:pPr>
              <w:jc w:val="both"/>
            </w:pPr>
            <w:r>
              <w:lastRenderedPageBreak/>
              <w:t xml:space="preserve">Ekonomikos ir inovacijų </w:t>
            </w:r>
            <w:r w:rsidR="001F3E5F" w:rsidRPr="00616493">
              <w:t>ministerija, Mokslo, inovacijų ir technologijų agentūra, Užsienio reikalų ministerija, konsultuojantis su Lietuvos banku</w:t>
            </w:r>
          </w:p>
        </w:tc>
        <w:tc>
          <w:tcPr>
            <w:tcW w:w="1843" w:type="dxa"/>
            <w:hideMark/>
          </w:tcPr>
          <w:p w:rsidR="001F3E5F" w:rsidRPr="00616493" w:rsidRDefault="001F3E5F" w:rsidP="00F463B0">
            <w:pPr>
              <w:jc w:val="both"/>
            </w:pPr>
            <w:r w:rsidRPr="00616493">
              <w:t xml:space="preserve">2021 m. I </w:t>
            </w:r>
            <w:proofErr w:type="spellStart"/>
            <w:r w:rsidRPr="00616493">
              <w:t>ketv</w:t>
            </w:r>
            <w:proofErr w:type="spellEnd"/>
            <w:r w:rsidRPr="00616493">
              <w:t>.</w:t>
            </w:r>
          </w:p>
        </w:tc>
        <w:tc>
          <w:tcPr>
            <w:tcW w:w="6314" w:type="dxa"/>
            <w:hideMark/>
          </w:tcPr>
          <w:p w:rsidR="00E6609A" w:rsidRPr="00E6609A" w:rsidRDefault="00E6609A" w:rsidP="00F463B0">
            <w:pPr>
              <w:jc w:val="both"/>
              <w:rPr>
                <w:b/>
              </w:rPr>
            </w:pPr>
            <w:r w:rsidRPr="00E6609A">
              <w:rPr>
                <w:b/>
              </w:rPr>
              <w:t>Įgyvendinta.</w:t>
            </w:r>
          </w:p>
          <w:p w:rsidR="001F3E5F" w:rsidRPr="00D2100E" w:rsidRDefault="0083060E" w:rsidP="00F463B0">
            <w:pPr>
              <w:jc w:val="both"/>
            </w:pPr>
            <w:r>
              <w:t>Projektas pradėtas, p</w:t>
            </w:r>
            <w:r w:rsidR="001F3E5F" w:rsidRPr="00D2100E">
              <w:t xml:space="preserve">rojekto finansavimo sutartis su </w:t>
            </w:r>
            <w:r w:rsidRPr="0083060E">
              <w:t>Lietuvos</w:t>
            </w:r>
            <w:r>
              <w:t xml:space="preserve"> verslo paramos agentūra (LVPA)</w:t>
            </w:r>
            <w:r w:rsidR="001F3E5F" w:rsidRPr="00D2100E">
              <w:t xml:space="preserve"> pasirašyta 2019</w:t>
            </w:r>
            <w:r w:rsidR="00043501">
              <w:t xml:space="preserve"> m. vasario </w:t>
            </w:r>
            <w:r w:rsidR="001F3E5F" w:rsidRPr="00D2100E">
              <w:t>15</w:t>
            </w:r>
            <w:r w:rsidR="00043501">
              <w:t xml:space="preserve"> d</w:t>
            </w:r>
            <w:r w:rsidR="001F3E5F" w:rsidRPr="00D2100E">
              <w:t>.</w:t>
            </w:r>
          </w:p>
          <w:p w:rsidR="0083060E" w:rsidRPr="00D2100E" w:rsidRDefault="001F3E5F" w:rsidP="00F463B0">
            <w:pPr>
              <w:jc w:val="both"/>
            </w:pPr>
            <w:r w:rsidRPr="00D2100E">
              <w:t xml:space="preserve">Sėkmingai suorganizuota </w:t>
            </w:r>
            <w:r w:rsidR="00210ABC" w:rsidRPr="00D2100E">
              <w:t>konferencija</w:t>
            </w:r>
            <w:r w:rsidR="00210ABC">
              <w:rPr>
                <w:rFonts w:cs="Times New Roman"/>
              </w:rPr>
              <w:t xml:space="preserve"> „</w:t>
            </w:r>
            <w:r w:rsidR="00F463B0">
              <w:t>FINTECH</w:t>
            </w:r>
            <w:r w:rsidRPr="00D2100E">
              <w:t xml:space="preserve"> </w:t>
            </w:r>
            <w:proofErr w:type="spellStart"/>
            <w:r w:rsidRPr="00D2100E">
              <w:t>Inn</w:t>
            </w:r>
            <w:proofErr w:type="spellEnd"/>
            <w:r w:rsidRPr="00D2100E">
              <w:t xml:space="preserve"> 2019</w:t>
            </w:r>
            <w:r w:rsidR="00210ABC">
              <w:rPr>
                <w:rFonts w:cs="Times New Roman"/>
              </w:rPr>
              <w:t>“</w:t>
            </w:r>
            <w:r w:rsidRPr="00D2100E">
              <w:t>. 3</w:t>
            </w:r>
            <w:r w:rsidR="007011EC">
              <w:t> </w:t>
            </w:r>
            <w:r w:rsidRPr="00D2100E">
              <w:t xml:space="preserve">000 </w:t>
            </w:r>
            <w:r w:rsidR="00C557D3">
              <w:t xml:space="preserve">konferencijos </w:t>
            </w:r>
            <w:r w:rsidRPr="00D2100E">
              <w:t>dalyvių iš 68 pasaulio šalių atstovavo daugiau nei 1</w:t>
            </w:r>
            <w:r w:rsidR="007011EC">
              <w:t> </w:t>
            </w:r>
            <w:r w:rsidRPr="00D2100E">
              <w:t>100 įmonių. Konferencijos metu įvyko daugiau nei 2</w:t>
            </w:r>
            <w:r w:rsidR="007011EC">
              <w:t> </w:t>
            </w:r>
            <w:r w:rsidRPr="00D2100E">
              <w:t xml:space="preserve">200 verslo susitikimų. Renginio metu taip pat vyko </w:t>
            </w:r>
            <w:r w:rsidR="00F463B0">
              <w:t>FINTECH</w:t>
            </w:r>
            <w:r w:rsidRPr="00D2100E">
              <w:t xml:space="preserve"> paroda, kurioje prisistatė daugiau nei 60 </w:t>
            </w:r>
            <w:r w:rsidR="00F463B0">
              <w:t>FINTECH</w:t>
            </w:r>
            <w:r w:rsidRPr="00D2100E">
              <w:t xml:space="preserve"> įmonių</w:t>
            </w:r>
            <w:r w:rsidR="00C557D3">
              <w:t>,</w:t>
            </w:r>
            <w:r w:rsidRPr="00D2100E">
              <w:t xml:space="preserve"> trijose salėse pranešim</w:t>
            </w:r>
            <w:r w:rsidR="00C557D3">
              <w:t>us</w:t>
            </w:r>
            <w:r w:rsidRPr="00D2100E">
              <w:t xml:space="preserve"> </w:t>
            </w:r>
            <w:r w:rsidR="00C557D3">
              <w:t xml:space="preserve">skaitė ir pokalbius vedė </w:t>
            </w:r>
            <w:r w:rsidRPr="00D2100E">
              <w:t>133 pranešėjai ir moderatoriai.</w:t>
            </w:r>
          </w:p>
          <w:p w:rsidR="001F3E5F" w:rsidRPr="00D2100E" w:rsidRDefault="001F3E5F" w:rsidP="00F463B0">
            <w:pPr>
              <w:jc w:val="both"/>
            </w:pPr>
            <w:r w:rsidRPr="00D2100E">
              <w:t xml:space="preserve">Lietuvos </w:t>
            </w:r>
            <w:r w:rsidR="00F463B0">
              <w:t>FINTECH</w:t>
            </w:r>
            <w:r w:rsidRPr="00D2100E">
              <w:t xml:space="preserve"> ekosistema pristatyta 8 tarptautiniuose renginiuose užsienyje: </w:t>
            </w:r>
          </w:p>
          <w:p w:rsidR="001F3E5F" w:rsidRPr="00D2100E" w:rsidRDefault="0083060E" w:rsidP="00F463B0">
            <w:pPr>
              <w:jc w:val="both"/>
            </w:pPr>
            <w:r>
              <w:t xml:space="preserve">a) </w:t>
            </w:r>
            <w:r w:rsidR="0023683E">
              <w:t>s</w:t>
            </w:r>
            <w:r w:rsidR="001F3E5F" w:rsidRPr="00D2100E">
              <w:t xml:space="preserve">uorganizuoti trys Lietuvos </w:t>
            </w:r>
            <w:r w:rsidR="00F463B0">
              <w:t>FINTECH</w:t>
            </w:r>
            <w:r w:rsidR="001F3E5F" w:rsidRPr="00D2100E">
              <w:t xml:space="preserve"> sektoriaus pristatymo renginiai Kinijoje</w:t>
            </w:r>
            <w:r>
              <w:t xml:space="preserve">: </w:t>
            </w:r>
            <w:r w:rsidR="001F3E5F" w:rsidRPr="00D2100E">
              <w:t>2019</w:t>
            </w:r>
            <w:r w:rsidR="00043501">
              <w:t xml:space="preserve"> m. rugsėjo </w:t>
            </w:r>
            <w:r w:rsidR="001F3E5F" w:rsidRPr="00D2100E">
              <w:t>2</w:t>
            </w:r>
            <w:r w:rsidR="00043501">
              <w:t xml:space="preserve"> d.</w:t>
            </w:r>
            <w:r w:rsidR="001F3E5F" w:rsidRPr="00D2100E">
              <w:t xml:space="preserve"> </w:t>
            </w:r>
            <w:proofErr w:type="spellStart"/>
            <w:r w:rsidR="001F3E5F" w:rsidRPr="00D2100E">
              <w:t>Guan</w:t>
            </w:r>
            <w:r w:rsidR="0023683E">
              <w:t>g</w:t>
            </w:r>
            <w:r w:rsidR="001F3E5F" w:rsidRPr="00D2100E">
              <w:t>džou</w:t>
            </w:r>
            <w:proofErr w:type="spellEnd"/>
            <w:r w:rsidR="001F3E5F" w:rsidRPr="00D2100E">
              <w:t>, 2019</w:t>
            </w:r>
            <w:r w:rsidR="00043501">
              <w:t xml:space="preserve"> m. rugsėjo </w:t>
            </w:r>
            <w:r w:rsidR="001F3E5F" w:rsidRPr="00D2100E">
              <w:t>6</w:t>
            </w:r>
            <w:r w:rsidR="00043501">
              <w:t xml:space="preserve"> d.</w:t>
            </w:r>
            <w:r w:rsidR="001F3E5F" w:rsidRPr="00D2100E">
              <w:t xml:space="preserve"> </w:t>
            </w:r>
            <w:proofErr w:type="spellStart"/>
            <w:r w:rsidR="001F3E5F" w:rsidRPr="00D2100E">
              <w:t>Šendžene</w:t>
            </w:r>
            <w:proofErr w:type="spellEnd"/>
            <w:r w:rsidR="001F3E5F" w:rsidRPr="00D2100E">
              <w:t>, 2019</w:t>
            </w:r>
            <w:r w:rsidR="00043501">
              <w:t xml:space="preserve"> m. rugsėjo </w:t>
            </w:r>
            <w:r w:rsidR="001F3E5F" w:rsidRPr="00D2100E">
              <w:t>6</w:t>
            </w:r>
            <w:r w:rsidR="00043501">
              <w:t xml:space="preserve"> d.</w:t>
            </w:r>
            <w:r w:rsidR="001F3E5F" w:rsidRPr="00D2100E">
              <w:t xml:space="preserve"> Honkonge</w:t>
            </w:r>
            <w:r w:rsidR="00791E03">
              <w:t>;</w:t>
            </w:r>
            <w:r w:rsidR="001F3E5F" w:rsidRPr="00D2100E">
              <w:t xml:space="preserve"> </w:t>
            </w:r>
          </w:p>
          <w:p w:rsidR="001F3E5F" w:rsidRPr="00D2100E" w:rsidRDefault="0083060E" w:rsidP="00F463B0">
            <w:pPr>
              <w:jc w:val="both"/>
            </w:pPr>
            <w:r>
              <w:t xml:space="preserve">b) </w:t>
            </w:r>
            <w:r w:rsidR="001F3E5F" w:rsidRPr="00D2100E">
              <w:t>2019</w:t>
            </w:r>
            <w:r w:rsidR="00043501">
              <w:t xml:space="preserve"> m. rugsėjo </w:t>
            </w:r>
            <w:r w:rsidR="001F3E5F" w:rsidRPr="00D2100E">
              <w:t>26</w:t>
            </w:r>
            <w:r w:rsidR="00043501">
              <w:t xml:space="preserve">, </w:t>
            </w:r>
            <w:r w:rsidR="001F3E5F" w:rsidRPr="00D2100E">
              <w:t>27</w:t>
            </w:r>
            <w:r w:rsidR="00043501">
              <w:t xml:space="preserve"> d.</w:t>
            </w:r>
            <w:r w:rsidR="001F3E5F" w:rsidRPr="00D2100E">
              <w:t xml:space="preserve"> Londone konferencijoje </w:t>
            </w:r>
            <w:r w:rsidR="0023683E">
              <w:rPr>
                <w:rFonts w:cs="Times New Roman"/>
              </w:rPr>
              <w:t>„</w:t>
            </w:r>
            <w:proofErr w:type="spellStart"/>
            <w:r w:rsidR="001F3E5F" w:rsidRPr="00D2100E">
              <w:t>LendIt</w:t>
            </w:r>
            <w:proofErr w:type="spellEnd"/>
            <w:r w:rsidR="001F3E5F" w:rsidRPr="00D2100E">
              <w:t xml:space="preserve"> </w:t>
            </w:r>
            <w:r w:rsidR="00F463B0">
              <w:t>FINTECH</w:t>
            </w:r>
            <w:r w:rsidR="001F3E5F" w:rsidRPr="00D2100E">
              <w:t xml:space="preserve"> </w:t>
            </w:r>
            <w:proofErr w:type="spellStart"/>
            <w:r w:rsidR="001F3E5F" w:rsidRPr="00D2100E">
              <w:t>Europe</w:t>
            </w:r>
            <w:proofErr w:type="spellEnd"/>
            <w:r w:rsidR="0023683E">
              <w:rPr>
                <w:rFonts w:cs="Times New Roman"/>
              </w:rPr>
              <w:t>“</w:t>
            </w:r>
            <w:r>
              <w:t>;</w:t>
            </w:r>
          </w:p>
          <w:p w:rsidR="001F3E5F" w:rsidRPr="00D2100E" w:rsidRDefault="0083060E" w:rsidP="00F463B0">
            <w:pPr>
              <w:jc w:val="both"/>
            </w:pPr>
            <w:r>
              <w:t xml:space="preserve">c) </w:t>
            </w:r>
            <w:r w:rsidR="001F3E5F" w:rsidRPr="00D2100E">
              <w:t>2019</w:t>
            </w:r>
            <w:r w:rsidR="00043501">
              <w:t xml:space="preserve"> m. rugsėjo </w:t>
            </w:r>
            <w:r w:rsidR="001F3E5F" w:rsidRPr="00D2100E">
              <w:t>27</w:t>
            </w:r>
            <w:r w:rsidR="00043501">
              <w:t>–</w:t>
            </w:r>
            <w:r w:rsidR="001F3E5F" w:rsidRPr="00D2100E">
              <w:t>29</w:t>
            </w:r>
            <w:r w:rsidR="00043501">
              <w:t xml:space="preserve"> d.</w:t>
            </w:r>
            <w:r w:rsidR="001F3E5F" w:rsidRPr="00D2100E">
              <w:t xml:space="preserve"> Lvovo konferencijoje </w:t>
            </w:r>
            <w:r w:rsidR="0023683E">
              <w:rPr>
                <w:rFonts w:cs="Times New Roman"/>
              </w:rPr>
              <w:t>„</w:t>
            </w:r>
            <w:r w:rsidR="001F3E5F" w:rsidRPr="00D2100E">
              <w:t>IT Arena</w:t>
            </w:r>
            <w:r w:rsidR="0023683E">
              <w:rPr>
                <w:rFonts w:cs="Times New Roman"/>
              </w:rPr>
              <w:t>“</w:t>
            </w:r>
            <w:r>
              <w:t>;</w:t>
            </w:r>
          </w:p>
          <w:p w:rsidR="0083060E" w:rsidRDefault="0083060E" w:rsidP="00F463B0">
            <w:pPr>
              <w:jc w:val="both"/>
            </w:pPr>
            <w:r>
              <w:lastRenderedPageBreak/>
              <w:t xml:space="preserve">d) </w:t>
            </w:r>
            <w:r w:rsidR="001F3E5F" w:rsidRPr="00D2100E">
              <w:t>2019</w:t>
            </w:r>
            <w:r w:rsidR="00043501">
              <w:t xml:space="preserve"> m. spalio </w:t>
            </w:r>
            <w:r w:rsidR="001F3E5F" w:rsidRPr="00D2100E">
              <w:t>27</w:t>
            </w:r>
            <w:r w:rsidR="006952C5">
              <w:t>–</w:t>
            </w:r>
            <w:r w:rsidR="001F3E5F" w:rsidRPr="00D2100E">
              <w:t>30</w:t>
            </w:r>
            <w:r w:rsidR="00043501">
              <w:t xml:space="preserve"> d.</w:t>
            </w:r>
            <w:r w:rsidR="001F3E5F" w:rsidRPr="00D2100E">
              <w:t xml:space="preserve"> </w:t>
            </w:r>
            <w:r w:rsidR="006952C5">
              <w:t xml:space="preserve">parengtas </w:t>
            </w:r>
            <w:r w:rsidR="001F3E5F" w:rsidRPr="00D2100E">
              <w:t xml:space="preserve">Lietuvos </w:t>
            </w:r>
            <w:r w:rsidR="00F463B0">
              <w:t>FINTECH</w:t>
            </w:r>
            <w:r w:rsidR="001F3E5F" w:rsidRPr="00D2100E">
              <w:t xml:space="preserve"> ek</w:t>
            </w:r>
            <w:r w:rsidR="00E01E90">
              <w:t>osistemos stendas ir pristatyta</w:t>
            </w:r>
            <w:r w:rsidR="001F3E5F" w:rsidRPr="00D2100E">
              <w:t xml:space="preserve"> palanki aplinka </w:t>
            </w:r>
            <w:r w:rsidR="00F463B0">
              <w:t>FINTECH</w:t>
            </w:r>
            <w:r w:rsidR="001F3E5F" w:rsidRPr="00D2100E">
              <w:t xml:space="preserve"> įmonėms tarptautinėje parodoje „Money 20/20 US 2019“ </w:t>
            </w:r>
            <w:r w:rsidR="00791E03">
              <w:t>JAV</w:t>
            </w:r>
            <w:r w:rsidR="001F3E5F" w:rsidRPr="00D2100E">
              <w:t xml:space="preserve">, </w:t>
            </w:r>
            <w:proofErr w:type="spellStart"/>
            <w:r w:rsidR="001F3E5F" w:rsidRPr="00D2100E">
              <w:t>Las</w:t>
            </w:r>
            <w:proofErr w:type="spellEnd"/>
            <w:r w:rsidR="001F3E5F" w:rsidRPr="00D2100E">
              <w:t xml:space="preserve"> </w:t>
            </w:r>
            <w:proofErr w:type="spellStart"/>
            <w:r w:rsidR="001F3E5F" w:rsidRPr="00D2100E">
              <w:t>Vegase</w:t>
            </w:r>
            <w:proofErr w:type="spellEnd"/>
            <w:r w:rsidR="007011EC">
              <w:t>;</w:t>
            </w:r>
          </w:p>
          <w:p w:rsidR="001F3E5F" w:rsidRPr="00D2100E" w:rsidRDefault="0083060E" w:rsidP="00F463B0">
            <w:pPr>
              <w:jc w:val="both"/>
            </w:pPr>
            <w:r>
              <w:t xml:space="preserve">e) </w:t>
            </w:r>
            <w:r w:rsidR="001F3E5F" w:rsidRPr="00D2100E">
              <w:t>2019</w:t>
            </w:r>
            <w:r w:rsidR="00043501">
              <w:t xml:space="preserve"> m. lapkričio </w:t>
            </w:r>
            <w:r w:rsidR="001F3E5F" w:rsidRPr="00D2100E">
              <w:t>11</w:t>
            </w:r>
            <w:r w:rsidR="006952C5">
              <w:t>–</w:t>
            </w:r>
            <w:r w:rsidR="001F3E5F" w:rsidRPr="00D2100E">
              <w:t>15</w:t>
            </w:r>
            <w:r w:rsidR="00043501">
              <w:t xml:space="preserve"> d.</w:t>
            </w:r>
            <w:r w:rsidR="001F3E5F" w:rsidRPr="00D2100E">
              <w:t xml:space="preserve"> </w:t>
            </w:r>
            <w:r w:rsidR="006952C5">
              <w:t>pristatytas n</w:t>
            </w:r>
            <w:r w:rsidR="00E01E90">
              <w:t>acionalinis stendas Singapū</w:t>
            </w:r>
            <w:r w:rsidR="001F3E5F" w:rsidRPr="00D2100E">
              <w:t xml:space="preserve">re </w:t>
            </w:r>
            <w:r w:rsidR="006952C5">
              <w:rPr>
                <w:rFonts w:cs="Times New Roman"/>
              </w:rPr>
              <w:t>„</w:t>
            </w:r>
            <w:r w:rsidR="00F463B0">
              <w:t>FINTECH</w:t>
            </w:r>
            <w:r w:rsidR="001F3E5F" w:rsidRPr="00D2100E">
              <w:t xml:space="preserve"> </w:t>
            </w:r>
            <w:proofErr w:type="spellStart"/>
            <w:r w:rsidR="001F3E5F" w:rsidRPr="00D2100E">
              <w:t>Forum</w:t>
            </w:r>
            <w:proofErr w:type="spellEnd"/>
            <w:r w:rsidR="006952C5">
              <w:rPr>
                <w:rFonts w:cs="Times New Roman"/>
              </w:rPr>
              <w:t>“</w:t>
            </w:r>
            <w:r w:rsidR="001F3E5F" w:rsidRPr="00D2100E">
              <w:t xml:space="preserve"> konferencijoje</w:t>
            </w:r>
            <w:r>
              <w:t>;</w:t>
            </w:r>
          </w:p>
          <w:p w:rsidR="0083060E" w:rsidRPr="00D2100E" w:rsidRDefault="0083060E" w:rsidP="00F463B0">
            <w:pPr>
              <w:jc w:val="both"/>
            </w:pPr>
            <w:r>
              <w:t>f)</w:t>
            </w:r>
            <w:r w:rsidR="001F3E5F" w:rsidRPr="00D2100E">
              <w:t xml:space="preserve"> 2019</w:t>
            </w:r>
            <w:r w:rsidR="00043501">
              <w:t xml:space="preserve"> m. lapkričio </w:t>
            </w:r>
            <w:r w:rsidR="001F3E5F" w:rsidRPr="00D2100E">
              <w:t>20</w:t>
            </w:r>
            <w:r w:rsidR="00043501">
              <w:t xml:space="preserve"> d.</w:t>
            </w:r>
            <w:r w:rsidR="001F3E5F" w:rsidRPr="00D2100E">
              <w:t xml:space="preserve"> </w:t>
            </w:r>
            <w:r w:rsidR="006952C5">
              <w:rPr>
                <w:rFonts w:cs="Times New Roman"/>
              </w:rPr>
              <w:t>„</w:t>
            </w:r>
            <w:proofErr w:type="spellStart"/>
            <w:r w:rsidR="006952C5" w:rsidRPr="00D2100E">
              <w:t>Slush</w:t>
            </w:r>
            <w:proofErr w:type="spellEnd"/>
            <w:r w:rsidR="006952C5">
              <w:rPr>
                <w:rFonts w:cs="Times New Roman"/>
              </w:rPr>
              <w:t>“</w:t>
            </w:r>
            <w:r w:rsidR="006952C5" w:rsidRPr="00D2100E">
              <w:t xml:space="preserve"> konferencijoje</w:t>
            </w:r>
            <w:r w:rsidR="006952C5">
              <w:t xml:space="preserve"> įvyko </w:t>
            </w:r>
            <w:r w:rsidR="001F3E5F" w:rsidRPr="00D2100E">
              <w:t xml:space="preserve">Lietuvos </w:t>
            </w:r>
            <w:r w:rsidR="00F463B0">
              <w:t>FINTECH</w:t>
            </w:r>
            <w:r w:rsidR="001F3E5F" w:rsidRPr="00D2100E">
              <w:t xml:space="preserve"> ekosistemos pristatymo renginys, kurio metu prisistatė </w:t>
            </w:r>
            <w:proofErr w:type="spellStart"/>
            <w:r w:rsidR="00791E03">
              <w:t>VšĮ</w:t>
            </w:r>
            <w:proofErr w:type="spellEnd"/>
            <w:r w:rsidR="00791E03">
              <w:t xml:space="preserve"> </w:t>
            </w:r>
            <w:r w:rsidR="00925B6D">
              <w:t>„</w:t>
            </w:r>
            <w:r w:rsidR="001F3E5F" w:rsidRPr="00D2100E">
              <w:t>Investuok Lietuvoje</w:t>
            </w:r>
            <w:r w:rsidR="00925B6D">
              <w:t>“</w:t>
            </w:r>
            <w:r w:rsidR="001F3E5F" w:rsidRPr="00D2100E">
              <w:t xml:space="preserve">, </w:t>
            </w:r>
            <w:proofErr w:type="spellStart"/>
            <w:r w:rsidR="000A3A89" w:rsidRPr="00616493">
              <w:t>VšĮ</w:t>
            </w:r>
            <w:proofErr w:type="spellEnd"/>
            <w:r w:rsidR="000A3A89" w:rsidRPr="00616493">
              <w:t xml:space="preserve"> „Versli Lietuva“</w:t>
            </w:r>
            <w:r w:rsidR="000A3A89">
              <w:t xml:space="preserve"> projekto </w:t>
            </w:r>
            <w:r w:rsidR="000A3A89">
              <w:rPr>
                <w:rFonts w:cs="Times New Roman"/>
              </w:rPr>
              <w:t>„</w:t>
            </w:r>
            <w:proofErr w:type="spellStart"/>
            <w:r w:rsidR="001F3E5F" w:rsidRPr="00D2100E">
              <w:t>Startup</w:t>
            </w:r>
            <w:proofErr w:type="spellEnd"/>
            <w:r w:rsidR="001F3E5F" w:rsidRPr="00D2100E">
              <w:t xml:space="preserve"> </w:t>
            </w:r>
            <w:proofErr w:type="spellStart"/>
            <w:r w:rsidR="001F3E5F" w:rsidRPr="00D2100E">
              <w:t>Lithuania</w:t>
            </w:r>
            <w:proofErr w:type="spellEnd"/>
            <w:r w:rsidR="000A3A89">
              <w:rPr>
                <w:rFonts w:cs="Times New Roman"/>
              </w:rPr>
              <w:t>“</w:t>
            </w:r>
            <w:r w:rsidR="000A3A89">
              <w:t xml:space="preserve"> komanda</w:t>
            </w:r>
            <w:r w:rsidR="001F3E5F" w:rsidRPr="00D2100E">
              <w:t xml:space="preserve">, Lietuvos </w:t>
            </w:r>
            <w:r w:rsidR="00791E03">
              <w:t>b</w:t>
            </w:r>
            <w:r w:rsidR="00791E03" w:rsidRPr="00D2100E">
              <w:t xml:space="preserve">ankas </w:t>
            </w:r>
            <w:r w:rsidR="001F3E5F" w:rsidRPr="00D2100E">
              <w:t>ir kt.</w:t>
            </w:r>
          </w:p>
          <w:p w:rsidR="001F3E5F" w:rsidRPr="00D2100E" w:rsidRDefault="001F3E5F" w:rsidP="00F463B0">
            <w:pPr>
              <w:jc w:val="both"/>
            </w:pPr>
            <w:r w:rsidRPr="00D2100E">
              <w:t xml:space="preserve">Publikuoti užsakomieji užsienio straipsniai: </w:t>
            </w:r>
            <w:r w:rsidR="006952C5">
              <w:t xml:space="preserve">1 </w:t>
            </w:r>
            <w:r w:rsidRPr="00D2100E">
              <w:t xml:space="preserve">Vokietijoje, </w:t>
            </w:r>
            <w:r w:rsidR="006952C5">
              <w:t xml:space="preserve">po 2 </w:t>
            </w:r>
            <w:r>
              <w:t xml:space="preserve">Prancūzijoje ir </w:t>
            </w:r>
            <w:r w:rsidR="00791E03">
              <w:t>JAV</w:t>
            </w:r>
            <w:r w:rsidRPr="00D2100E">
              <w:t xml:space="preserve">. Savarankiškai </w:t>
            </w:r>
            <w:r w:rsidR="006952C5">
              <w:t xml:space="preserve">užsienio spaudoje </w:t>
            </w:r>
            <w:r w:rsidRPr="00D2100E">
              <w:t xml:space="preserve">inicijuoti 48 straipsniai, kuriuose minima </w:t>
            </w:r>
            <w:r w:rsidR="00F463B0">
              <w:t>FINTECH</w:t>
            </w:r>
            <w:r w:rsidRPr="00D2100E">
              <w:t xml:space="preserve"> ekosistema arba </w:t>
            </w:r>
            <w:r w:rsidR="006952C5">
              <w:rPr>
                <w:rFonts w:cs="Times New Roman"/>
              </w:rPr>
              <w:t>„</w:t>
            </w:r>
            <w:r w:rsidR="00F463B0">
              <w:t>FINTECH</w:t>
            </w:r>
            <w:r w:rsidRPr="00D2100E">
              <w:t xml:space="preserve"> </w:t>
            </w:r>
            <w:proofErr w:type="spellStart"/>
            <w:r w:rsidRPr="00D2100E">
              <w:t>Inn</w:t>
            </w:r>
            <w:proofErr w:type="spellEnd"/>
            <w:r w:rsidRPr="00D2100E">
              <w:t xml:space="preserve"> 2019</w:t>
            </w:r>
            <w:r w:rsidR="006952C5">
              <w:rPr>
                <w:rFonts w:cs="Times New Roman"/>
              </w:rPr>
              <w:t>“</w:t>
            </w:r>
            <w:r w:rsidRPr="00D2100E">
              <w:t xml:space="preserve"> konferencija.</w:t>
            </w:r>
          </w:p>
          <w:p w:rsidR="001F3E5F" w:rsidRPr="00D2100E" w:rsidRDefault="001F3E5F" w:rsidP="00F463B0">
            <w:pPr>
              <w:jc w:val="both"/>
            </w:pPr>
            <w:r w:rsidRPr="00D2100E">
              <w:t xml:space="preserve">Publikuoti </w:t>
            </w:r>
            <w:r w:rsidR="007011EC">
              <w:t>2</w:t>
            </w:r>
            <w:r w:rsidR="007011EC" w:rsidRPr="00D2100E">
              <w:t xml:space="preserve"> </w:t>
            </w:r>
            <w:r w:rsidRPr="00D2100E">
              <w:t>užsakomieji straipsniai Lietuvoje. Savarankiškai inicijuoti ir publikuoti 58 straipsniai Lietuvos žiniasklaidoje.</w:t>
            </w:r>
          </w:p>
          <w:p w:rsidR="0083060E" w:rsidRPr="00D2100E" w:rsidRDefault="001F3E5F" w:rsidP="00F463B0">
            <w:pPr>
              <w:jc w:val="both"/>
            </w:pPr>
            <w:r w:rsidRPr="00D2100E">
              <w:t>Parengtos ir publikuotos dvi vai</w:t>
            </w:r>
            <w:r w:rsidR="00E01E90">
              <w:t>zdinės publikacijos</w:t>
            </w:r>
            <w:r w:rsidRPr="00D2100E">
              <w:t xml:space="preserve"> </w:t>
            </w:r>
            <w:r w:rsidR="006952C5">
              <w:t xml:space="preserve">konferencijoje </w:t>
            </w:r>
            <w:r w:rsidR="006952C5">
              <w:rPr>
                <w:rFonts w:cs="Times New Roman"/>
              </w:rPr>
              <w:t>„</w:t>
            </w:r>
            <w:r w:rsidR="00F463B0">
              <w:t>FINTECH</w:t>
            </w:r>
            <w:r w:rsidRPr="00D2100E">
              <w:t xml:space="preserve"> </w:t>
            </w:r>
            <w:proofErr w:type="spellStart"/>
            <w:r w:rsidRPr="00D2100E">
              <w:t>Inn</w:t>
            </w:r>
            <w:proofErr w:type="spellEnd"/>
            <w:r w:rsidRPr="00D2100E">
              <w:t xml:space="preserve"> 2019</w:t>
            </w:r>
            <w:r w:rsidR="006952C5">
              <w:rPr>
                <w:rFonts w:cs="Times New Roman"/>
              </w:rPr>
              <w:t>“</w:t>
            </w:r>
            <w:r w:rsidRPr="00D2100E">
              <w:t xml:space="preserve"> ir </w:t>
            </w:r>
            <w:r w:rsidR="00A73133">
              <w:t xml:space="preserve">konferencijos </w:t>
            </w:r>
            <w:r w:rsidR="006952C5">
              <w:rPr>
                <w:rFonts w:cs="Times New Roman"/>
              </w:rPr>
              <w:t>„</w:t>
            </w:r>
            <w:r w:rsidR="00F463B0">
              <w:t>FINTECH</w:t>
            </w:r>
            <w:r w:rsidRPr="00D2100E">
              <w:t xml:space="preserve"> </w:t>
            </w:r>
            <w:proofErr w:type="spellStart"/>
            <w:r w:rsidRPr="00D2100E">
              <w:t>Inn</w:t>
            </w:r>
            <w:proofErr w:type="spellEnd"/>
            <w:r w:rsidR="006952C5">
              <w:rPr>
                <w:rFonts w:cs="Times New Roman"/>
              </w:rPr>
              <w:t>“</w:t>
            </w:r>
            <w:r w:rsidR="00A73133">
              <w:t xml:space="preserve"> baigiamajame renginyje</w:t>
            </w:r>
            <w:r w:rsidRPr="00D2100E">
              <w:t>.</w:t>
            </w:r>
          </w:p>
          <w:p w:rsidR="001F3E5F" w:rsidRPr="00D2100E" w:rsidRDefault="001F3E5F" w:rsidP="00F463B0">
            <w:pPr>
              <w:jc w:val="both"/>
            </w:pPr>
            <w:r w:rsidRPr="00D2100E">
              <w:t>Suorganizuoti renginiai Lietuvoje:</w:t>
            </w:r>
          </w:p>
          <w:p w:rsidR="001F3E5F" w:rsidRPr="00D2100E" w:rsidRDefault="001F3E5F" w:rsidP="00F463B0">
            <w:pPr>
              <w:jc w:val="both"/>
            </w:pPr>
            <w:r w:rsidRPr="00D2100E">
              <w:t xml:space="preserve">- </w:t>
            </w:r>
            <w:r w:rsidR="00342A59">
              <w:t>k</w:t>
            </w:r>
            <w:r w:rsidRPr="00D2100E">
              <w:t>artu su Lietuvos banku 2019</w:t>
            </w:r>
            <w:r w:rsidR="00043501">
              <w:t xml:space="preserve"> m. rugsėjo </w:t>
            </w:r>
            <w:r w:rsidRPr="00D2100E">
              <w:t>9</w:t>
            </w:r>
            <w:r w:rsidR="00043501">
              <w:t xml:space="preserve"> d.</w:t>
            </w:r>
            <w:r w:rsidRPr="00D2100E">
              <w:t xml:space="preserve"> </w:t>
            </w:r>
            <w:r w:rsidR="00016555" w:rsidRPr="00D2100E">
              <w:t xml:space="preserve">Vilniuje </w:t>
            </w:r>
            <w:r w:rsidRPr="00D2100E">
              <w:t>suorganizuota</w:t>
            </w:r>
            <w:r w:rsidR="00016555">
              <w:t>me</w:t>
            </w:r>
            <w:r w:rsidRPr="00D2100E">
              <w:t xml:space="preserve"> renginy</w:t>
            </w:r>
            <w:r w:rsidR="00016555">
              <w:t>je</w:t>
            </w:r>
            <w:r w:rsidRPr="00D2100E">
              <w:t xml:space="preserve"> „</w:t>
            </w:r>
            <w:proofErr w:type="spellStart"/>
            <w:r w:rsidRPr="00D2100E">
              <w:t>LBChain</w:t>
            </w:r>
            <w:proofErr w:type="spellEnd"/>
            <w:r w:rsidRPr="00D2100E">
              <w:t xml:space="preserve"> </w:t>
            </w:r>
            <w:proofErr w:type="spellStart"/>
            <w:r w:rsidRPr="00D2100E">
              <w:t>progress</w:t>
            </w:r>
            <w:proofErr w:type="spellEnd"/>
            <w:r w:rsidRPr="00D2100E">
              <w:t>:</w:t>
            </w:r>
            <w:r w:rsidR="00E01E90">
              <w:t xml:space="preserve"> </w:t>
            </w:r>
            <w:proofErr w:type="spellStart"/>
            <w:r w:rsidRPr="00D2100E">
              <w:t>midway</w:t>
            </w:r>
            <w:proofErr w:type="spellEnd"/>
            <w:r w:rsidRPr="00D2100E">
              <w:t xml:space="preserve"> to </w:t>
            </w:r>
            <w:proofErr w:type="spellStart"/>
            <w:r w:rsidRPr="00D2100E">
              <w:t>success</w:t>
            </w:r>
            <w:proofErr w:type="spellEnd"/>
            <w:r w:rsidR="00016555">
              <w:rPr>
                <w:rFonts w:cs="Times New Roman"/>
              </w:rPr>
              <w:t>“</w:t>
            </w:r>
            <w:r w:rsidRPr="00D2100E">
              <w:t xml:space="preserve"> pristat</w:t>
            </w:r>
            <w:r w:rsidR="00016555">
              <w:t>ytas</w:t>
            </w:r>
            <w:r w:rsidRPr="00D2100E">
              <w:t xml:space="preserve"> Lietuvos </w:t>
            </w:r>
            <w:r w:rsidR="00F463B0">
              <w:t>FINTECH</w:t>
            </w:r>
            <w:r w:rsidRPr="00D2100E">
              <w:t xml:space="preserve"> ekosistem</w:t>
            </w:r>
            <w:r w:rsidR="00016555">
              <w:t>os</w:t>
            </w:r>
            <w:r w:rsidRPr="00D2100E">
              <w:t xml:space="preserve"> </w:t>
            </w:r>
            <w:r w:rsidR="00016555" w:rsidRPr="00D2100E">
              <w:t>projekt</w:t>
            </w:r>
            <w:r w:rsidR="00016555">
              <w:t>as</w:t>
            </w:r>
            <w:r w:rsidR="00016555" w:rsidRPr="00D2100E">
              <w:t xml:space="preserve"> </w:t>
            </w:r>
            <w:r w:rsidR="00016555">
              <w:rPr>
                <w:rFonts w:cs="Times New Roman"/>
              </w:rPr>
              <w:t>„</w:t>
            </w:r>
            <w:proofErr w:type="spellStart"/>
            <w:r w:rsidRPr="00D2100E">
              <w:t>LBChain</w:t>
            </w:r>
            <w:proofErr w:type="spellEnd"/>
            <w:r w:rsidR="00016555">
              <w:rPr>
                <w:rFonts w:cs="Times New Roman"/>
              </w:rPr>
              <w:t>“</w:t>
            </w:r>
            <w:r w:rsidRPr="00D2100E">
              <w:t xml:space="preserve"> ir galimyb</w:t>
            </w:r>
            <w:r w:rsidR="00016555">
              <w:t>ė</w:t>
            </w:r>
            <w:r w:rsidRPr="00D2100E">
              <w:t xml:space="preserve">s </w:t>
            </w:r>
            <w:r w:rsidR="00F463B0">
              <w:t>FINTECH</w:t>
            </w:r>
            <w:r w:rsidRPr="00D2100E">
              <w:t xml:space="preserve"> </w:t>
            </w:r>
            <w:proofErr w:type="spellStart"/>
            <w:r w:rsidRPr="00D2100E">
              <w:t>startuoliams</w:t>
            </w:r>
            <w:proofErr w:type="spellEnd"/>
            <w:r w:rsidR="00016555">
              <w:t>;</w:t>
            </w:r>
            <w:r w:rsidRPr="00D2100E">
              <w:t xml:space="preserve"> </w:t>
            </w:r>
          </w:p>
          <w:p w:rsidR="001F3E5F" w:rsidRPr="00D2100E" w:rsidRDefault="001F3E5F" w:rsidP="00F463B0">
            <w:pPr>
              <w:jc w:val="both"/>
            </w:pPr>
            <w:r w:rsidRPr="00D2100E">
              <w:t xml:space="preserve">- </w:t>
            </w:r>
            <w:r w:rsidR="0083060E">
              <w:t>2019</w:t>
            </w:r>
            <w:r w:rsidR="00043501">
              <w:t xml:space="preserve"> m. lapkričio </w:t>
            </w:r>
            <w:r w:rsidR="0083060E">
              <w:t>25</w:t>
            </w:r>
            <w:r w:rsidR="00043501">
              <w:t xml:space="preserve"> d.</w:t>
            </w:r>
            <w:r w:rsidR="0083060E">
              <w:t xml:space="preserve"> </w:t>
            </w:r>
            <w:r w:rsidRPr="00D2100E">
              <w:t xml:space="preserve">Vilniuje suorganizuotas </w:t>
            </w:r>
            <w:r w:rsidR="00016555">
              <w:t xml:space="preserve">renginys </w:t>
            </w:r>
            <w:r w:rsidRPr="00D2100E">
              <w:t>„</w:t>
            </w:r>
            <w:proofErr w:type="spellStart"/>
            <w:r w:rsidRPr="00D2100E">
              <w:t>Global</w:t>
            </w:r>
            <w:proofErr w:type="spellEnd"/>
            <w:r w:rsidRPr="00D2100E">
              <w:t xml:space="preserve"> </w:t>
            </w:r>
            <w:proofErr w:type="spellStart"/>
            <w:r w:rsidRPr="00D2100E">
              <w:t>Blockchain</w:t>
            </w:r>
            <w:proofErr w:type="spellEnd"/>
            <w:r w:rsidRPr="00D2100E">
              <w:t xml:space="preserve"> </w:t>
            </w:r>
            <w:proofErr w:type="spellStart"/>
            <w:r w:rsidRPr="00D2100E">
              <w:t>Roundtable</w:t>
            </w:r>
            <w:proofErr w:type="spellEnd"/>
            <w:r w:rsidRPr="00D2100E">
              <w:t xml:space="preserve">“, į kurį atvyko pagrindinių pasaulio </w:t>
            </w:r>
            <w:r w:rsidR="0083060E">
              <w:t>blokų grandinės technologijos</w:t>
            </w:r>
            <w:r w:rsidRPr="00D2100E">
              <w:t xml:space="preserve"> centrų vadovai i</w:t>
            </w:r>
            <w:r w:rsidR="00016555">
              <w:t>r</w:t>
            </w:r>
            <w:r w:rsidRPr="00D2100E">
              <w:t xml:space="preserve"> kiti šios srities ekspertai</w:t>
            </w:r>
            <w:r w:rsidR="00016555">
              <w:t>;</w:t>
            </w:r>
            <w:r w:rsidRPr="00D2100E">
              <w:t xml:space="preserve"> </w:t>
            </w:r>
          </w:p>
          <w:p w:rsidR="001F3E5F" w:rsidRPr="00D2100E" w:rsidRDefault="001F3E5F" w:rsidP="00F463B0">
            <w:pPr>
              <w:jc w:val="both"/>
            </w:pPr>
            <w:r w:rsidRPr="00D2100E">
              <w:t xml:space="preserve">- </w:t>
            </w:r>
            <w:r w:rsidR="0083060E">
              <w:t>2019</w:t>
            </w:r>
            <w:r w:rsidR="00043501">
              <w:t xml:space="preserve"> m. lapkričio </w:t>
            </w:r>
            <w:r w:rsidR="0083060E">
              <w:t>26</w:t>
            </w:r>
            <w:r w:rsidR="00043501">
              <w:t xml:space="preserve"> d.</w:t>
            </w:r>
            <w:r w:rsidR="0083060E">
              <w:t xml:space="preserve"> </w:t>
            </w:r>
            <w:r w:rsidRPr="00D2100E">
              <w:t xml:space="preserve">Vilniuje </w:t>
            </w:r>
            <w:r w:rsidR="00016555">
              <w:t>su</w:t>
            </w:r>
            <w:r w:rsidRPr="00D2100E">
              <w:t xml:space="preserve">organizuotas </w:t>
            </w:r>
            <w:r w:rsidR="00016555">
              <w:t xml:space="preserve">renginys </w:t>
            </w:r>
            <w:r w:rsidR="00016555">
              <w:rPr>
                <w:rFonts w:cs="Times New Roman"/>
              </w:rPr>
              <w:t>„</w:t>
            </w:r>
            <w:proofErr w:type="spellStart"/>
            <w:r w:rsidRPr="00D2100E">
              <w:t>Global</w:t>
            </w:r>
            <w:proofErr w:type="spellEnd"/>
            <w:r w:rsidRPr="00D2100E">
              <w:t xml:space="preserve"> </w:t>
            </w:r>
            <w:r w:rsidR="00F463B0">
              <w:t>FINTECH</w:t>
            </w:r>
            <w:r w:rsidRPr="00D2100E">
              <w:t xml:space="preserve"> </w:t>
            </w:r>
            <w:proofErr w:type="spellStart"/>
            <w:r w:rsidRPr="00D2100E">
              <w:t>Forum</w:t>
            </w:r>
            <w:proofErr w:type="spellEnd"/>
            <w:r w:rsidR="00016555">
              <w:rPr>
                <w:rFonts w:cs="Times New Roman"/>
              </w:rPr>
              <w:t>“</w:t>
            </w:r>
            <w:r w:rsidRPr="00D2100E">
              <w:t xml:space="preserve"> (kartu su </w:t>
            </w:r>
            <w:proofErr w:type="spellStart"/>
            <w:r w:rsidR="00037701">
              <w:t>VšĮ</w:t>
            </w:r>
            <w:proofErr w:type="spellEnd"/>
            <w:r w:rsidR="00037701">
              <w:t xml:space="preserve"> </w:t>
            </w:r>
            <w:r w:rsidR="00DD5B70">
              <w:t>„</w:t>
            </w:r>
            <w:r w:rsidRPr="00D2100E">
              <w:t>Investuok Lietuvoje</w:t>
            </w:r>
            <w:r w:rsidR="00DD5B70">
              <w:t>“</w:t>
            </w:r>
            <w:r w:rsidRPr="00D2100E">
              <w:t xml:space="preserve"> ir Lietuvos </w:t>
            </w:r>
            <w:r w:rsidR="00037701">
              <w:t>b</w:t>
            </w:r>
            <w:r w:rsidR="00037701" w:rsidRPr="00D2100E">
              <w:t>anku</w:t>
            </w:r>
            <w:r w:rsidRPr="00D2100E">
              <w:t>)</w:t>
            </w:r>
            <w:r w:rsidR="00016555">
              <w:t>;</w:t>
            </w:r>
          </w:p>
          <w:p w:rsidR="001F3E5F" w:rsidRPr="00D2100E" w:rsidRDefault="001F3E5F" w:rsidP="00F463B0">
            <w:pPr>
              <w:jc w:val="both"/>
            </w:pPr>
            <w:r w:rsidRPr="00D2100E">
              <w:lastRenderedPageBreak/>
              <w:t xml:space="preserve">- </w:t>
            </w:r>
            <w:r w:rsidR="00043501">
              <w:t>s</w:t>
            </w:r>
            <w:r w:rsidRPr="00D2100E">
              <w:t xml:space="preserve">avarankiškai </w:t>
            </w:r>
            <w:r w:rsidR="00016555">
              <w:t xml:space="preserve">surengti </w:t>
            </w:r>
            <w:r w:rsidR="00F463B0">
              <w:t>FINTECH</w:t>
            </w:r>
            <w:r w:rsidRPr="00D2100E">
              <w:t xml:space="preserve"> turai po Vilnių </w:t>
            </w:r>
            <w:r w:rsidR="00016555">
              <w:t xml:space="preserve">konferencijos </w:t>
            </w:r>
            <w:r w:rsidR="00016555">
              <w:rPr>
                <w:rFonts w:cs="Times New Roman"/>
              </w:rPr>
              <w:t>„</w:t>
            </w:r>
            <w:r w:rsidR="00F463B0">
              <w:t>FINTECH</w:t>
            </w:r>
            <w:r w:rsidRPr="00D2100E">
              <w:t xml:space="preserve"> </w:t>
            </w:r>
            <w:proofErr w:type="spellStart"/>
            <w:r w:rsidRPr="00D2100E">
              <w:t>Inn</w:t>
            </w:r>
            <w:proofErr w:type="spellEnd"/>
            <w:r w:rsidRPr="00D2100E">
              <w:t xml:space="preserve"> 2019</w:t>
            </w:r>
            <w:r w:rsidR="00016555">
              <w:rPr>
                <w:rFonts w:cs="Times New Roman"/>
              </w:rPr>
              <w:t>“</w:t>
            </w:r>
            <w:r w:rsidRPr="00D2100E">
              <w:t xml:space="preserve"> dalyviams, </w:t>
            </w:r>
            <w:r w:rsidR="00167BA4">
              <w:t xml:space="preserve">bare </w:t>
            </w:r>
            <w:r w:rsidR="00167BA4" w:rsidRPr="00D2100E">
              <w:t>„Kably</w:t>
            </w:r>
            <w:r w:rsidR="00167BA4">
              <w:t>s</w:t>
            </w:r>
            <w:r w:rsidR="00167BA4" w:rsidRPr="00D2100E">
              <w:t>“</w:t>
            </w:r>
            <w:r w:rsidR="00167BA4">
              <w:rPr>
                <w:rFonts w:cs="Times New Roman"/>
              </w:rPr>
              <w:t xml:space="preserve"> vyko „</w:t>
            </w:r>
            <w:r w:rsidR="00F463B0">
              <w:t>FINTECH</w:t>
            </w:r>
            <w:r w:rsidRPr="00D2100E">
              <w:t xml:space="preserve"> </w:t>
            </w:r>
            <w:proofErr w:type="spellStart"/>
            <w:r w:rsidRPr="00D2100E">
              <w:t>Inn</w:t>
            </w:r>
            <w:proofErr w:type="spellEnd"/>
            <w:r w:rsidRPr="00D2100E">
              <w:t xml:space="preserve"> 2019</w:t>
            </w:r>
            <w:r w:rsidR="00167BA4">
              <w:rPr>
                <w:rFonts w:cs="Times New Roman"/>
              </w:rPr>
              <w:t>“</w:t>
            </w:r>
            <w:r w:rsidRPr="00D2100E">
              <w:t xml:space="preserve"> </w:t>
            </w:r>
            <w:proofErr w:type="spellStart"/>
            <w:r w:rsidRPr="00D2100E">
              <w:t>tinklaveikos</w:t>
            </w:r>
            <w:proofErr w:type="spellEnd"/>
            <w:r w:rsidRPr="00D2100E">
              <w:t xml:space="preserve"> renginys, kuriame dalyvavo daugiau nei 300 dalyvių</w:t>
            </w:r>
            <w:r w:rsidR="00037701">
              <w:t>.</w:t>
            </w:r>
          </w:p>
          <w:p w:rsidR="001F3E5F" w:rsidRPr="00B54B25" w:rsidRDefault="001F3E5F" w:rsidP="007011EC">
            <w:pPr>
              <w:jc w:val="both"/>
              <w:rPr>
                <w:b/>
              </w:rPr>
            </w:pPr>
            <w:r w:rsidRPr="00D2100E">
              <w:t xml:space="preserve">Lietuvos atstovybės užsienyje mezgė verslo kontaktus, į </w:t>
            </w:r>
            <w:r w:rsidR="007011EC" w:rsidRPr="00D2100E">
              <w:t>„</w:t>
            </w:r>
            <w:r w:rsidR="007011EC">
              <w:t>FINTECH</w:t>
            </w:r>
            <w:r w:rsidR="007011EC" w:rsidRPr="00D2100E">
              <w:t xml:space="preserve"> </w:t>
            </w:r>
            <w:proofErr w:type="spellStart"/>
            <w:r w:rsidR="007011EC" w:rsidRPr="00D2100E">
              <w:t>Inn</w:t>
            </w:r>
            <w:proofErr w:type="spellEnd"/>
            <w:r w:rsidR="007011EC" w:rsidRPr="00D2100E">
              <w:t>“</w:t>
            </w:r>
            <w:r w:rsidR="007011EC">
              <w:t xml:space="preserve"> </w:t>
            </w:r>
            <w:r w:rsidRPr="00D2100E">
              <w:t xml:space="preserve">konferenciją kvietė pranešėjus ir įmones, organizavo užsienio delegacijų ir žurnalistų atvykimą, ypač aktyviai prisidėjo prie konferencijos viešinimo </w:t>
            </w:r>
            <w:r w:rsidR="00167BA4">
              <w:t xml:space="preserve">– </w:t>
            </w:r>
            <w:r w:rsidRPr="00D2100E">
              <w:t>išplatin</w:t>
            </w:r>
            <w:r w:rsidR="00167BA4">
              <w:t>o</w:t>
            </w:r>
            <w:r w:rsidRPr="00D2100E">
              <w:t xml:space="preserve"> informaciją užsienio šalių </w:t>
            </w:r>
            <w:r w:rsidR="00F463B0">
              <w:t>FINTECH</w:t>
            </w:r>
            <w:r w:rsidRPr="00D2100E">
              <w:t xml:space="preserve"> asociacijoms, </w:t>
            </w:r>
            <w:r w:rsidR="00F463B0">
              <w:t>FINTECH</w:t>
            </w:r>
            <w:r w:rsidRPr="00D2100E">
              <w:t xml:space="preserve"> </w:t>
            </w:r>
            <w:proofErr w:type="spellStart"/>
            <w:r w:rsidRPr="00D2100E">
              <w:t>startuoliams</w:t>
            </w:r>
            <w:proofErr w:type="spellEnd"/>
            <w:r w:rsidRPr="00D2100E">
              <w:t xml:space="preserve">, </w:t>
            </w:r>
            <w:r w:rsidR="0083060E">
              <w:t>reikšmingiausioms</w:t>
            </w:r>
            <w:r w:rsidRPr="00D2100E">
              <w:t xml:space="preserve"> </w:t>
            </w:r>
            <w:r w:rsidR="00F463B0">
              <w:t>FINTECH</w:t>
            </w:r>
            <w:r w:rsidRPr="00D2100E">
              <w:t xml:space="preserve"> įmonėms ir investuotojams.</w:t>
            </w:r>
          </w:p>
        </w:tc>
      </w:tr>
      <w:tr w:rsidR="001F3E5F" w:rsidRPr="00616493" w:rsidTr="001F3E5F">
        <w:trPr>
          <w:trHeight w:val="945"/>
        </w:trPr>
        <w:tc>
          <w:tcPr>
            <w:tcW w:w="3652" w:type="dxa"/>
            <w:hideMark/>
          </w:tcPr>
          <w:p w:rsidR="001F3E5F" w:rsidRPr="00616493" w:rsidRDefault="001F3E5F" w:rsidP="00F463B0">
            <w:pPr>
              <w:jc w:val="both"/>
            </w:pPr>
            <w:r w:rsidRPr="00616493">
              <w:lastRenderedPageBreak/>
              <w:t>3.3. Suformuoti naujos aplinkos, skirtos atsiskaityti negrynaisiais pinigais ugdymo įstaigose, kaip alternatyvos gryniesiems pinigams, pagrindinius elementus.</w:t>
            </w:r>
          </w:p>
        </w:tc>
        <w:tc>
          <w:tcPr>
            <w:tcW w:w="2410" w:type="dxa"/>
            <w:hideMark/>
          </w:tcPr>
          <w:p w:rsidR="001F3E5F" w:rsidRPr="00616493" w:rsidRDefault="001F3E5F" w:rsidP="00F463B0">
            <w:pPr>
              <w:jc w:val="both"/>
            </w:pPr>
            <w:r w:rsidRPr="00616493">
              <w:t>Švietimo ir mokslo ministerija, Lietuvos bankas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B54B25" w:rsidRDefault="001F3E5F" w:rsidP="00F463B0">
            <w:pPr>
              <w:jc w:val="both"/>
              <w:rPr>
                <w:b/>
              </w:rPr>
            </w:pPr>
            <w:r w:rsidRPr="00B54B25">
              <w:rPr>
                <w:b/>
              </w:rPr>
              <w:t>Įgyvendinta.</w:t>
            </w:r>
          </w:p>
          <w:p w:rsidR="001F3E5F" w:rsidRPr="00616493" w:rsidRDefault="00003383" w:rsidP="00167BA4">
            <w:pPr>
              <w:jc w:val="both"/>
            </w:pPr>
            <w:r>
              <w:t xml:space="preserve">2019 m. </w:t>
            </w:r>
            <w:r w:rsidR="00A376FB">
              <w:t xml:space="preserve">Mokėjimų </w:t>
            </w:r>
            <w:r w:rsidR="00167BA4">
              <w:t>t</w:t>
            </w:r>
            <w:r w:rsidR="00A376FB">
              <w:t xml:space="preserve">aryba sukūrė užduoties grupę, kurios tikslas – </w:t>
            </w:r>
            <w:r w:rsidR="00A376FB" w:rsidRPr="00A376FB">
              <w:t>mokėjimų rinkos dalyviams, mokėjimų politiką formuojančioms ir įgyvendinančioms institucijoms</w:t>
            </w:r>
            <w:r w:rsidR="00A376FB">
              <w:t xml:space="preserve"> parengti a</w:t>
            </w:r>
            <w:r w:rsidR="00A376FB" w:rsidRPr="00A376FB">
              <w:t>tvirosios ekosistemos atsiskaitym</w:t>
            </w:r>
            <w:r w:rsidR="00167BA4">
              <w:t>u</w:t>
            </w:r>
            <w:r w:rsidR="00A376FB" w:rsidRPr="00A376FB">
              <w:t>s negrynaisiais pinigais ugdymo įstaigose skatinančių priemonių kūrim</w:t>
            </w:r>
            <w:r w:rsidR="00A376FB">
              <w:t xml:space="preserve">o rekomendacijas. Galutinės užduoties grupės rekomendacijos bus tvirtinamos 2020 m. II </w:t>
            </w:r>
            <w:proofErr w:type="spellStart"/>
            <w:r w:rsidR="00A376FB">
              <w:t>ketv</w:t>
            </w:r>
            <w:proofErr w:type="spellEnd"/>
            <w:r w:rsidR="00A376FB">
              <w:t xml:space="preserve">. </w:t>
            </w:r>
          </w:p>
        </w:tc>
      </w:tr>
      <w:tr w:rsidR="001F3E5F" w:rsidRPr="00616493" w:rsidTr="001F3E5F">
        <w:trPr>
          <w:trHeight w:val="630"/>
        </w:trPr>
        <w:tc>
          <w:tcPr>
            <w:tcW w:w="3652" w:type="dxa"/>
            <w:hideMark/>
          </w:tcPr>
          <w:p w:rsidR="001F3E5F" w:rsidRPr="00616493" w:rsidRDefault="001F3E5F" w:rsidP="00F463B0">
            <w:pPr>
              <w:jc w:val="both"/>
            </w:pPr>
            <w:r w:rsidRPr="00616493">
              <w:t>3.4 Siūlyti Lietuvos bankui parengti atvirosios bankininkystės principo taikymo Lietuvoje pasiūlymus.</w:t>
            </w:r>
          </w:p>
        </w:tc>
        <w:tc>
          <w:tcPr>
            <w:tcW w:w="2410" w:type="dxa"/>
            <w:hideMark/>
          </w:tcPr>
          <w:p w:rsidR="001F3E5F" w:rsidRPr="00616493" w:rsidRDefault="001F3E5F" w:rsidP="00F463B0">
            <w:pPr>
              <w:jc w:val="both"/>
            </w:pPr>
            <w:r w:rsidRPr="00616493">
              <w:t>Lietuvos bankas, Finansų ministerija</w:t>
            </w:r>
          </w:p>
        </w:tc>
        <w:tc>
          <w:tcPr>
            <w:tcW w:w="1843" w:type="dxa"/>
            <w:hideMark/>
          </w:tcPr>
          <w:p w:rsidR="001F3E5F" w:rsidRPr="00616493" w:rsidRDefault="001F3E5F" w:rsidP="00F463B0">
            <w:pPr>
              <w:jc w:val="both"/>
            </w:pPr>
            <w:r w:rsidRPr="00616493">
              <w:t xml:space="preserve">2019 m. III </w:t>
            </w:r>
            <w:proofErr w:type="spellStart"/>
            <w:r w:rsidRPr="00616493">
              <w:t>ketv</w:t>
            </w:r>
            <w:proofErr w:type="spellEnd"/>
            <w:r w:rsidRPr="00616493">
              <w:t>.</w:t>
            </w:r>
          </w:p>
        </w:tc>
        <w:tc>
          <w:tcPr>
            <w:tcW w:w="6314" w:type="dxa"/>
            <w:hideMark/>
          </w:tcPr>
          <w:p w:rsidR="001F3E5F" w:rsidRPr="00B54B25" w:rsidRDefault="001F3E5F" w:rsidP="00F463B0">
            <w:pPr>
              <w:jc w:val="both"/>
              <w:rPr>
                <w:b/>
              </w:rPr>
            </w:pPr>
            <w:r w:rsidRPr="00B54B25">
              <w:rPr>
                <w:b/>
              </w:rPr>
              <w:t>Įgyvendinta.</w:t>
            </w:r>
          </w:p>
          <w:p w:rsidR="001F3E5F" w:rsidRPr="00616493" w:rsidRDefault="00A376FB" w:rsidP="00167BA4">
            <w:pPr>
              <w:jc w:val="both"/>
            </w:pPr>
            <w:r>
              <w:t xml:space="preserve">2019 m. Mokėjimų </w:t>
            </w:r>
            <w:r w:rsidR="00167BA4">
              <w:t>t</w:t>
            </w:r>
            <w:r>
              <w:t xml:space="preserve">aryba sukūrė užduoties grupę, kurios tikslas – </w:t>
            </w:r>
            <w:r w:rsidRPr="00A376FB">
              <w:t>mokėjimų rinkos dalyviams, mokėjimų politiką formuojančioms ir įgyvendinančioms institucijoms</w:t>
            </w:r>
            <w:r>
              <w:t xml:space="preserve"> parengti atvirosios bankininkystės plėtros rekomendacijas. Galutinės užduoties grupės rekomendacijos bus tvirtinamos 2020 m. II </w:t>
            </w:r>
            <w:proofErr w:type="spellStart"/>
            <w:r>
              <w:t>ketv</w:t>
            </w:r>
            <w:proofErr w:type="spellEnd"/>
            <w:r w:rsidR="007011EC">
              <w:t>.</w:t>
            </w:r>
          </w:p>
        </w:tc>
      </w:tr>
      <w:tr w:rsidR="001F3E5F" w:rsidRPr="00616493" w:rsidTr="00F463B0">
        <w:trPr>
          <w:trHeight w:val="327"/>
        </w:trPr>
        <w:tc>
          <w:tcPr>
            <w:tcW w:w="14219" w:type="dxa"/>
            <w:gridSpan w:val="4"/>
          </w:tcPr>
          <w:p w:rsidR="001F3E5F" w:rsidRPr="00B54B25" w:rsidRDefault="001F3E5F" w:rsidP="003845A2">
            <w:pPr>
              <w:jc w:val="center"/>
              <w:rPr>
                <w:b/>
              </w:rPr>
            </w:pPr>
            <w:r w:rsidRPr="009B225E">
              <w:rPr>
                <w:b/>
              </w:rPr>
              <w:t>4 užduotis</w:t>
            </w:r>
            <w:r w:rsidRPr="00D9484B">
              <w:t xml:space="preserve">. </w:t>
            </w:r>
            <w:r w:rsidRPr="001F3E5F">
              <w:rPr>
                <w:b/>
              </w:rPr>
              <w:t>Užtikrinti kapitalo pasiūlą įmonėms kiekviename jų plėtros etape</w:t>
            </w:r>
          </w:p>
        </w:tc>
      </w:tr>
      <w:tr w:rsidR="001F3E5F" w:rsidRPr="00616493" w:rsidTr="001107CA">
        <w:trPr>
          <w:trHeight w:val="548"/>
        </w:trPr>
        <w:tc>
          <w:tcPr>
            <w:tcW w:w="3652" w:type="dxa"/>
            <w:hideMark/>
          </w:tcPr>
          <w:p w:rsidR="001F3E5F" w:rsidRPr="00616493" w:rsidRDefault="001F3E5F" w:rsidP="00F463B0">
            <w:pPr>
              <w:jc w:val="both"/>
            </w:pPr>
            <w:r w:rsidRPr="00616493">
              <w:t>4.1. Plėsti galimybes smulkiojo ir vidutinio verslo subjektams pasinaudoti priemone „Sutelktinės paskolos „Avietė“.</w:t>
            </w:r>
          </w:p>
        </w:tc>
        <w:tc>
          <w:tcPr>
            <w:tcW w:w="2410" w:type="dxa"/>
            <w:hideMark/>
          </w:tcPr>
          <w:p w:rsidR="001F3E5F" w:rsidRPr="00616493" w:rsidRDefault="001F3E5F" w:rsidP="00F463B0">
            <w:pPr>
              <w:jc w:val="both"/>
            </w:pPr>
            <w:r w:rsidRPr="00616493">
              <w:t>UAB „Investicijų ir verslo garantijos“</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B54B25" w:rsidRDefault="001F3E5F" w:rsidP="00F463B0">
            <w:pPr>
              <w:jc w:val="both"/>
              <w:rPr>
                <w:b/>
              </w:rPr>
            </w:pPr>
            <w:r w:rsidRPr="00B54B25">
              <w:rPr>
                <w:b/>
              </w:rPr>
              <w:t>Įgyvendinta.</w:t>
            </w:r>
          </w:p>
          <w:p w:rsidR="001F3E5F" w:rsidRPr="00616493" w:rsidRDefault="00FE76AE" w:rsidP="007011EC">
            <w:pPr>
              <w:jc w:val="both"/>
            </w:pPr>
            <w:r w:rsidRPr="00FE76AE">
              <w:t xml:space="preserve">Buvo </w:t>
            </w:r>
            <w:r w:rsidR="007011EC">
              <w:t>papildyti</w:t>
            </w:r>
            <w:r w:rsidR="007011EC" w:rsidRPr="00FE76AE">
              <w:t xml:space="preserve"> </w:t>
            </w:r>
            <w:r w:rsidRPr="00FE76AE">
              <w:t xml:space="preserve">reikalavimai, kuriuos turi atitikti finansų tarpininko techninė sąskaita (techninės sąskaitos turėjimas yra privalomas įgyvendinant priemonę). Atsirado galimybė techninę sąskaitą turėti ne tik Lietuvos banke, Lietuvos kredito </w:t>
            </w:r>
            <w:r w:rsidRPr="00FE76AE">
              <w:lastRenderedPageBreak/>
              <w:t>įstaigoje, bet ir Lietuvos banko licencijuotoje mokėjim</w:t>
            </w:r>
            <w:r w:rsidR="00167BA4">
              <w:t>ų</w:t>
            </w:r>
            <w:r w:rsidRPr="00FE76AE">
              <w:t xml:space="preserve"> ar elektroninių pinigų įstaigoje. </w:t>
            </w:r>
          </w:p>
        </w:tc>
      </w:tr>
      <w:tr w:rsidR="001F3E5F" w:rsidRPr="00616493" w:rsidTr="001107CA">
        <w:trPr>
          <w:trHeight w:val="4241"/>
        </w:trPr>
        <w:tc>
          <w:tcPr>
            <w:tcW w:w="3652" w:type="dxa"/>
            <w:hideMark/>
          </w:tcPr>
          <w:p w:rsidR="001F3E5F" w:rsidRPr="00616493" w:rsidRDefault="001F3E5F" w:rsidP="00F463B0">
            <w:pPr>
              <w:jc w:val="both"/>
            </w:pPr>
            <w:r w:rsidRPr="00616493">
              <w:lastRenderedPageBreak/>
              <w:t xml:space="preserve">4.2. Išnagrinėti galimybes sustiprinti </w:t>
            </w:r>
            <w:r w:rsidR="00F463B0">
              <w:t>FINTECH</w:t>
            </w:r>
            <w:r w:rsidRPr="00616493">
              <w:t xml:space="preserve"> įmonių galimybes gauti rizikos kapitalo investicijas Lietuvoje.</w:t>
            </w:r>
          </w:p>
        </w:tc>
        <w:tc>
          <w:tcPr>
            <w:tcW w:w="2410" w:type="dxa"/>
            <w:hideMark/>
          </w:tcPr>
          <w:p w:rsidR="001F3E5F" w:rsidRPr="00616493" w:rsidRDefault="001F3E5F" w:rsidP="00167BA4">
            <w:pPr>
              <w:jc w:val="both"/>
            </w:pPr>
            <w:r w:rsidRPr="00616493">
              <w:t xml:space="preserve">UAB „Investicijų ir verslo garantijos“, </w:t>
            </w:r>
            <w:r w:rsidR="00167BA4">
              <w:t xml:space="preserve">Ekonomikos ir inovacijų </w:t>
            </w:r>
            <w:r w:rsidRPr="00616493">
              <w:t>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FE76AE" w:rsidP="00F463B0">
            <w:pPr>
              <w:jc w:val="both"/>
              <w:rPr>
                <w:b/>
              </w:rPr>
            </w:pPr>
            <w:r>
              <w:rPr>
                <w:b/>
              </w:rPr>
              <w:t>Įgyvendinta.</w:t>
            </w:r>
          </w:p>
          <w:p w:rsidR="00FE76AE" w:rsidRPr="00FE76AE" w:rsidRDefault="00FE76AE" w:rsidP="00F463B0">
            <w:pPr>
              <w:jc w:val="both"/>
            </w:pPr>
            <w:r w:rsidRPr="00FE76AE">
              <w:t xml:space="preserve">Išnagrinėtos galimybės </w:t>
            </w:r>
            <w:r w:rsidR="00F463B0">
              <w:t>FINTECH</w:t>
            </w:r>
            <w:r w:rsidRPr="00FE76AE">
              <w:t xml:space="preserve"> įmonėms gauti rizikos kapitalo investicijas Lietuvoje. Ekonomikos ir inovacijų ministerija per Verslo finansavimo fondą ir INVEGOS fondą, kurių valdytoja yra UAB „Investicijų ir verslo garantijos“</w:t>
            </w:r>
            <w:r w:rsidR="00780B24">
              <w:t>,</w:t>
            </w:r>
            <w:r w:rsidRPr="00FE76AE">
              <w:t xml:space="preserve"> iš E</w:t>
            </w:r>
            <w:r w:rsidR="00C60225">
              <w:t xml:space="preserve">uropos </w:t>
            </w:r>
            <w:r w:rsidRPr="00FE76AE">
              <w:t>S</w:t>
            </w:r>
            <w:r w:rsidR="00C60225">
              <w:t>ąjungos</w:t>
            </w:r>
            <w:r w:rsidRPr="00FE76AE">
              <w:t xml:space="preserve"> fondų ir grįžusių lėšų įgyvendina 9 rizikos kapitalo priemones („Ko-investicinis fondas“, „Ko-investicinis fondas II“, „Ko-investicinis fondas MTEPI“, „Ankstyvosios stadijos ir plėtros fondas I“, „Ankstyvosios stadijos ir plėtros fondas II“, „Bendrai su verslo angelais investuojantis fondas“, „Plėtros fondas I“, „Plėtros fondas II“ ir „</w:t>
            </w:r>
            <w:proofErr w:type="spellStart"/>
            <w:r w:rsidRPr="00FE76AE">
              <w:t>Akceleravimo</w:t>
            </w:r>
            <w:proofErr w:type="spellEnd"/>
            <w:r w:rsidRPr="00FE76AE">
              <w:t xml:space="preserve"> fondas“), kurių sąlygose nėra numatyta ribojimų </w:t>
            </w:r>
            <w:r w:rsidR="00F463B0">
              <w:t>FINTECH</w:t>
            </w:r>
            <w:r w:rsidRPr="00FE76AE">
              <w:t xml:space="preserve"> įmonėms. Todėl </w:t>
            </w:r>
            <w:r w:rsidR="00F463B0">
              <w:t>FINTECH</w:t>
            </w:r>
            <w:r w:rsidRPr="00FE76AE">
              <w:t xml:space="preserve"> įmonės gali kreiptis į fondų valdytojus dėl galimybės gauti rizikos kapitalo investicijas Lietuvoje.</w:t>
            </w:r>
          </w:p>
        </w:tc>
      </w:tr>
      <w:tr w:rsidR="001F3E5F" w:rsidRPr="00616493" w:rsidTr="00F463B0">
        <w:trPr>
          <w:trHeight w:val="399"/>
        </w:trPr>
        <w:tc>
          <w:tcPr>
            <w:tcW w:w="14219" w:type="dxa"/>
            <w:gridSpan w:val="4"/>
          </w:tcPr>
          <w:p w:rsidR="001F3E5F" w:rsidRPr="00B54B25" w:rsidRDefault="001F3E5F" w:rsidP="00A110A1">
            <w:pPr>
              <w:jc w:val="center"/>
              <w:rPr>
                <w:b/>
              </w:rPr>
            </w:pPr>
            <w:r w:rsidRPr="001F3E5F">
              <w:rPr>
                <w:b/>
              </w:rPr>
              <w:t>5 užduotis. Užtikrinti tinkamos darbo jėgos rengimą Lietuvoje</w:t>
            </w:r>
          </w:p>
        </w:tc>
      </w:tr>
      <w:tr w:rsidR="001F3E5F" w:rsidRPr="00616493" w:rsidTr="001F3E5F">
        <w:trPr>
          <w:trHeight w:val="945"/>
        </w:trPr>
        <w:tc>
          <w:tcPr>
            <w:tcW w:w="3652" w:type="dxa"/>
            <w:hideMark/>
          </w:tcPr>
          <w:p w:rsidR="001F3E5F" w:rsidRPr="00616493" w:rsidRDefault="001F3E5F" w:rsidP="00F463B0">
            <w:pPr>
              <w:jc w:val="both"/>
            </w:pPr>
            <w:r w:rsidRPr="00616493">
              <w:t xml:space="preserve">5.1. Parengti konsoliduotą informaciją apie Lietuvos aukštosiose mokyklose prieinamas studijų programas, kurios suteikia </w:t>
            </w:r>
            <w:r w:rsidR="00F463B0">
              <w:t>FINTECH</w:t>
            </w:r>
            <w:r w:rsidRPr="00616493">
              <w:t xml:space="preserve"> sričiai reikalingų kompetencijų, ir išplatinti ją visoms Lietuvos gimnazijoms. </w:t>
            </w:r>
          </w:p>
        </w:tc>
        <w:tc>
          <w:tcPr>
            <w:tcW w:w="2410" w:type="dxa"/>
            <w:hideMark/>
          </w:tcPr>
          <w:p w:rsidR="001F3E5F" w:rsidRPr="00616493" w:rsidRDefault="001F3E5F" w:rsidP="00F463B0">
            <w:pPr>
              <w:jc w:val="both"/>
            </w:pPr>
            <w:r w:rsidRPr="00616493">
              <w:t>Švietimo ir mokslo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FE76AE" w:rsidRDefault="00FE76AE" w:rsidP="00F463B0">
            <w:pPr>
              <w:jc w:val="both"/>
              <w:rPr>
                <w:b/>
              </w:rPr>
            </w:pPr>
            <w:r w:rsidRPr="00FE76AE">
              <w:rPr>
                <w:b/>
              </w:rPr>
              <w:t>Į</w:t>
            </w:r>
            <w:r w:rsidR="001F3E5F" w:rsidRPr="00FE76AE">
              <w:rPr>
                <w:b/>
              </w:rPr>
              <w:t>gyve</w:t>
            </w:r>
            <w:r w:rsidR="004D3BE8">
              <w:rPr>
                <w:b/>
              </w:rPr>
              <w:t>n</w:t>
            </w:r>
            <w:r w:rsidR="001F3E5F" w:rsidRPr="00FE76AE">
              <w:rPr>
                <w:b/>
              </w:rPr>
              <w:t>dinta</w:t>
            </w:r>
            <w:r w:rsidRPr="00FE76AE">
              <w:rPr>
                <w:b/>
              </w:rPr>
              <w:t>.</w:t>
            </w:r>
          </w:p>
          <w:p w:rsidR="001F3E5F" w:rsidRPr="00616493" w:rsidRDefault="00C60225" w:rsidP="00C60225">
            <w:pPr>
              <w:jc w:val="both"/>
            </w:pPr>
            <w:r>
              <w:t>Parengta</w:t>
            </w:r>
            <w:r w:rsidRPr="00616493">
              <w:t xml:space="preserve"> </w:t>
            </w:r>
            <w:r>
              <w:t>k</w:t>
            </w:r>
            <w:r w:rsidR="001F3E5F" w:rsidRPr="00616493">
              <w:t>on</w:t>
            </w:r>
            <w:r w:rsidR="00FE76AE">
              <w:t xml:space="preserve">soliduota informacija: </w:t>
            </w:r>
            <w:hyperlink r:id="rId20" w:history="1">
              <w:r w:rsidR="00FE76AE" w:rsidRPr="00C10EC2">
                <w:rPr>
                  <w:rStyle w:val="Hipersaitas"/>
                </w:rPr>
                <w:t>https://www.smm.lt/web/lt/smm-studijos/aktualijos/</w:t>
              </w:r>
              <w:r w:rsidR="00F463B0">
                <w:rPr>
                  <w:rStyle w:val="Hipersaitas"/>
                </w:rPr>
                <w:t>FINTECH</w:t>
              </w:r>
            </w:hyperlink>
            <w:r w:rsidRPr="00B964DE">
              <w:rPr>
                <w:rStyle w:val="Hipersaitas"/>
                <w:color w:val="000000" w:themeColor="text1"/>
                <w:u w:val="none"/>
              </w:rPr>
              <w:t>.</w:t>
            </w:r>
            <w:r w:rsidR="00FE76AE">
              <w:t xml:space="preserve"> </w:t>
            </w:r>
          </w:p>
        </w:tc>
      </w:tr>
      <w:tr w:rsidR="001F3E5F" w:rsidRPr="00616493" w:rsidTr="001107CA">
        <w:trPr>
          <w:trHeight w:val="9337"/>
        </w:trPr>
        <w:tc>
          <w:tcPr>
            <w:tcW w:w="3652" w:type="dxa"/>
            <w:hideMark/>
          </w:tcPr>
          <w:p w:rsidR="001F3E5F" w:rsidRPr="00616493" w:rsidRDefault="001F3E5F" w:rsidP="00F463B0">
            <w:pPr>
              <w:jc w:val="both"/>
            </w:pPr>
            <w:r w:rsidRPr="00616493">
              <w:lastRenderedPageBreak/>
              <w:t xml:space="preserve">5.2. Įvertinti galimybes skirti paramą </w:t>
            </w:r>
            <w:r w:rsidR="00F463B0">
              <w:t>FINTECH</w:t>
            </w:r>
            <w:r w:rsidRPr="00616493">
              <w:t xml:space="preserve"> srities moksliniams tyrimams ir eksperimentinei plėtrai.</w:t>
            </w:r>
          </w:p>
        </w:tc>
        <w:tc>
          <w:tcPr>
            <w:tcW w:w="2410" w:type="dxa"/>
            <w:hideMark/>
          </w:tcPr>
          <w:p w:rsidR="001F3E5F" w:rsidRPr="00616493" w:rsidRDefault="001F3E5F" w:rsidP="00F463B0">
            <w:pPr>
              <w:jc w:val="both"/>
            </w:pPr>
            <w:r w:rsidRPr="00616493">
              <w:t>Švietimo ir mokslo ministerija</w:t>
            </w:r>
          </w:p>
        </w:tc>
        <w:tc>
          <w:tcPr>
            <w:tcW w:w="1843" w:type="dxa"/>
            <w:hideMark/>
          </w:tcPr>
          <w:p w:rsidR="001F3E5F" w:rsidRPr="00616493" w:rsidRDefault="001F3E5F" w:rsidP="00F463B0">
            <w:pPr>
              <w:jc w:val="both"/>
            </w:pPr>
            <w:r w:rsidRPr="00616493">
              <w:t xml:space="preserve">2019 m. II </w:t>
            </w:r>
            <w:proofErr w:type="spellStart"/>
            <w:r w:rsidRPr="00616493">
              <w:t>ketv</w:t>
            </w:r>
            <w:proofErr w:type="spellEnd"/>
            <w:r w:rsidRPr="00616493">
              <w:t>.</w:t>
            </w:r>
          </w:p>
        </w:tc>
        <w:tc>
          <w:tcPr>
            <w:tcW w:w="6314" w:type="dxa"/>
            <w:hideMark/>
          </w:tcPr>
          <w:p w:rsidR="001F3E5F" w:rsidRPr="00FE76AE" w:rsidRDefault="001F3E5F" w:rsidP="00F463B0">
            <w:pPr>
              <w:jc w:val="both"/>
              <w:rPr>
                <w:b/>
              </w:rPr>
            </w:pPr>
            <w:r w:rsidRPr="00FE76AE">
              <w:rPr>
                <w:b/>
              </w:rPr>
              <w:t>Įgyvendinta</w:t>
            </w:r>
            <w:r w:rsidR="00FE76AE" w:rsidRPr="00FE76AE">
              <w:rPr>
                <w:b/>
              </w:rPr>
              <w:t>.</w:t>
            </w:r>
          </w:p>
          <w:p w:rsidR="00FE76AE" w:rsidRDefault="00FE76AE" w:rsidP="00F463B0">
            <w:pPr>
              <w:jc w:val="both"/>
            </w:pPr>
            <w:r>
              <w:t xml:space="preserve">Suinteresuotos valstybės institucijos, ministerijos, </w:t>
            </w:r>
            <w:r w:rsidR="00C60225">
              <w:t>V</w:t>
            </w:r>
            <w:r>
              <w:t>yriausybės įstaigos, įstaigos prie ministerijų ir savivaldybės turi galimybę užsakyti reikiamus mokslinių tyrimų ir eksperimentinės plėtros (toliau – MTEP) darbus ar inicijuoti jų vykdymą. Lietuvos mokslo taryba (toliau – Taryba)</w:t>
            </w:r>
            <w:r w:rsidR="00AE0C6C">
              <w:t xml:space="preserve"> administruoja šias programas</w:t>
            </w:r>
            <w:r>
              <w:t>:</w:t>
            </w:r>
          </w:p>
          <w:p w:rsidR="00FE76AE" w:rsidRDefault="00FE76AE" w:rsidP="00F463B0">
            <w:pPr>
              <w:jc w:val="both"/>
            </w:pPr>
            <w:r>
              <w:t xml:space="preserve">1. Lietuvos Respublikos Prezidentūrai, Lietuvos Respublikos Seimui, Lietuvos Respublikos Vyriausybei ir Lietuvos Respublikos ministerijoms nustačius valstybei ypač aktualias MTEP temas, </w:t>
            </w:r>
            <w:r w:rsidR="00AE0C6C">
              <w:t xml:space="preserve">šių MTEP darbų </w:t>
            </w:r>
            <w:r>
              <w:t xml:space="preserve">vykdymas gali būti inicijuotas </w:t>
            </w:r>
            <w:proofErr w:type="spellStart"/>
            <w:r>
              <w:t>Reikminių</w:t>
            </w:r>
            <w:proofErr w:type="spellEnd"/>
            <w:r>
              <w:t xml:space="preserve"> tyrimų projektų inicijavimo ir įgyvendinimo tvarkos aprašo, patvirtinto Lietuvos mokslo tarybos pirmininko 2016</w:t>
            </w:r>
            <w:r w:rsidR="004D3BE8">
              <w:t> </w:t>
            </w:r>
            <w:r>
              <w:t xml:space="preserve">m. birželio 1 d. įsakymu Nr. V-150 „Dėl </w:t>
            </w:r>
            <w:proofErr w:type="spellStart"/>
            <w:r>
              <w:t>Reikminių</w:t>
            </w:r>
            <w:proofErr w:type="spellEnd"/>
            <w:r>
              <w:t xml:space="preserve"> tyrimų projektų inicijavimo ir įgyvendinimo tvarkos aprašo patvirtinimo“, nustatyta tvarka. Šiuo atveju pasiūlytos MTEP temos vertinamos Taryboje ir geriausiai įvertintos temos atrenkamos</w:t>
            </w:r>
            <w:r w:rsidR="00AE0C6C">
              <w:t xml:space="preserve"> ir bus</w:t>
            </w:r>
            <w:r>
              <w:t xml:space="preserve"> finansuoja</w:t>
            </w:r>
            <w:r w:rsidR="00AE0C6C">
              <w:t>mos</w:t>
            </w:r>
            <w:r>
              <w:t xml:space="preserve"> iš Tarybai skirtų valstybės biudžeto asignavimų, o </w:t>
            </w:r>
            <w:r w:rsidR="00AE0C6C">
              <w:t xml:space="preserve">šių MTEP darbų </w:t>
            </w:r>
            <w:r>
              <w:t>vykdytoj</w:t>
            </w:r>
            <w:r w:rsidR="00AE0C6C">
              <w:t>ai bus</w:t>
            </w:r>
            <w:r>
              <w:t xml:space="preserve"> nustat</w:t>
            </w:r>
            <w:r w:rsidR="00AE0C6C">
              <w:t>omi</w:t>
            </w:r>
            <w:r>
              <w:t xml:space="preserve"> konkurso būdu. </w:t>
            </w:r>
            <w:proofErr w:type="spellStart"/>
            <w:r>
              <w:t>Reikminių</w:t>
            </w:r>
            <w:proofErr w:type="spellEnd"/>
            <w:r>
              <w:t xml:space="preserve"> projektų trukmė – nuo 2 iki 3 metų.</w:t>
            </w:r>
          </w:p>
          <w:p w:rsidR="00FE76AE" w:rsidRDefault="00FE76AE" w:rsidP="00F463B0">
            <w:pPr>
              <w:jc w:val="both"/>
            </w:pPr>
            <w:r>
              <w:t xml:space="preserve">2. </w:t>
            </w:r>
            <w:r w:rsidR="00AE0C6C">
              <w:t>Minėtos suinteresuotos i</w:t>
            </w:r>
            <w:r>
              <w:t>nstitucijos taip pat gali teik</w:t>
            </w:r>
            <w:r w:rsidR="00335DBA">
              <w:t>ti</w:t>
            </w:r>
            <w:r>
              <w:t xml:space="preserve"> siūlymus dėl rengiamų valstybinių mokslinių tyrimų institutų ilgalaikių institucinių MTEP programų Ilgalaikių institucinių mokslinių tyrimų ir eksperimentinės (socialinės, kultūrinės) plėtros programų inicijavimo, tvirtinimo, vykdymo ir vertinimo tvarkos aprašo, patvirtinto Lietuvos Respublikos švietimo ir mokslo ministro 2011 m. sausio 31 d. įsakymu Nr.</w:t>
            </w:r>
            <w:r w:rsidR="004D3BE8">
              <w:t> </w:t>
            </w:r>
            <w:r>
              <w:t xml:space="preserve">V-153 „Dėl Ilgalaikių institucinių mokslinių tyrimų ir eksperimentinės (socialinės, kultūrinės) plėtros programų inicijavimo, tvirtinimo, vykdymo ir vertinimo tvarkos aprašo patvirtinimo“ (toliau – Programų aprašas), nustatyta tvarka. Suprantama, kad šiuo atveju negalima radikaliai pakeisti </w:t>
            </w:r>
            <w:r w:rsidR="00AE0C6C">
              <w:lastRenderedPageBreak/>
              <w:t xml:space="preserve">valstybinių mokslinių tyrimų </w:t>
            </w:r>
            <w:r>
              <w:t xml:space="preserve">institutų vykdomų MTEP darbų temų, nes tam reikėtų nemažai papildomų lėšų, bet </w:t>
            </w:r>
            <w:r w:rsidR="00335DBA">
              <w:t>suinteresuotos i</w:t>
            </w:r>
            <w:r>
              <w:t xml:space="preserve">nstitucijos gali kreipti institutų vykdomus MTEP darbus joms reikalinga linkme. Todėl, kai </w:t>
            </w:r>
            <w:r w:rsidR="00335DBA">
              <w:t xml:space="preserve">nustatoma </w:t>
            </w:r>
            <w:r>
              <w:t xml:space="preserve">valstybei ar visuomenei ypač aktuali ūkio, socialinė ar kultūros problema, bet šalyje nėra instituto, kurio mokslinės veiklos kryptys apimtų </w:t>
            </w:r>
            <w:r w:rsidR="00335DBA">
              <w:t xml:space="preserve">nustatytą </w:t>
            </w:r>
            <w:r>
              <w:t>problem</w:t>
            </w:r>
            <w:r w:rsidR="00B964DE">
              <w:t>ą.</w:t>
            </w:r>
            <w:r>
              <w:t xml:space="preserve"> Švietimo, mokslo ir sporto ministerija Programų aprašo nustatyta tvarka gali inicijuoti ilgalaikę institucinę MTEP programą, kurią vykdo konkurso būdu nustatyta</w:t>
            </w:r>
            <w:r w:rsidR="004D3BE8">
              <w:t xml:space="preserve"> (-</w:t>
            </w:r>
            <w:proofErr w:type="spellStart"/>
            <w:r w:rsidR="004D3BE8">
              <w:t>os</w:t>
            </w:r>
            <w:proofErr w:type="spellEnd"/>
            <w:r w:rsidR="004D3BE8">
              <w:t>)</w:t>
            </w:r>
            <w:r>
              <w:t xml:space="preserve"> valstybinė </w:t>
            </w:r>
            <w:r w:rsidR="004D3BE8">
              <w:t xml:space="preserve">(-ės) </w:t>
            </w:r>
            <w:r>
              <w:t>mokslo ir studijų institucija (</w:t>
            </w:r>
            <w:r w:rsidR="00335DBA">
              <w:t>-</w:t>
            </w:r>
            <w:proofErr w:type="spellStart"/>
            <w:r>
              <w:t>os</w:t>
            </w:r>
            <w:proofErr w:type="spellEnd"/>
            <w:r>
              <w:t>). Šių programų trukmė – nuo 3 iki 5 metų.</w:t>
            </w:r>
          </w:p>
          <w:p w:rsidR="001F3E5F" w:rsidRPr="00616493" w:rsidRDefault="00FE76AE" w:rsidP="00472FB0">
            <w:pPr>
              <w:jc w:val="both"/>
            </w:pPr>
            <w:r>
              <w:t xml:space="preserve">3. Matydamos poreikį vykdyti ilgalaikius MTEP darbus mokslo ir studijų bei viešojo administravimo institucijos gali teikti pasiūlymus </w:t>
            </w:r>
            <w:r w:rsidR="00335DBA">
              <w:t xml:space="preserve">pagal </w:t>
            </w:r>
            <w:r>
              <w:t>konkursin</w:t>
            </w:r>
            <w:r w:rsidR="00335DBA">
              <w:t>ę</w:t>
            </w:r>
            <w:r>
              <w:t xml:space="preserve"> prioritetinių mokslinių tyrimų program</w:t>
            </w:r>
            <w:r w:rsidR="00335DBA">
              <w:t>ą</w:t>
            </w:r>
            <w:r>
              <w:t>, kuri</w:t>
            </w:r>
            <w:r w:rsidR="00335DBA">
              <w:t>ą įgyvendinant</w:t>
            </w:r>
            <w:r>
              <w:t xml:space="preserve">, sutelkus turimą intelektinį šalies potencialą, sprendžiama valstybei ir visuomenei strategiškai svarbi problema, </w:t>
            </w:r>
            <w:r w:rsidR="00472FB0">
              <w:t xml:space="preserve">kuri </w:t>
            </w:r>
            <w:r>
              <w:t>dar</w:t>
            </w:r>
            <w:r w:rsidR="00472FB0">
              <w:t>o</w:t>
            </w:r>
            <w:r>
              <w:t xml:space="preserve"> poveikį šalies ir mokslo raidai ir kurios tikslas yra naujos mokslo žinios ir intelektiniai produktai, nauja mokslinių tyrimų infrastruktūra, tyrėjų kompetencijos didinimas. Kvietimą teikti pasiūlymus dėl tokių rengtinų programų Taryba skelbia esant Tarybos finansinėms galimybėms pradėti įgyvendinti naują programą. Teikiamame pasiūlyme turi būti suformuluota valstybei ir visuomenei strategiškai svarbi, skirtingas valstybės valdymo sritis</w:t>
            </w:r>
            <w:r w:rsidR="00472FB0">
              <w:t xml:space="preserve"> jungianti problema</w:t>
            </w:r>
            <w:r>
              <w:t xml:space="preserve">, kuriai spręsti reikia atlikti siūlomos rengti programos tematikos mokslinius tyrimus, </w:t>
            </w:r>
            <w:r w:rsidR="00472FB0">
              <w:t xml:space="preserve">atsižvelgiant </w:t>
            </w:r>
            <w:r>
              <w:t>į valstybės ilgos ir vidutinės trukmės strateginio planavimo dokumentų tikslus ir uždavinius. Ši</w:t>
            </w:r>
            <w:r w:rsidR="00472FB0">
              <w:t>ų</w:t>
            </w:r>
            <w:r>
              <w:t xml:space="preserve"> programų trukmė </w:t>
            </w:r>
            <w:r w:rsidR="00472FB0">
              <w:t xml:space="preserve">– </w:t>
            </w:r>
            <w:r>
              <w:t>nuo 3 iki 6 metų.</w:t>
            </w:r>
          </w:p>
        </w:tc>
      </w:tr>
      <w:tr w:rsidR="001F3E5F" w:rsidRPr="00616493" w:rsidTr="00F463B0">
        <w:trPr>
          <w:trHeight w:val="420"/>
        </w:trPr>
        <w:tc>
          <w:tcPr>
            <w:tcW w:w="14219" w:type="dxa"/>
            <w:gridSpan w:val="4"/>
          </w:tcPr>
          <w:p w:rsidR="001F3E5F" w:rsidRPr="001F3E5F" w:rsidRDefault="001F3E5F" w:rsidP="00A110A1">
            <w:pPr>
              <w:jc w:val="center"/>
              <w:rPr>
                <w:b/>
              </w:rPr>
            </w:pPr>
            <w:r w:rsidRPr="001F3E5F">
              <w:rPr>
                <w:b/>
              </w:rPr>
              <w:lastRenderedPageBreak/>
              <w:t xml:space="preserve">6 užduotis. Skatinti Lietuvoje įsikūrusių </w:t>
            </w:r>
            <w:r w:rsidR="00F463B0">
              <w:rPr>
                <w:b/>
              </w:rPr>
              <w:t>FINTECH</w:t>
            </w:r>
            <w:r w:rsidRPr="001F3E5F">
              <w:rPr>
                <w:b/>
              </w:rPr>
              <w:t xml:space="preserve"> sektoriaus įmonių paslaugų ir produktų eksportą į užsienio rinkas</w:t>
            </w:r>
          </w:p>
        </w:tc>
      </w:tr>
      <w:tr w:rsidR="001F3E5F" w:rsidRPr="00616493" w:rsidTr="001F3E5F">
        <w:trPr>
          <w:trHeight w:val="4725"/>
        </w:trPr>
        <w:tc>
          <w:tcPr>
            <w:tcW w:w="3652" w:type="dxa"/>
            <w:hideMark/>
          </w:tcPr>
          <w:p w:rsidR="001F3E5F" w:rsidRPr="00616493" w:rsidRDefault="001F3E5F" w:rsidP="00F463B0">
            <w:pPr>
              <w:jc w:val="both"/>
            </w:pPr>
            <w:r w:rsidRPr="00616493">
              <w:t xml:space="preserve">6.1. Nustatyti eksportu ar plėtra į užsienio rinkas suinteresuotų </w:t>
            </w:r>
            <w:r w:rsidR="00F463B0">
              <w:t>FINTECH</w:t>
            </w:r>
            <w:r w:rsidRPr="00616493">
              <w:t xml:space="preserve"> įmonių interesų kategorijas ir reikalingos pagalbos priemones.</w:t>
            </w:r>
          </w:p>
        </w:tc>
        <w:tc>
          <w:tcPr>
            <w:tcW w:w="2410" w:type="dxa"/>
            <w:hideMark/>
          </w:tcPr>
          <w:p w:rsidR="001F3E5F" w:rsidRPr="00616493" w:rsidRDefault="001F3E5F" w:rsidP="009965A0">
            <w:pPr>
              <w:jc w:val="both"/>
            </w:pPr>
            <w:proofErr w:type="spellStart"/>
            <w:r w:rsidRPr="00616493">
              <w:t>VšĮ</w:t>
            </w:r>
            <w:proofErr w:type="spellEnd"/>
            <w:r w:rsidRPr="00616493">
              <w:t xml:space="preserve"> „Versli Lietuva“, </w:t>
            </w:r>
            <w:r w:rsidR="009965A0">
              <w:t xml:space="preserve">Ekonomikos ir inovacijų </w:t>
            </w:r>
            <w:r w:rsidRPr="00616493">
              <w:t>ministerija, Užsienio reikalų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Pr="00780B24" w:rsidRDefault="00F463B0" w:rsidP="00F463B0">
            <w:pPr>
              <w:jc w:val="both"/>
              <w:rPr>
                <w:b/>
              </w:rPr>
            </w:pPr>
            <w:r w:rsidRPr="00780B24">
              <w:rPr>
                <w:b/>
              </w:rPr>
              <w:t>Įgyvendinta.</w:t>
            </w:r>
          </w:p>
          <w:p w:rsidR="00FE76AE" w:rsidRPr="00FE76AE" w:rsidRDefault="00FE76AE" w:rsidP="00F463B0">
            <w:pPr>
              <w:jc w:val="both"/>
            </w:pPr>
            <w:r w:rsidRPr="00FE76AE">
              <w:t xml:space="preserve">2019 m. vasario mėnesį </w:t>
            </w:r>
            <w:r w:rsidR="00472FB0">
              <w:t xml:space="preserve">FINTECH centro </w:t>
            </w:r>
            <w:r w:rsidR="00472FB0">
              <w:rPr>
                <w:rFonts w:cs="Times New Roman"/>
              </w:rPr>
              <w:t>„</w:t>
            </w:r>
            <w:proofErr w:type="spellStart"/>
            <w:r w:rsidRPr="00FE76AE">
              <w:t>Rise</w:t>
            </w:r>
            <w:proofErr w:type="spellEnd"/>
            <w:r w:rsidRPr="00FE76AE">
              <w:t xml:space="preserve"> Vilnius</w:t>
            </w:r>
            <w:r w:rsidR="00472FB0">
              <w:rPr>
                <w:rFonts w:cs="Times New Roman"/>
              </w:rPr>
              <w:t>“</w:t>
            </w:r>
            <w:r w:rsidRPr="00FE76AE">
              <w:t xml:space="preserve"> ir </w:t>
            </w:r>
            <w:proofErr w:type="spellStart"/>
            <w:r w:rsidRPr="00FE76AE">
              <w:t>VšĮ</w:t>
            </w:r>
            <w:proofErr w:type="spellEnd"/>
            <w:r w:rsidRPr="00FE76AE">
              <w:t xml:space="preserve"> „Investuok Lietuvoje“ rengt</w:t>
            </w:r>
            <w:r w:rsidR="00472FB0">
              <w:t>os</w:t>
            </w:r>
            <w:r w:rsidRPr="00FE76AE">
              <w:t xml:space="preserve"> Lietuvos finansinių technologijų (</w:t>
            </w:r>
            <w:r w:rsidR="00F463B0">
              <w:t>FINTECH</w:t>
            </w:r>
            <w:r w:rsidRPr="00FE76AE">
              <w:t>) sektoriaus apžvalg</w:t>
            </w:r>
            <w:r w:rsidR="00472FB0">
              <w:t>os duomenimis</w:t>
            </w:r>
            <w:r w:rsidRPr="00FE76AE">
              <w:t xml:space="preserve">, Lietuvoje veikė 170 </w:t>
            </w:r>
            <w:r w:rsidR="00F463B0">
              <w:t>FINTECH</w:t>
            </w:r>
            <w:r w:rsidRPr="00FE76AE">
              <w:t xml:space="preserve"> įmonių, </w:t>
            </w:r>
            <w:r w:rsidR="00780B24">
              <w:t xml:space="preserve">kurios skirstomos į </w:t>
            </w:r>
            <w:r w:rsidR="004D3BE8">
              <w:t>8</w:t>
            </w:r>
            <w:r w:rsidR="004D3BE8" w:rsidRPr="00FE76AE">
              <w:t xml:space="preserve"> </w:t>
            </w:r>
            <w:proofErr w:type="spellStart"/>
            <w:r w:rsidRPr="00FE76AE">
              <w:t>subsektorius</w:t>
            </w:r>
            <w:proofErr w:type="spellEnd"/>
            <w:r w:rsidRPr="00FE76AE">
              <w:t>:</w:t>
            </w:r>
          </w:p>
          <w:p w:rsidR="00FE76AE" w:rsidRPr="00FE76AE" w:rsidRDefault="00780B24" w:rsidP="00F463B0">
            <w:pPr>
              <w:jc w:val="both"/>
            </w:pPr>
            <w:r>
              <w:t xml:space="preserve">- </w:t>
            </w:r>
            <w:r w:rsidR="00472FB0">
              <w:t>b</w:t>
            </w:r>
            <w:r>
              <w:t>lokų grandinė</w:t>
            </w:r>
            <w:r w:rsidR="00472FB0">
              <w:t>s</w:t>
            </w:r>
            <w:r w:rsidR="00FE76AE" w:rsidRPr="00FE76AE">
              <w:t>;</w:t>
            </w:r>
          </w:p>
          <w:p w:rsidR="00FE76AE" w:rsidRPr="00FE76AE" w:rsidRDefault="00FE76AE" w:rsidP="00F463B0">
            <w:pPr>
              <w:jc w:val="both"/>
            </w:pPr>
            <w:r w:rsidRPr="00FE76AE">
              <w:t xml:space="preserve">- </w:t>
            </w:r>
            <w:r w:rsidR="00472FB0">
              <w:t>s</w:t>
            </w:r>
            <w:r w:rsidRPr="00FE76AE">
              <w:t>kolinim</w:t>
            </w:r>
            <w:r w:rsidR="00472FB0">
              <w:t>o</w:t>
            </w:r>
            <w:r w:rsidRPr="00FE76AE">
              <w:t>;</w:t>
            </w:r>
          </w:p>
          <w:p w:rsidR="00FE76AE" w:rsidRPr="00FE76AE" w:rsidRDefault="00FE76AE" w:rsidP="00F463B0">
            <w:pPr>
              <w:jc w:val="both"/>
            </w:pPr>
            <w:r w:rsidRPr="00FE76AE">
              <w:t xml:space="preserve">- </w:t>
            </w:r>
            <w:r w:rsidR="00472FB0">
              <w:t>b</w:t>
            </w:r>
            <w:r w:rsidRPr="00FE76AE">
              <w:t>ankininkystė</w:t>
            </w:r>
            <w:r w:rsidR="00472FB0">
              <w:t>s</w:t>
            </w:r>
            <w:r w:rsidRPr="00FE76AE">
              <w:t>;</w:t>
            </w:r>
          </w:p>
          <w:p w:rsidR="00FE76AE" w:rsidRPr="00FE76AE" w:rsidRDefault="00FE76AE" w:rsidP="00F463B0">
            <w:pPr>
              <w:jc w:val="both"/>
            </w:pPr>
            <w:r w:rsidRPr="00FE76AE">
              <w:t xml:space="preserve">- </w:t>
            </w:r>
            <w:r w:rsidR="00472FB0">
              <w:t>i</w:t>
            </w:r>
            <w:r w:rsidRPr="00FE76AE">
              <w:t>nvesticij</w:t>
            </w:r>
            <w:r w:rsidR="00472FB0">
              <w:t>ų</w:t>
            </w:r>
            <w:r w:rsidRPr="00FE76AE">
              <w:t>;</w:t>
            </w:r>
          </w:p>
          <w:p w:rsidR="00FE76AE" w:rsidRPr="00FE76AE" w:rsidRDefault="00FE76AE" w:rsidP="00F463B0">
            <w:pPr>
              <w:jc w:val="both"/>
            </w:pPr>
            <w:r w:rsidRPr="00FE76AE">
              <w:t xml:space="preserve">- </w:t>
            </w:r>
            <w:r w:rsidR="00472FB0">
              <w:t>m</w:t>
            </w:r>
            <w:r w:rsidRPr="00FE76AE">
              <w:t>okėjim</w:t>
            </w:r>
            <w:r w:rsidR="00472FB0">
              <w:t>ų</w:t>
            </w:r>
            <w:r w:rsidRPr="00FE76AE">
              <w:t>;</w:t>
            </w:r>
          </w:p>
          <w:p w:rsidR="00FE76AE" w:rsidRPr="00FE76AE" w:rsidRDefault="00FE76AE" w:rsidP="00F463B0">
            <w:pPr>
              <w:jc w:val="both"/>
            </w:pPr>
            <w:r w:rsidRPr="00FE76AE">
              <w:t xml:space="preserve">- </w:t>
            </w:r>
            <w:r w:rsidR="00472FB0">
              <w:t>s</w:t>
            </w:r>
            <w:r w:rsidRPr="00FE76AE">
              <w:t>augum</w:t>
            </w:r>
            <w:r w:rsidR="00472FB0">
              <w:t>o</w:t>
            </w:r>
            <w:r w:rsidRPr="00FE76AE">
              <w:t>;</w:t>
            </w:r>
          </w:p>
          <w:p w:rsidR="00FE76AE" w:rsidRPr="00FE76AE" w:rsidRDefault="00780B24" w:rsidP="00F463B0">
            <w:pPr>
              <w:jc w:val="both"/>
            </w:pPr>
            <w:r>
              <w:t xml:space="preserve">- </w:t>
            </w:r>
            <w:r w:rsidR="00472FB0">
              <w:t>d</w:t>
            </w:r>
            <w:r>
              <w:t>raudim</w:t>
            </w:r>
            <w:r w:rsidR="00472FB0">
              <w:t>o</w:t>
            </w:r>
            <w:r w:rsidR="00FE76AE" w:rsidRPr="00FE76AE">
              <w:t>;</w:t>
            </w:r>
          </w:p>
          <w:p w:rsidR="00FE76AE" w:rsidRPr="00FE76AE" w:rsidRDefault="00FE76AE" w:rsidP="00F463B0">
            <w:pPr>
              <w:jc w:val="both"/>
            </w:pPr>
            <w:r w:rsidRPr="00FE76AE">
              <w:t xml:space="preserve">- </w:t>
            </w:r>
            <w:r w:rsidR="00472FB0">
              <w:t>k</w:t>
            </w:r>
            <w:r w:rsidRPr="00FE76AE">
              <w:t>it</w:t>
            </w:r>
            <w:r w:rsidR="00472FB0">
              <w:t>os veiklos</w:t>
            </w:r>
            <w:r w:rsidRPr="00FE76AE">
              <w:t xml:space="preserve"> (</w:t>
            </w:r>
            <w:r w:rsidR="00472FB0">
              <w:t xml:space="preserve">įmonės, </w:t>
            </w:r>
            <w:r w:rsidRPr="00FE76AE">
              <w:t>nepriskiriam</w:t>
            </w:r>
            <w:r w:rsidR="00472FB0">
              <w:t>os</w:t>
            </w:r>
            <w:r w:rsidRPr="00FE76AE">
              <w:t xml:space="preserve"> n</w:t>
            </w:r>
            <w:r w:rsidR="00472FB0">
              <w:t>ė</w:t>
            </w:r>
            <w:r w:rsidRPr="00FE76AE">
              <w:t xml:space="preserve"> vienam</w:t>
            </w:r>
            <w:r w:rsidR="00472FB0">
              <w:t xml:space="preserve"> </w:t>
            </w:r>
            <w:proofErr w:type="spellStart"/>
            <w:r w:rsidR="00472FB0">
              <w:t>subsektoriui</w:t>
            </w:r>
            <w:proofErr w:type="spellEnd"/>
            <w:r w:rsidR="00472FB0">
              <w:t xml:space="preserve"> arba</w:t>
            </w:r>
            <w:r w:rsidRPr="00FE76AE">
              <w:t xml:space="preserve"> priskirtin</w:t>
            </w:r>
            <w:r w:rsidR="00472FB0">
              <w:t>os</w:t>
            </w:r>
            <w:r w:rsidRPr="00FE76AE">
              <w:t xml:space="preserve"> daugiau nei vienam iš išvard</w:t>
            </w:r>
            <w:r w:rsidR="00472FB0">
              <w:t>y</w:t>
            </w:r>
            <w:r w:rsidRPr="00FE76AE">
              <w:t xml:space="preserve">tų </w:t>
            </w:r>
            <w:proofErr w:type="spellStart"/>
            <w:r w:rsidRPr="00FE76AE">
              <w:t>subsektorių</w:t>
            </w:r>
            <w:proofErr w:type="spellEnd"/>
            <w:r w:rsidR="00780B24">
              <w:t>)</w:t>
            </w:r>
            <w:r w:rsidRPr="00FE76AE">
              <w:t>.</w:t>
            </w:r>
          </w:p>
          <w:p w:rsidR="00FE76AE" w:rsidRPr="00FE76AE" w:rsidRDefault="00FE76AE" w:rsidP="00F463B0">
            <w:pPr>
              <w:jc w:val="both"/>
            </w:pPr>
            <w:r w:rsidRPr="00FE76AE">
              <w:t xml:space="preserve">Remiantis </w:t>
            </w:r>
            <w:r w:rsidR="00AD0CB4">
              <w:t xml:space="preserve">FINTECH centro </w:t>
            </w:r>
            <w:r w:rsidR="00AD0CB4">
              <w:rPr>
                <w:rFonts w:cs="Times New Roman"/>
              </w:rPr>
              <w:t>„</w:t>
            </w:r>
            <w:proofErr w:type="spellStart"/>
            <w:r w:rsidRPr="00FE76AE">
              <w:t>Rise</w:t>
            </w:r>
            <w:proofErr w:type="spellEnd"/>
            <w:r w:rsidRPr="00FE76AE">
              <w:t xml:space="preserve"> Vilnius</w:t>
            </w:r>
            <w:r w:rsidR="00AD0CB4">
              <w:rPr>
                <w:rFonts w:cs="Times New Roman"/>
              </w:rPr>
              <w:t>“</w:t>
            </w:r>
            <w:r w:rsidRPr="00FE76AE">
              <w:t xml:space="preserve"> parengtu Lietuvos </w:t>
            </w:r>
            <w:r w:rsidR="00F463B0">
              <w:t>FINTECH</w:t>
            </w:r>
            <w:r w:rsidRPr="00FE76AE">
              <w:t xml:space="preserve"> žemėlapiu, daugiausia Lietuvoje veikia mokėjim</w:t>
            </w:r>
            <w:r w:rsidR="00AD0CB4">
              <w:t>ų</w:t>
            </w:r>
            <w:r w:rsidRPr="00FE76AE">
              <w:t xml:space="preserve"> ir skolinimosi veiklą vystanči</w:t>
            </w:r>
            <w:r w:rsidR="004D3BE8">
              <w:t>ų</w:t>
            </w:r>
            <w:r w:rsidRPr="00FE76AE">
              <w:t xml:space="preserve"> įmon</w:t>
            </w:r>
            <w:r w:rsidR="004D3BE8">
              <w:t>ių</w:t>
            </w:r>
            <w:r w:rsidRPr="00FE76AE">
              <w:t xml:space="preserve">. </w:t>
            </w:r>
          </w:p>
          <w:p w:rsidR="00FE76AE" w:rsidRPr="00FE76AE" w:rsidRDefault="00FE76AE" w:rsidP="00F463B0">
            <w:pPr>
              <w:jc w:val="both"/>
            </w:pPr>
            <w:r w:rsidRPr="00FE76AE">
              <w:t xml:space="preserve">Lietuvos </w:t>
            </w:r>
            <w:r w:rsidR="00F463B0">
              <w:t>FINTECH</w:t>
            </w:r>
            <w:r w:rsidRPr="00FE76AE">
              <w:t xml:space="preserve"> įmonės kaip populiariausias ir reikalingiausias pagalbos priemones įvardijo</w:t>
            </w:r>
            <w:r w:rsidR="00DD5B70">
              <w:t>:</w:t>
            </w:r>
          </w:p>
          <w:p w:rsidR="00FE76AE" w:rsidRPr="00FE76AE" w:rsidRDefault="00FE76AE" w:rsidP="00F463B0">
            <w:pPr>
              <w:jc w:val="both"/>
            </w:pPr>
            <w:r w:rsidRPr="00FE76AE">
              <w:t xml:space="preserve">- tarptautinius (dvišalius) susitarimus dėl finansų sektoriaus (kurie tiesiogiai prisideda prie </w:t>
            </w:r>
            <w:r w:rsidR="00F463B0">
              <w:t>FINTECH</w:t>
            </w:r>
            <w:r w:rsidRPr="00FE76AE">
              <w:t xml:space="preserve"> įmonių veiklos);</w:t>
            </w:r>
          </w:p>
          <w:p w:rsidR="00FE76AE" w:rsidRPr="00FE76AE" w:rsidRDefault="00FE76AE" w:rsidP="00F463B0">
            <w:pPr>
              <w:jc w:val="both"/>
            </w:pPr>
            <w:r w:rsidRPr="00FE76AE">
              <w:t>-</w:t>
            </w:r>
            <w:r w:rsidR="00AD0CB4">
              <w:t xml:space="preserve"> </w:t>
            </w:r>
            <w:r w:rsidR="00DD5B70" w:rsidRPr="00FE76AE">
              <w:t>susitarim</w:t>
            </w:r>
            <w:r w:rsidR="00DD5B70">
              <w:t>us</w:t>
            </w:r>
            <w:r w:rsidR="00DD5B70" w:rsidRPr="00FE76AE">
              <w:t xml:space="preserve"> </w:t>
            </w:r>
            <w:r w:rsidRPr="00FE76AE">
              <w:t>su užsienio šalimis dėl vieno langelio principo (</w:t>
            </w:r>
            <w:r w:rsidR="00AD0CB4">
              <w:t xml:space="preserve">angl. </w:t>
            </w:r>
            <w:proofErr w:type="spellStart"/>
            <w:r w:rsidRPr="00B964DE">
              <w:rPr>
                <w:i/>
              </w:rPr>
              <w:t>single</w:t>
            </w:r>
            <w:proofErr w:type="spellEnd"/>
            <w:r w:rsidRPr="00B964DE">
              <w:rPr>
                <w:i/>
              </w:rPr>
              <w:t xml:space="preserve"> </w:t>
            </w:r>
            <w:proofErr w:type="spellStart"/>
            <w:r w:rsidRPr="00B964DE">
              <w:rPr>
                <w:i/>
              </w:rPr>
              <w:t>point</w:t>
            </w:r>
            <w:proofErr w:type="spellEnd"/>
            <w:r w:rsidRPr="00B964DE">
              <w:rPr>
                <w:i/>
              </w:rPr>
              <w:t xml:space="preserve"> </w:t>
            </w:r>
            <w:proofErr w:type="spellStart"/>
            <w:r w:rsidRPr="00B964DE">
              <w:rPr>
                <w:i/>
              </w:rPr>
              <w:t>of</w:t>
            </w:r>
            <w:proofErr w:type="spellEnd"/>
            <w:r w:rsidRPr="00B964DE">
              <w:rPr>
                <w:i/>
              </w:rPr>
              <w:t xml:space="preserve"> </w:t>
            </w:r>
            <w:proofErr w:type="spellStart"/>
            <w:r w:rsidRPr="00B964DE">
              <w:rPr>
                <w:i/>
              </w:rPr>
              <w:t>contact</w:t>
            </w:r>
            <w:proofErr w:type="spellEnd"/>
            <w:r w:rsidRPr="00FE76AE">
              <w:t>) rinkose, kur</w:t>
            </w:r>
            <w:r w:rsidR="00DD5B70">
              <w:t>iose</w:t>
            </w:r>
            <w:r w:rsidRPr="00FE76AE">
              <w:t xml:space="preserve"> Lietuvos įmonės ketina plėsti savo paslaugas;</w:t>
            </w:r>
          </w:p>
          <w:p w:rsidR="00FE76AE" w:rsidRPr="00FE76AE" w:rsidRDefault="00FE76AE" w:rsidP="00587653">
            <w:pPr>
              <w:jc w:val="both"/>
              <w:rPr>
                <w:b/>
              </w:rPr>
            </w:pPr>
            <w:r w:rsidRPr="00FE76AE">
              <w:t xml:space="preserve">- Lietuvos </w:t>
            </w:r>
            <w:r w:rsidR="00F463B0">
              <w:t>FINTECH</w:t>
            </w:r>
            <w:r w:rsidRPr="00FE76AE">
              <w:t xml:space="preserve"> ekosistemos ir įmonių pristatym</w:t>
            </w:r>
            <w:r w:rsidR="00587653">
              <w:t>ą</w:t>
            </w:r>
            <w:r w:rsidRPr="00FE76AE">
              <w:t xml:space="preserve"> tarptautiniuose renginiuose (tikslinėse rinkose).</w:t>
            </w:r>
          </w:p>
        </w:tc>
      </w:tr>
      <w:tr w:rsidR="001F3E5F" w:rsidRPr="00616493" w:rsidTr="001F3E5F">
        <w:trPr>
          <w:trHeight w:val="4080"/>
        </w:trPr>
        <w:tc>
          <w:tcPr>
            <w:tcW w:w="3652" w:type="dxa"/>
            <w:hideMark/>
          </w:tcPr>
          <w:p w:rsidR="001F3E5F" w:rsidRPr="00616493" w:rsidRDefault="001F3E5F" w:rsidP="00F463B0">
            <w:pPr>
              <w:jc w:val="both"/>
            </w:pPr>
            <w:r w:rsidRPr="00616493">
              <w:lastRenderedPageBreak/>
              <w:t xml:space="preserve">6.2. Parengti eksporto rinkų ir potencialių 2019 ir 2020 metų renginių, kurie svarbūs </w:t>
            </w:r>
            <w:r w:rsidR="00F463B0">
              <w:t>FINTECH</w:t>
            </w:r>
            <w:r w:rsidRPr="00616493">
              <w:t xml:space="preserve"> įmonėms, sąrašus.</w:t>
            </w:r>
          </w:p>
        </w:tc>
        <w:tc>
          <w:tcPr>
            <w:tcW w:w="2410" w:type="dxa"/>
            <w:hideMark/>
          </w:tcPr>
          <w:p w:rsidR="001F3E5F" w:rsidRPr="00616493" w:rsidRDefault="001F3E5F" w:rsidP="009965A0">
            <w:pPr>
              <w:jc w:val="both"/>
            </w:pPr>
            <w:proofErr w:type="spellStart"/>
            <w:r w:rsidRPr="00616493">
              <w:t>VšĮ</w:t>
            </w:r>
            <w:proofErr w:type="spellEnd"/>
            <w:r w:rsidRPr="00616493">
              <w:t xml:space="preserve"> „Versli Lietuva“, </w:t>
            </w:r>
            <w:r w:rsidR="009965A0">
              <w:t xml:space="preserve">Ekonomikos ir inovacijų </w:t>
            </w:r>
            <w:r w:rsidRPr="00616493">
              <w:t>ministerija, Užsienio reikalų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rPr>
                <w:b/>
              </w:rPr>
            </w:pPr>
            <w:r w:rsidRPr="00FE76AE">
              <w:rPr>
                <w:b/>
              </w:rPr>
              <w:t>Įgyvendinta</w:t>
            </w:r>
            <w:r w:rsidR="00FE76AE" w:rsidRPr="00FE76AE">
              <w:rPr>
                <w:b/>
              </w:rPr>
              <w:t>.</w:t>
            </w:r>
          </w:p>
          <w:p w:rsidR="00FE76AE" w:rsidRPr="00FE76AE" w:rsidRDefault="00FE76AE" w:rsidP="00F463B0">
            <w:pPr>
              <w:jc w:val="both"/>
            </w:pPr>
            <w:r w:rsidRPr="00FE76AE">
              <w:t xml:space="preserve">Apklausus Lietuvos </w:t>
            </w:r>
            <w:r w:rsidR="00F463B0">
              <w:t>FINTECH</w:t>
            </w:r>
            <w:r w:rsidRPr="00FE76AE">
              <w:t xml:space="preserve"> sektoriaus įmones paaiškėjo, </w:t>
            </w:r>
            <w:r w:rsidR="00587653">
              <w:t xml:space="preserve">kad </w:t>
            </w:r>
            <w:r w:rsidRPr="00FE76AE">
              <w:t>didžioji dalis (92</w:t>
            </w:r>
            <w:r w:rsidR="00587653">
              <w:t xml:space="preserve"> proc.</w:t>
            </w:r>
            <w:r w:rsidRPr="00FE76AE">
              <w:t>) savo paslaugas teikia Lietuvoje ir</w:t>
            </w:r>
            <w:r w:rsidR="00587653">
              <w:t xml:space="preserve"> (</w:t>
            </w:r>
            <w:r w:rsidRPr="00FE76AE">
              <w:t>ar</w:t>
            </w:r>
            <w:r w:rsidR="00587653">
              <w:t>)</w:t>
            </w:r>
            <w:r w:rsidRPr="00FE76AE">
              <w:t xml:space="preserve"> kitose Europos Sąjungos</w:t>
            </w:r>
            <w:r w:rsidR="00587653">
              <w:t xml:space="preserve"> valstybėse</w:t>
            </w:r>
            <w:r w:rsidRPr="00FE76AE">
              <w:t>. 36</w:t>
            </w:r>
            <w:r w:rsidR="00587653">
              <w:t xml:space="preserve"> proc.</w:t>
            </w:r>
            <w:r w:rsidRPr="00FE76AE">
              <w:t xml:space="preserve"> apklaustųjų paslaugas pritaiko Azijos rinkoje (daugiausia – Kinijoje), dar 24</w:t>
            </w:r>
            <w:r w:rsidR="00587653">
              <w:t xml:space="preserve"> proc.</w:t>
            </w:r>
            <w:r w:rsidRPr="00FE76AE">
              <w:t xml:space="preserve"> apklausos dalyvių siūlo paslaugas Šiaurės Amerikos klientams (</w:t>
            </w:r>
            <w:r w:rsidR="00587653">
              <w:t>JAV</w:t>
            </w:r>
            <w:r w:rsidRPr="00FE76AE">
              <w:t>).</w:t>
            </w:r>
          </w:p>
          <w:p w:rsidR="00FE76AE" w:rsidRPr="00FE76AE" w:rsidRDefault="00FE76AE" w:rsidP="00F463B0">
            <w:pPr>
              <w:jc w:val="both"/>
            </w:pPr>
            <w:r w:rsidRPr="00FE76AE">
              <w:t>Paprašytos įvard</w:t>
            </w:r>
            <w:r w:rsidR="00587653">
              <w:t>y</w:t>
            </w:r>
            <w:r w:rsidRPr="00FE76AE">
              <w:t xml:space="preserve">ti tikslines plėtros rinkas, </w:t>
            </w:r>
            <w:r w:rsidR="00587653">
              <w:t xml:space="preserve">dauguma </w:t>
            </w:r>
            <w:r w:rsidRPr="00FE76AE">
              <w:t xml:space="preserve">Lietuvos </w:t>
            </w:r>
            <w:r w:rsidR="00F463B0">
              <w:t>FINTECH</w:t>
            </w:r>
            <w:r w:rsidRPr="00FE76AE">
              <w:t xml:space="preserve"> įmonių paminėjo, </w:t>
            </w:r>
            <w:r w:rsidR="00587653">
              <w:t xml:space="preserve">kad </w:t>
            </w:r>
            <w:r w:rsidRPr="00FE76AE">
              <w:t>ateityje ketina plėsti paslaugų spektrą Vakarų Europoje (Vokietijoje, Didžiojoje Britanijoje, Prancūzijoje) ir kituose pasaulio regionuose (JAV, Kinija, Singapūras, Jungtiniai Arabų Emyratai).</w:t>
            </w:r>
          </w:p>
          <w:p w:rsidR="00FE76AE" w:rsidRPr="00FE76AE" w:rsidRDefault="00FE76AE" w:rsidP="00F463B0">
            <w:pPr>
              <w:jc w:val="both"/>
            </w:pPr>
            <w:r w:rsidRPr="00FE76AE">
              <w:t xml:space="preserve">Tarptautiniai </w:t>
            </w:r>
            <w:r w:rsidR="00F463B0">
              <w:t>FINTECH</w:t>
            </w:r>
            <w:r w:rsidRPr="00FE76AE">
              <w:t xml:space="preserve"> renginiai, kurie padėtų plėsti veiklą į šias šalis:</w:t>
            </w:r>
          </w:p>
          <w:p w:rsidR="00FE76AE" w:rsidRPr="00FE76AE" w:rsidRDefault="00587653" w:rsidP="00F463B0">
            <w:pPr>
              <w:jc w:val="both"/>
            </w:pPr>
            <w:r>
              <w:rPr>
                <w:rFonts w:cs="Times New Roman"/>
              </w:rPr>
              <w:t>„</w:t>
            </w:r>
            <w:r w:rsidR="00FE76AE" w:rsidRPr="00FE76AE">
              <w:t xml:space="preserve">Money2020 </w:t>
            </w:r>
            <w:proofErr w:type="spellStart"/>
            <w:r w:rsidR="00FE76AE" w:rsidRPr="00FE76AE">
              <w:t>Asia</w:t>
            </w:r>
            <w:proofErr w:type="spellEnd"/>
            <w:r>
              <w:rPr>
                <w:rFonts w:cs="Times New Roman"/>
              </w:rPr>
              <w:t>“;</w:t>
            </w:r>
            <w:r w:rsidR="00FE76AE" w:rsidRPr="00FE76AE">
              <w:t xml:space="preserve"> </w:t>
            </w:r>
          </w:p>
          <w:p w:rsidR="00FE76AE" w:rsidRPr="00FE76AE" w:rsidRDefault="00587653" w:rsidP="00F463B0">
            <w:pPr>
              <w:jc w:val="both"/>
            </w:pPr>
            <w:r>
              <w:rPr>
                <w:rFonts w:cs="Times New Roman"/>
              </w:rPr>
              <w:t>„</w:t>
            </w:r>
            <w:r w:rsidR="00FE76AE" w:rsidRPr="00FE76AE">
              <w:t xml:space="preserve">Money2020 </w:t>
            </w:r>
            <w:proofErr w:type="spellStart"/>
            <w:r w:rsidR="00FE76AE" w:rsidRPr="00FE76AE">
              <w:t>Europe</w:t>
            </w:r>
            <w:proofErr w:type="spellEnd"/>
            <w:r>
              <w:rPr>
                <w:rFonts w:cs="Times New Roman"/>
              </w:rPr>
              <w:t>“;</w:t>
            </w:r>
            <w:r w:rsidR="00FE76AE" w:rsidRPr="00FE76AE">
              <w:t xml:space="preserve"> </w:t>
            </w:r>
          </w:p>
          <w:p w:rsidR="00FE76AE" w:rsidRPr="00FE76AE" w:rsidRDefault="00587653" w:rsidP="00F463B0">
            <w:pPr>
              <w:jc w:val="both"/>
            </w:pPr>
            <w:r>
              <w:rPr>
                <w:rFonts w:cs="Times New Roman"/>
              </w:rPr>
              <w:t>„</w:t>
            </w:r>
            <w:r w:rsidR="00FE76AE" w:rsidRPr="00FE76AE">
              <w:t>Money2020 USA</w:t>
            </w:r>
            <w:r>
              <w:rPr>
                <w:rFonts w:cs="Times New Roman"/>
              </w:rPr>
              <w:t>“;</w:t>
            </w:r>
            <w:r w:rsidR="00FE76AE" w:rsidRPr="00FE76AE">
              <w:t xml:space="preserve"> </w:t>
            </w:r>
          </w:p>
          <w:p w:rsidR="00FE76AE" w:rsidRPr="00FE76AE" w:rsidRDefault="00587653" w:rsidP="00F463B0">
            <w:pPr>
              <w:jc w:val="both"/>
            </w:pPr>
            <w:r>
              <w:rPr>
                <w:rFonts w:cs="Times New Roman"/>
              </w:rPr>
              <w:t>„</w:t>
            </w:r>
            <w:r w:rsidR="00FE76AE" w:rsidRPr="00FE76AE">
              <w:t xml:space="preserve">Money2020 </w:t>
            </w:r>
            <w:proofErr w:type="spellStart"/>
            <w:r w:rsidR="00FE76AE" w:rsidRPr="00FE76AE">
              <w:t>China</w:t>
            </w:r>
            <w:proofErr w:type="spellEnd"/>
            <w:r>
              <w:t>“;</w:t>
            </w:r>
            <w:r w:rsidR="00FE76AE" w:rsidRPr="00FE76AE">
              <w:t xml:space="preserve"> </w:t>
            </w:r>
          </w:p>
          <w:p w:rsidR="00FE76AE" w:rsidRPr="00FE76AE" w:rsidRDefault="00587653" w:rsidP="00F463B0">
            <w:pPr>
              <w:jc w:val="both"/>
            </w:pPr>
            <w:r>
              <w:rPr>
                <w:rFonts w:cs="Times New Roman"/>
              </w:rPr>
              <w:t>„</w:t>
            </w:r>
            <w:proofErr w:type="spellStart"/>
            <w:r w:rsidR="00FE76AE" w:rsidRPr="00FE76AE">
              <w:t>Future</w:t>
            </w:r>
            <w:proofErr w:type="spellEnd"/>
            <w:r w:rsidR="00FE76AE" w:rsidRPr="00FE76AE">
              <w:t xml:space="preserve"> </w:t>
            </w:r>
            <w:proofErr w:type="spellStart"/>
            <w:r w:rsidR="00FE76AE" w:rsidRPr="00FE76AE">
              <w:t>of</w:t>
            </w:r>
            <w:proofErr w:type="spellEnd"/>
            <w:r w:rsidR="00FE76AE" w:rsidRPr="00FE76AE">
              <w:t xml:space="preserve"> </w:t>
            </w:r>
            <w:r w:rsidR="00F463B0">
              <w:t>FINTECH</w:t>
            </w:r>
            <w:r>
              <w:t>“;</w:t>
            </w:r>
            <w:r w:rsidR="00FE76AE" w:rsidRPr="00FE76AE">
              <w:t xml:space="preserve"> </w:t>
            </w:r>
          </w:p>
          <w:p w:rsidR="00FE76AE" w:rsidRPr="00FE76AE" w:rsidRDefault="00587653" w:rsidP="00F463B0">
            <w:pPr>
              <w:jc w:val="both"/>
              <w:rPr>
                <w:b/>
              </w:rPr>
            </w:pPr>
            <w:r>
              <w:rPr>
                <w:rFonts w:cs="Times New Roman"/>
              </w:rPr>
              <w:t>„</w:t>
            </w:r>
            <w:proofErr w:type="spellStart"/>
            <w:r w:rsidR="00FE76AE" w:rsidRPr="00FE76AE">
              <w:t>Finovate</w:t>
            </w:r>
            <w:proofErr w:type="spellEnd"/>
            <w:r w:rsidR="00FE76AE" w:rsidRPr="00FE76AE">
              <w:t xml:space="preserve"> </w:t>
            </w:r>
            <w:proofErr w:type="spellStart"/>
            <w:r w:rsidR="00FE76AE" w:rsidRPr="00FE76AE">
              <w:t>Europe</w:t>
            </w:r>
            <w:proofErr w:type="spellEnd"/>
            <w:r>
              <w:t>“.</w:t>
            </w:r>
            <w:r w:rsidR="00FE76AE" w:rsidRPr="00FE76AE">
              <w:rPr>
                <w:b/>
              </w:rPr>
              <w:t xml:space="preserve"> </w:t>
            </w:r>
          </w:p>
        </w:tc>
      </w:tr>
      <w:tr w:rsidR="001F3E5F" w:rsidRPr="00616493" w:rsidTr="00A110A1">
        <w:trPr>
          <w:trHeight w:val="420"/>
        </w:trPr>
        <w:tc>
          <w:tcPr>
            <w:tcW w:w="3652" w:type="dxa"/>
            <w:hideMark/>
          </w:tcPr>
          <w:p w:rsidR="001F3E5F" w:rsidRPr="00616493" w:rsidRDefault="001F3E5F" w:rsidP="00F463B0">
            <w:pPr>
              <w:jc w:val="both"/>
            </w:pPr>
            <w:r w:rsidRPr="00616493">
              <w:t xml:space="preserve">6.3. Su asocijuotais sektoriaus atstovais parengti </w:t>
            </w:r>
            <w:r w:rsidR="00F463B0">
              <w:t>FINTECH</w:t>
            </w:r>
            <w:r w:rsidRPr="00616493">
              <w:t xml:space="preserve"> įmonių dalyvavimo užsienio renginiuose koncepciją. </w:t>
            </w:r>
          </w:p>
        </w:tc>
        <w:tc>
          <w:tcPr>
            <w:tcW w:w="2410" w:type="dxa"/>
            <w:hideMark/>
          </w:tcPr>
          <w:p w:rsidR="001F3E5F" w:rsidRPr="00616493" w:rsidRDefault="001F3E5F" w:rsidP="009965A0">
            <w:pPr>
              <w:jc w:val="both"/>
            </w:pPr>
            <w:proofErr w:type="spellStart"/>
            <w:r w:rsidRPr="00616493">
              <w:t>VšĮ</w:t>
            </w:r>
            <w:proofErr w:type="spellEnd"/>
            <w:r w:rsidRPr="00616493">
              <w:t xml:space="preserve"> „Versli Lietuva“, </w:t>
            </w:r>
            <w:r w:rsidR="009965A0">
              <w:t xml:space="preserve">Ekonomikos ir inovacijų </w:t>
            </w:r>
            <w:r w:rsidRPr="00616493">
              <w:t>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rPr>
                <w:b/>
              </w:rPr>
            </w:pPr>
            <w:r w:rsidRPr="00FE76AE">
              <w:rPr>
                <w:b/>
              </w:rPr>
              <w:t>Įgyvendinta</w:t>
            </w:r>
            <w:r w:rsidR="00FE76AE" w:rsidRPr="00FE76AE">
              <w:rPr>
                <w:b/>
              </w:rPr>
              <w:t>.</w:t>
            </w:r>
          </w:p>
          <w:p w:rsidR="00FE76AE" w:rsidRPr="00FE76AE" w:rsidRDefault="00FE76AE" w:rsidP="00F463B0">
            <w:pPr>
              <w:jc w:val="both"/>
            </w:pPr>
            <w:r w:rsidRPr="00FE76AE">
              <w:t xml:space="preserve">Dalyvavimas renginiuose kartu su Lietuvos </w:t>
            </w:r>
            <w:r w:rsidR="00F463B0">
              <w:t>FINTECH</w:t>
            </w:r>
            <w:r w:rsidRPr="00FE76AE">
              <w:t xml:space="preserve"> įmonėmis ir suinteresuotomis šalies institucijomis galėtų būti dvejopas:</w:t>
            </w:r>
          </w:p>
          <w:p w:rsidR="00FE76AE" w:rsidRPr="00FE76AE" w:rsidRDefault="00FE76AE" w:rsidP="00F463B0">
            <w:pPr>
              <w:jc w:val="both"/>
            </w:pPr>
            <w:r w:rsidRPr="00FE76AE">
              <w:t xml:space="preserve">- </w:t>
            </w:r>
            <w:r w:rsidR="00C60225">
              <w:t>j</w:t>
            </w:r>
            <w:r w:rsidRPr="00FE76AE">
              <w:t xml:space="preserve">ei renginio metu vyksta paroda, </w:t>
            </w:r>
            <w:proofErr w:type="spellStart"/>
            <w:r w:rsidR="00DD5B70">
              <w:t>VšĮ</w:t>
            </w:r>
            <w:proofErr w:type="spellEnd"/>
            <w:r w:rsidR="00DD5B70">
              <w:t xml:space="preserve"> </w:t>
            </w:r>
            <w:r w:rsidRPr="00FE76AE">
              <w:t>„Versli Lietuva“ galėtų fina</w:t>
            </w:r>
            <w:r w:rsidR="00780B24">
              <w:t xml:space="preserve">nsuoti ar </w:t>
            </w:r>
            <w:r w:rsidR="00587653">
              <w:t xml:space="preserve">iš </w:t>
            </w:r>
            <w:r w:rsidR="00780B24">
              <w:t>dali</w:t>
            </w:r>
            <w:r w:rsidR="00587653">
              <w:t>es</w:t>
            </w:r>
            <w:r w:rsidR="00780B24">
              <w:t xml:space="preserve"> finansuoti</w:t>
            </w:r>
            <w:r w:rsidRPr="00FE76AE">
              <w:t xml:space="preserve"> Lietuvos įmonių dalyvavimą nacionaliniame</w:t>
            </w:r>
            <w:r w:rsidR="00780B24">
              <w:t xml:space="preserve"> stende, kuriame būtų pristatomas</w:t>
            </w:r>
            <w:r w:rsidRPr="00FE76AE">
              <w:t xml:space="preserve"> Lietuvos </w:t>
            </w:r>
            <w:r w:rsidR="00F463B0">
              <w:t>FINTECH</w:t>
            </w:r>
            <w:r w:rsidRPr="00FE76AE">
              <w:t xml:space="preserve"> sektoriaus reguliavimas, sektoriaus pasiekimai ir Lietuvos įmonių veikla;</w:t>
            </w:r>
          </w:p>
          <w:p w:rsidR="00FE76AE" w:rsidRPr="00FE76AE" w:rsidRDefault="00FE76AE" w:rsidP="00587653">
            <w:pPr>
              <w:jc w:val="both"/>
              <w:rPr>
                <w:b/>
              </w:rPr>
            </w:pPr>
            <w:r w:rsidRPr="00FE76AE">
              <w:t xml:space="preserve">- </w:t>
            </w:r>
            <w:r w:rsidR="00587653">
              <w:t>j</w:t>
            </w:r>
            <w:r w:rsidRPr="00FE76AE">
              <w:t xml:space="preserve">ei renginio metu paroda nevyksta (tik konferencija), </w:t>
            </w:r>
            <w:proofErr w:type="spellStart"/>
            <w:r w:rsidR="00DD5B70">
              <w:t>VšĮ</w:t>
            </w:r>
            <w:proofErr w:type="spellEnd"/>
            <w:r w:rsidR="00DD5B70">
              <w:t xml:space="preserve"> </w:t>
            </w:r>
            <w:r w:rsidRPr="00FE76AE">
              <w:t>„Versli Lietuva“ galėtų finansuoti (</w:t>
            </w:r>
            <w:r w:rsidR="00587653">
              <w:t xml:space="preserve">iš </w:t>
            </w:r>
            <w:r w:rsidRPr="00FE76AE">
              <w:t>dali</w:t>
            </w:r>
            <w:r w:rsidR="00587653">
              <w:t>es</w:t>
            </w:r>
            <w:r w:rsidRPr="00FE76AE">
              <w:t xml:space="preserve"> finansuoti) renginio bilietus (galimai surengti papildomą uždarą priėmimą </w:t>
            </w:r>
            <w:r w:rsidRPr="00FE76AE">
              <w:lastRenderedPageBreak/>
              <w:t>renginio metu).</w:t>
            </w:r>
          </w:p>
        </w:tc>
      </w:tr>
      <w:tr w:rsidR="001F3E5F" w:rsidRPr="00616493" w:rsidTr="001F3E5F">
        <w:trPr>
          <w:trHeight w:val="2205"/>
        </w:trPr>
        <w:tc>
          <w:tcPr>
            <w:tcW w:w="3652" w:type="dxa"/>
            <w:hideMark/>
          </w:tcPr>
          <w:p w:rsidR="001F3E5F" w:rsidRPr="00616493" w:rsidRDefault="001F3E5F" w:rsidP="00F463B0">
            <w:pPr>
              <w:jc w:val="both"/>
            </w:pPr>
            <w:r w:rsidRPr="00616493">
              <w:lastRenderedPageBreak/>
              <w:t xml:space="preserve">6.4. Parengti 2019 ir 2020 metų renginių užsienyje, kuriuose su bendradarbiaujančiomis institucijomis planuoja dalyvauti </w:t>
            </w:r>
            <w:r w:rsidR="00F463B0">
              <w:t>FINTECH</w:t>
            </w:r>
            <w:r w:rsidRPr="00616493">
              <w:t xml:space="preserve"> įmonės, sąrašą.</w:t>
            </w:r>
          </w:p>
        </w:tc>
        <w:tc>
          <w:tcPr>
            <w:tcW w:w="2410" w:type="dxa"/>
            <w:hideMark/>
          </w:tcPr>
          <w:p w:rsidR="001F3E5F" w:rsidRPr="00616493" w:rsidRDefault="001F3E5F" w:rsidP="00C60225">
            <w:pPr>
              <w:jc w:val="both"/>
            </w:pPr>
            <w:proofErr w:type="spellStart"/>
            <w:r w:rsidRPr="00616493">
              <w:t>VšĮ</w:t>
            </w:r>
            <w:proofErr w:type="spellEnd"/>
            <w:r w:rsidRPr="00616493">
              <w:t xml:space="preserve"> „Versli Lietuva“, Finansų ministerija, Lietuvos bankas, </w:t>
            </w:r>
            <w:proofErr w:type="spellStart"/>
            <w:r w:rsidRPr="00616493">
              <w:t>VšĮ</w:t>
            </w:r>
            <w:proofErr w:type="spellEnd"/>
            <w:r w:rsidRPr="00616493">
              <w:t xml:space="preserve"> „Investuok Lietuvoje“, </w:t>
            </w:r>
            <w:r w:rsidR="00C60225">
              <w:t xml:space="preserve">Ekonomikos ir inovacijų </w:t>
            </w:r>
            <w:r w:rsidRPr="00616493">
              <w:t>ministerija, Užsienio reikalų ministerija</w:t>
            </w:r>
          </w:p>
        </w:tc>
        <w:tc>
          <w:tcPr>
            <w:tcW w:w="1843" w:type="dxa"/>
            <w:hideMark/>
          </w:tcPr>
          <w:p w:rsidR="001F3E5F" w:rsidRPr="00616493" w:rsidRDefault="001F3E5F" w:rsidP="00F463B0">
            <w:pPr>
              <w:jc w:val="both"/>
            </w:pPr>
            <w:r w:rsidRPr="00616493">
              <w:t xml:space="preserve">2019 m. I </w:t>
            </w:r>
            <w:proofErr w:type="spellStart"/>
            <w:r w:rsidRPr="00616493">
              <w:t>ketv</w:t>
            </w:r>
            <w:proofErr w:type="spellEnd"/>
            <w:r w:rsidRPr="00616493">
              <w:t>.</w:t>
            </w:r>
          </w:p>
        </w:tc>
        <w:tc>
          <w:tcPr>
            <w:tcW w:w="6314" w:type="dxa"/>
            <w:hideMark/>
          </w:tcPr>
          <w:p w:rsidR="001F3E5F" w:rsidRDefault="001F3E5F" w:rsidP="00F463B0">
            <w:pPr>
              <w:jc w:val="both"/>
              <w:rPr>
                <w:b/>
              </w:rPr>
            </w:pPr>
            <w:r w:rsidRPr="00FE76AE">
              <w:rPr>
                <w:b/>
              </w:rPr>
              <w:t>Įgyvendinta</w:t>
            </w:r>
            <w:r w:rsidR="00FE76AE" w:rsidRPr="00FE76AE">
              <w:rPr>
                <w:b/>
              </w:rPr>
              <w:t>.</w:t>
            </w:r>
          </w:p>
          <w:p w:rsidR="00FE76AE" w:rsidRPr="00FE76AE" w:rsidRDefault="00FE76AE" w:rsidP="00F463B0">
            <w:pPr>
              <w:jc w:val="both"/>
            </w:pPr>
            <w:r w:rsidRPr="00FE76AE">
              <w:t xml:space="preserve">Parengti 2019 ir 2020 metų renginių užsienyje sąrašai. </w:t>
            </w:r>
          </w:p>
        </w:tc>
      </w:tr>
      <w:tr w:rsidR="001F3E5F" w:rsidRPr="00616493" w:rsidTr="001F3E5F">
        <w:trPr>
          <w:trHeight w:val="1275"/>
        </w:trPr>
        <w:tc>
          <w:tcPr>
            <w:tcW w:w="3652" w:type="dxa"/>
            <w:hideMark/>
          </w:tcPr>
          <w:p w:rsidR="001F3E5F" w:rsidRPr="00616493" w:rsidRDefault="001F3E5F" w:rsidP="00F463B0">
            <w:pPr>
              <w:jc w:val="both"/>
            </w:pPr>
            <w:r w:rsidRPr="00616493">
              <w:t xml:space="preserve">6.5. Išnagrinėti galimybes sukurti finansinės pagalbos priemonę, kuri, taikant tarpininkų paslaugų išlaidų bendrąjį finansavimą, paskatintų Lietuvos </w:t>
            </w:r>
            <w:r w:rsidR="00F463B0">
              <w:t>FINTECH</w:t>
            </w:r>
            <w:r w:rsidRPr="00616493">
              <w:t xml:space="preserve"> įmones vykdyti vertybinių popierių požymių turinčių virtualiosios valiutos siūlymą (STO) ir pirminį viešą akcijų siūlymą (IPO).</w:t>
            </w:r>
          </w:p>
        </w:tc>
        <w:tc>
          <w:tcPr>
            <w:tcW w:w="2410" w:type="dxa"/>
            <w:hideMark/>
          </w:tcPr>
          <w:p w:rsidR="001F3E5F" w:rsidRPr="00616493" w:rsidRDefault="001F3E5F" w:rsidP="00C60225">
            <w:pPr>
              <w:jc w:val="both"/>
            </w:pPr>
            <w:r w:rsidRPr="00616493">
              <w:t xml:space="preserve">Finansų ministerija, </w:t>
            </w:r>
            <w:r w:rsidR="00C60225">
              <w:t xml:space="preserve">Ekonomikos ir inovacijų </w:t>
            </w:r>
            <w:r w:rsidRPr="00616493">
              <w:t>ministerija</w:t>
            </w:r>
          </w:p>
        </w:tc>
        <w:tc>
          <w:tcPr>
            <w:tcW w:w="1843" w:type="dxa"/>
            <w:hideMark/>
          </w:tcPr>
          <w:p w:rsidR="001F3E5F" w:rsidRPr="00616493" w:rsidRDefault="001F3E5F" w:rsidP="00F463B0">
            <w:pPr>
              <w:jc w:val="both"/>
            </w:pPr>
            <w:r w:rsidRPr="00616493">
              <w:t xml:space="preserve">2019 m. III </w:t>
            </w:r>
            <w:proofErr w:type="spellStart"/>
            <w:r w:rsidRPr="00616493">
              <w:t>ketv</w:t>
            </w:r>
            <w:proofErr w:type="spellEnd"/>
            <w:r w:rsidRPr="00616493">
              <w:t>.</w:t>
            </w:r>
          </w:p>
        </w:tc>
        <w:tc>
          <w:tcPr>
            <w:tcW w:w="6314" w:type="dxa"/>
            <w:hideMark/>
          </w:tcPr>
          <w:p w:rsidR="001F3E5F" w:rsidRPr="00E849C0" w:rsidRDefault="001F3E5F" w:rsidP="00F463B0">
            <w:pPr>
              <w:jc w:val="both"/>
              <w:rPr>
                <w:b/>
              </w:rPr>
            </w:pPr>
            <w:r w:rsidRPr="00E849C0">
              <w:rPr>
                <w:b/>
              </w:rPr>
              <w:t>Įgyvendinta</w:t>
            </w:r>
            <w:r w:rsidR="00E849C0">
              <w:rPr>
                <w:b/>
              </w:rPr>
              <w:t>.</w:t>
            </w:r>
          </w:p>
          <w:p w:rsidR="001F3E5F" w:rsidRDefault="00E849C0" w:rsidP="00F463B0">
            <w:pPr>
              <w:jc w:val="both"/>
            </w:pPr>
            <w:r>
              <w:t xml:space="preserve">Lietuvos bankas išleido Vertybinių popierių požymių turinčių žetonų siūlymo (angl. </w:t>
            </w:r>
            <w:proofErr w:type="spellStart"/>
            <w:r w:rsidRPr="00CA67DF">
              <w:rPr>
                <w:i/>
              </w:rPr>
              <w:t>Security</w:t>
            </w:r>
            <w:proofErr w:type="spellEnd"/>
            <w:r w:rsidRPr="00CA67DF">
              <w:rPr>
                <w:i/>
              </w:rPr>
              <w:t xml:space="preserve"> </w:t>
            </w:r>
            <w:proofErr w:type="spellStart"/>
            <w:r w:rsidRPr="00CA67DF">
              <w:rPr>
                <w:i/>
              </w:rPr>
              <w:t>Token</w:t>
            </w:r>
            <w:proofErr w:type="spellEnd"/>
            <w:r w:rsidRPr="00CA67DF">
              <w:rPr>
                <w:i/>
              </w:rPr>
              <w:t xml:space="preserve"> </w:t>
            </w:r>
            <w:proofErr w:type="spellStart"/>
            <w:r w:rsidRPr="00CA67DF">
              <w:rPr>
                <w:i/>
              </w:rPr>
              <w:t>Offering</w:t>
            </w:r>
            <w:proofErr w:type="spellEnd"/>
            <w:r w:rsidRPr="00CA67DF">
              <w:rPr>
                <w:i/>
              </w:rPr>
              <w:t>, STO</w:t>
            </w:r>
            <w:r>
              <w:t>) gaires, kuriomis siek</w:t>
            </w:r>
            <w:r w:rsidR="00780B24">
              <w:t>i</w:t>
            </w:r>
            <w:r>
              <w:t xml:space="preserve">ama daugiau </w:t>
            </w:r>
            <w:r w:rsidR="00587653">
              <w:t xml:space="preserve">teisinio </w:t>
            </w:r>
            <w:r>
              <w:t>regulia</w:t>
            </w:r>
            <w:r w:rsidR="00587653">
              <w:t>vimo</w:t>
            </w:r>
            <w:r>
              <w:t xml:space="preserve"> aiškumo rinkos dalyviams ir didesnės investuotojų apsaugos: </w:t>
            </w:r>
            <w:hyperlink r:id="rId21" w:history="1">
              <w:r w:rsidRPr="00C10EC2">
                <w:rPr>
                  <w:rStyle w:val="Hipersaitas"/>
                </w:rPr>
                <w:t>https://www.lb.lt/lt/naujienos/lietuvos-bankas-teikia-rekomendacijas-norintiesiems-pritraukti-kapitala-per-sto</w:t>
              </w:r>
            </w:hyperlink>
            <w:r w:rsidR="00587653">
              <w:rPr>
                <w:rStyle w:val="Hipersaitas"/>
              </w:rPr>
              <w:t>.</w:t>
            </w:r>
            <w:r>
              <w:t xml:space="preserve"> </w:t>
            </w:r>
          </w:p>
          <w:p w:rsidR="00E849C0" w:rsidRPr="00616493" w:rsidRDefault="00E849C0" w:rsidP="00D60867">
            <w:pPr>
              <w:jc w:val="both"/>
            </w:pPr>
            <w:r w:rsidRPr="00E849C0">
              <w:t>F</w:t>
            </w:r>
            <w:r>
              <w:t>inansų ministerija</w:t>
            </w:r>
            <w:r w:rsidRPr="00E849C0">
              <w:t xml:space="preserve"> taip pat skiria papildom</w:t>
            </w:r>
            <w:r w:rsidR="0092478A">
              <w:t>ai</w:t>
            </w:r>
            <w:r w:rsidRPr="00E849C0">
              <w:t xml:space="preserve"> dėmes</w:t>
            </w:r>
            <w:r w:rsidR="0092478A">
              <w:t>io</w:t>
            </w:r>
            <w:r w:rsidRPr="00E849C0">
              <w:t xml:space="preserve"> IPO v</w:t>
            </w:r>
            <w:r>
              <w:t xml:space="preserve">ykdymo galimybėms gerinti. </w:t>
            </w:r>
            <w:r w:rsidR="00587653">
              <w:t xml:space="preserve">Pagal struktūrinių reformų rėmimo programą įgyvendinamas </w:t>
            </w:r>
            <w:r w:rsidRPr="00E849C0">
              <w:t xml:space="preserve">projektas, siekiant ištirti mažų ir vidutinių įmonių </w:t>
            </w:r>
            <w:r w:rsidR="00D60867">
              <w:t xml:space="preserve">įtraukimo į </w:t>
            </w:r>
            <w:r w:rsidRPr="00E849C0">
              <w:t>vertybinių popierių biržo</w:t>
            </w:r>
            <w:r w:rsidR="00D60867">
              <w:t>s sąrašus</w:t>
            </w:r>
            <w:r w:rsidRPr="00E849C0">
              <w:t xml:space="preserve"> skatinimo</w:t>
            </w:r>
            <w:r>
              <w:t xml:space="preserve"> priemonės poreikį ir galimybes.</w:t>
            </w:r>
          </w:p>
        </w:tc>
      </w:tr>
    </w:tbl>
    <w:p w:rsidR="008B0A72" w:rsidRDefault="008B0A72" w:rsidP="00CA67DF">
      <w:pPr>
        <w:spacing w:after="0" w:line="240" w:lineRule="auto"/>
      </w:pPr>
    </w:p>
    <w:p w:rsidR="00B702DE" w:rsidRDefault="00B702DE" w:rsidP="00CA67DF">
      <w:pPr>
        <w:spacing w:after="0" w:line="240" w:lineRule="auto"/>
      </w:pPr>
    </w:p>
    <w:p w:rsidR="00B702DE" w:rsidRDefault="00C97183" w:rsidP="00CA67DF">
      <w:pPr>
        <w:spacing w:after="0" w:line="240" w:lineRule="auto"/>
        <w:jc w:val="center"/>
      </w:pPr>
      <w:r>
        <w:t>_______________________________</w:t>
      </w:r>
    </w:p>
    <w:sectPr w:rsidR="00B702DE" w:rsidSect="002646D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9A" w:rsidRDefault="007C3A9A" w:rsidP="008B0A72">
      <w:pPr>
        <w:spacing w:after="0" w:line="240" w:lineRule="auto"/>
      </w:pPr>
      <w:r>
        <w:separator/>
      </w:r>
    </w:p>
  </w:endnote>
  <w:endnote w:type="continuationSeparator" w:id="0">
    <w:p w:rsidR="007C3A9A" w:rsidRDefault="007C3A9A" w:rsidP="008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4DE" w:rsidRDefault="00B964DE">
    <w:pPr>
      <w:pStyle w:val="Porat"/>
      <w:jc w:val="right"/>
    </w:pPr>
  </w:p>
  <w:p w:rsidR="00B964DE" w:rsidRDefault="00B964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9A" w:rsidRDefault="007C3A9A" w:rsidP="008B0A72">
      <w:pPr>
        <w:spacing w:after="0" w:line="240" w:lineRule="auto"/>
      </w:pPr>
      <w:r>
        <w:separator/>
      </w:r>
    </w:p>
  </w:footnote>
  <w:footnote w:type="continuationSeparator" w:id="0">
    <w:p w:rsidR="007C3A9A" w:rsidRDefault="007C3A9A" w:rsidP="008B0A72">
      <w:pPr>
        <w:spacing w:after="0" w:line="240" w:lineRule="auto"/>
      </w:pPr>
      <w:r>
        <w:continuationSeparator/>
      </w:r>
    </w:p>
  </w:footnote>
  <w:footnote w:id="1">
    <w:p w:rsidR="00B964DE" w:rsidRDefault="00B964DE" w:rsidP="00B176C6">
      <w:pPr>
        <w:pStyle w:val="Puslapioinaostekstas"/>
        <w:ind w:firstLine="567"/>
      </w:pPr>
      <w:bookmarkStart w:id="0" w:name="_GoBack"/>
      <w:r>
        <w:rPr>
          <w:rStyle w:val="Puslapioinaosnuoroda"/>
        </w:rPr>
        <w:footnoteRef/>
      </w:r>
      <w:r>
        <w:t xml:space="preserve"> </w:t>
      </w:r>
      <w:proofErr w:type="spellStart"/>
      <w:r>
        <w:t>VšĮ</w:t>
      </w:r>
      <w:proofErr w:type="spellEnd"/>
      <w:r>
        <w:t xml:space="preserve"> „Investuok Lietuvoje“, 2020. &lt;</w:t>
      </w:r>
      <w:r w:rsidRPr="000C1422">
        <w:t xml:space="preserve"> https://investlithuania.com/fintech-report-2019/</w:t>
      </w:r>
      <w:r>
        <w:t>&gt;</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559348"/>
      <w:docPartObj>
        <w:docPartGallery w:val="Page Numbers (Top of Page)"/>
        <w:docPartUnique/>
      </w:docPartObj>
    </w:sdtPr>
    <w:sdtEndPr/>
    <w:sdtContent>
      <w:p w:rsidR="00B964DE" w:rsidRDefault="00B964DE">
        <w:pPr>
          <w:pStyle w:val="Antrats"/>
          <w:jc w:val="center"/>
        </w:pPr>
        <w:r>
          <w:fldChar w:fldCharType="begin"/>
        </w:r>
        <w:r>
          <w:instrText>PAGE   \* MERGEFORMAT</w:instrText>
        </w:r>
        <w:r>
          <w:fldChar w:fldCharType="separate"/>
        </w:r>
        <w:r w:rsidR="003644ED">
          <w:rPr>
            <w:noProof/>
          </w:rPr>
          <w:t>2</w:t>
        </w:r>
        <w:r>
          <w:fldChar w:fldCharType="end"/>
        </w:r>
      </w:p>
    </w:sdtContent>
  </w:sdt>
  <w:p w:rsidR="00B964DE" w:rsidRDefault="00B964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3A2F"/>
    <w:multiLevelType w:val="hybridMultilevel"/>
    <w:tmpl w:val="460CB2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F6A51AB"/>
    <w:multiLevelType w:val="hybridMultilevel"/>
    <w:tmpl w:val="D084C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355615"/>
    <w:multiLevelType w:val="hybridMultilevel"/>
    <w:tmpl w:val="40546B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2CBD0D6B"/>
    <w:multiLevelType w:val="hybridMultilevel"/>
    <w:tmpl w:val="736431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430C69C7"/>
    <w:multiLevelType w:val="hybridMultilevel"/>
    <w:tmpl w:val="937C7C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F7006C"/>
    <w:multiLevelType w:val="hybridMultilevel"/>
    <w:tmpl w:val="62D4C5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AA453F"/>
    <w:multiLevelType w:val="hybridMultilevel"/>
    <w:tmpl w:val="C8B8ADC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951EB4"/>
    <w:multiLevelType w:val="hybridMultilevel"/>
    <w:tmpl w:val="7842EB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C9B15B5"/>
    <w:multiLevelType w:val="hybridMultilevel"/>
    <w:tmpl w:val="33387C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4"/>
  </w:num>
  <w:num w:numId="5">
    <w:abstractNumId w:val="0"/>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72"/>
    <w:rsid w:val="00003383"/>
    <w:rsid w:val="00003F2C"/>
    <w:rsid w:val="00016555"/>
    <w:rsid w:val="00016ECA"/>
    <w:rsid w:val="000310E4"/>
    <w:rsid w:val="00033A5E"/>
    <w:rsid w:val="00037701"/>
    <w:rsid w:val="00043501"/>
    <w:rsid w:val="0004425E"/>
    <w:rsid w:val="000479B4"/>
    <w:rsid w:val="00050416"/>
    <w:rsid w:val="00072ECC"/>
    <w:rsid w:val="0008124E"/>
    <w:rsid w:val="00087D0A"/>
    <w:rsid w:val="00091E28"/>
    <w:rsid w:val="000A3A89"/>
    <w:rsid w:val="000B35DB"/>
    <w:rsid w:val="000C1422"/>
    <w:rsid w:val="000F54E1"/>
    <w:rsid w:val="00103BE5"/>
    <w:rsid w:val="00105E64"/>
    <w:rsid w:val="001107CA"/>
    <w:rsid w:val="001137D3"/>
    <w:rsid w:val="00120152"/>
    <w:rsid w:val="001273D9"/>
    <w:rsid w:val="00167BA4"/>
    <w:rsid w:val="00175088"/>
    <w:rsid w:val="00185EFC"/>
    <w:rsid w:val="00187611"/>
    <w:rsid w:val="001C73F2"/>
    <w:rsid w:val="001E06A0"/>
    <w:rsid w:val="001F2409"/>
    <w:rsid w:val="001F3E5F"/>
    <w:rsid w:val="00210ABC"/>
    <w:rsid w:val="0023683E"/>
    <w:rsid w:val="002445F7"/>
    <w:rsid w:val="00251489"/>
    <w:rsid w:val="002646D0"/>
    <w:rsid w:val="0026699E"/>
    <w:rsid w:val="00273C5E"/>
    <w:rsid w:val="0029554A"/>
    <w:rsid w:val="002C2AE8"/>
    <w:rsid w:val="002E7F30"/>
    <w:rsid w:val="00334DCD"/>
    <w:rsid w:val="00335DBA"/>
    <w:rsid w:val="00342A59"/>
    <w:rsid w:val="0034683B"/>
    <w:rsid w:val="003511A1"/>
    <w:rsid w:val="003644ED"/>
    <w:rsid w:val="003845A2"/>
    <w:rsid w:val="003D3FBF"/>
    <w:rsid w:val="00407C0A"/>
    <w:rsid w:val="00416D76"/>
    <w:rsid w:val="00472FB0"/>
    <w:rsid w:val="004741C3"/>
    <w:rsid w:val="00485B61"/>
    <w:rsid w:val="00494F98"/>
    <w:rsid w:val="004C02AD"/>
    <w:rsid w:val="004D3BE8"/>
    <w:rsid w:val="004E5933"/>
    <w:rsid w:val="00511D50"/>
    <w:rsid w:val="0051235D"/>
    <w:rsid w:val="005225A4"/>
    <w:rsid w:val="00547719"/>
    <w:rsid w:val="0057384D"/>
    <w:rsid w:val="00587653"/>
    <w:rsid w:val="00590FA7"/>
    <w:rsid w:val="00597CA8"/>
    <w:rsid w:val="005F71C0"/>
    <w:rsid w:val="00616493"/>
    <w:rsid w:val="00621233"/>
    <w:rsid w:val="00627C65"/>
    <w:rsid w:val="00632C86"/>
    <w:rsid w:val="00645E8A"/>
    <w:rsid w:val="0066023D"/>
    <w:rsid w:val="006643F0"/>
    <w:rsid w:val="006952C5"/>
    <w:rsid w:val="006A3FF6"/>
    <w:rsid w:val="007011EC"/>
    <w:rsid w:val="00703A1B"/>
    <w:rsid w:val="007170E4"/>
    <w:rsid w:val="00751331"/>
    <w:rsid w:val="00780B24"/>
    <w:rsid w:val="00791E03"/>
    <w:rsid w:val="007A7477"/>
    <w:rsid w:val="007C3A9A"/>
    <w:rsid w:val="007C7C80"/>
    <w:rsid w:val="007E2175"/>
    <w:rsid w:val="0081193E"/>
    <w:rsid w:val="0083060E"/>
    <w:rsid w:val="008477BD"/>
    <w:rsid w:val="00864261"/>
    <w:rsid w:val="0089095F"/>
    <w:rsid w:val="008A0BCE"/>
    <w:rsid w:val="008B0A72"/>
    <w:rsid w:val="008B6AAD"/>
    <w:rsid w:val="008C3A23"/>
    <w:rsid w:val="00907448"/>
    <w:rsid w:val="009129FD"/>
    <w:rsid w:val="00914B2F"/>
    <w:rsid w:val="0092478A"/>
    <w:rsid w:val="00925B6D"/>
    <w:rsid w:val="009965A0"/>
    <w:rsid w:val="009A00EB"/>
    <w:rsid w:val="009E10E1"/>
    <w:rsid w:val="009E1268"/>
    <w:rsid w:val="00A038F1"/>
    <w:rsid w:val="00A07433"/>
    <w:rsid w:val="00A110A1"/>
    <w:rsid w:val="00A11865"/>
    <w:rsid w:val="00A32C76"/>
    <w:rsid w:val="00A376FB"/>
    <w:rsid w:val="00A50C71"/>
    <w:rsid w:val="00A619F0"/>
    <w:rsid w:val="00A66F26"/>
    <w:rsid w:val="00A73133"/>
    <w:rsid w:val="00A81530"/>
    <w:rsid w:val="00A87A9E"/>
    <w:rsid w:val="00AB40ED"/>
    <w:rsid w:val="00AC1238"/>
    <w:rsid w:val="00AD0CB4"/>
    <w:rsid w:val="00AE0C6C"/>
    <w:rsid w:val="00B05260"/>
    <w:rsid w:val="00B176C6"/>
    <w:rsid w:val="00B32B9E"/>
    <w:rsid w:val="00B54B25"/>
    <w:rsid w:val="00B702DE"/>
    <w:rsid w:val="00B964DE"/>
    <w:rsid w:val="00BA1D45"/>
    <w:rsid w:val="00BF058D"/>
    <w:rsid w:val="00C100E7"/>
    <w:rsid w:val="00C3322E"/>
    <w:rsid w:val="00C557D3"/>
    <w:rsid w:val="00C60225"/>
    <w:rsid w:val="00C642A9"/>
    <w:rsid w:val="00C71634"/>
    <w:rsid w:val="00C76681"/>
    <w:rsid w:val="00C82790"/>
    <w:rsid w:val="00C87226"/>
    <w:rsid w:val="00C97183"/>
    <w:rsid w:val="00CA67DF"/>
    <w:rsid w:val="00CA711F"/>
    <w:rsid w:val="00CC45B9"/>
    <w:rsid w:val="00CC5E6C"/>
    <w:rsid w:val="00CF302B"/>
    <w:rsid w:val="00D16ED4"/>
    <w:rsid w:val="00D2100E"/>
    <w:rsid w:val="00D60867"/>
    <w:rsid w:val="00D9484B"/>
    <w:rsid w:val="00DA0C75"/>
    <w:rsid w:val="00DD5B70"/>
    <w:rsid w:val="00DD783D"/>
    <w:rsid w:val="00DE2237"/>
    <w:rsid w:val="00DE5FA1"/>
    <w:rsid w:val="00DF634A"/>
    <w:rsid w:val="00E01E90"/>
    <w:rsid w:val="00E5173E"/>
    <w:rsid w:val="00E6609A"/>
    <w:rsid w:val="00E849C0"/>
    <w:rsid w:val="00E93AE6"/>
    <w:rsid w:val="00F00382"/>
    <w:rsid w:val="00F0306D"/>
    <w:rsid w:val="00F20E73"/>
    <w:rsid w:val="00F22D43"/>
    <w:rsid w:val="00F463B0"/>
    <w:rsid w:val="00FB52F7"/>
    <w:rsid w:val="00FD303F"/>
    <w:rsid w:val="00FD48A1"/>
    <w:rsid w:val="00FE6B41"/>
    <w:rsid w:val="00FE76AE"/>
    <w:rsid w:val="00FF2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B0A72"/>
    <w:rPr>
      <w:sz w:val="16"/>
      <w:szCs w:val="16"/>
    </w:rPr>
  </w:style>
  <w:style w:type="paragraph" w:styleId="Komentarotekstas">
    <w:name w:val="annotation text"/>
    <w:basedOn w:val="prastasis"/>
    <w:link w:val="KomentarotekstasDiagrama"/>
    <w:uiPriority w:val="99"/>
    <w:semiHidden/>
    <w:unhideWhenUsed/>
    <w:rsid w:val="008B0A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0A72"/>
    <w:rPr>
      <w:sz w:val="20"/>
      <w:szCs w:val="20"/>
    </w:rPr>
  </w:style>
  <w:style w:type="paragraph" w:styleId="Puslapioinaostekstas">
    <w:name w:val="footnote text"/>
    <w:basedOn w:val="prastasis"/>
    <w:link w:val="PuslapioinaostekstasDiagrama"/>
    <w:uiPriority w:val="99"/>
    <w:semiHidden/>
    <w:unhideWhenUsed/>
    <w:rsid w:val="008B0A7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B0A72"/>
    <w:rPr>
      <w:sz w:val="20"/>
      <w:szCs w:val="20"/>
    </w:rPr>
  </w:style>
  <w:style w:type="character" w:styleId="Puslapioinaosnuoroda">
    <w:name w:val="footnote reference"/>
    <w:basedOn w:val="Numatytasispastraiposriftas"/>
    <w:uiPriority w:val="99"/>
    <w:semiHidden/>
    <w:unhideWhenUsed/>
    <w:rsid w:val="008B0A72"/>
    <w:rPr>
      <w:vertAlign w:val="superscript"/>
    </w:rPr>
  </w:style>
  <w:style w:type="paragraph" w:styleId="Debesliotekstas">
    <w:name w:val="Balloon Text"/>
    <w:basedOn w:val="prastasis"/>
    <w:link w:val="DebesliotekstasDiagrama"/>
    <w:uiPriority w:val="99"/>
    <w:semiHidden/>
    <w:unhideWhenUsed/>
    <w:rsid w:val="008B0A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0A72"/>
    <w:rPr>
      <w:rFonts w:ascii="Tahoma" w:hAnsi="Tahoma" w:cs="Tahoma"/>
      <w:sz w:val="16"/>
      <w:szCs w:val="16"/>
    </w:rPr>
  </w:style>
  <w:style w:type="paragraph" w:styleId="Sraopastraipa">
    <w:name w:val="List Paragraph"/>
    <w:basedOn w:val="prastasis"/>
    <w:uiPriority w:val="34"/>
    <w:qFormat/>
    <w:rsid w:val="00D9484B"/>
    <w:pPr>
      <w:ind w:left="720"/>
      <w:contextualSpacing/>
    </w:pPr>
  </w:style>
  <w:style w:type="table" w:styleId="Lentelstinklelis">
    <w:name w:val="Table Grid"/>
    <w:basedOn w:val="prastojilentel"/>
    <w:uiPriority w:val="39"/>
    <w:rsid w:val="0026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F058D"/>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8C3A23"/>
    <w:rPr>
      <w:b/>
      <w:bCs/>
    </w:rPr>
  </w:style>
  <w:style w:type="character" w:customStyle="1" w:styleId="KomentarotemaDiagrama">
    <w:name w:val="Komentaro tema Diagrama"/>
    <w:basedOn w:val="KomentarotekstasDiagrama"/>
    <w:link w:val="Komentarotema"/>
    <w:uiPriority w:val="99"/>
    <w:semiHidden/>
    <w:rsid w:val="008C3A23"/>
    <w:rPr>
      <w:b/>
      <w:bCs/>
      <w:sz w:val="20"/>
      <w:szCs w:val="20"/>
    </w:rPr>
  </w:style>
  <w:style w:type="paragraph" w:styleId="Antrats">
    <w:name w:val="header"/>
    <w:basedOn w:val="prastasis"/>
    <w:link w:val="AntratsDiagrama"/>
    <w:uiPriority w:val="99"/>
    <w:unhideWhenUsed/>
    <w:rsid w:val="002955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54A"/>
  </w:style>
  <w:style w:type="paragraph" w:styleId="Porat">
    <w:name w:val="footer"/>
    <w:basedOn w:val="prastasis"/>
    <w:link w:val="PoratDiagrama"/>
    <w:uiPriority w:val="99"/>
    <w:unhideWhenUsed/>
    <w:rsid w:val="002955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54A"/>
  </w:style>
  <w:style w:type="paragraph" w:customStyle="1" w:styleId="Default">
    <w:name w:val="Default"/>
    <w:rsid w:val="00A32C76"/>
    <w:pPr>
      <w:autoSpaceDE w:val="0"/>
      <w:autoSpaceDN w:val="0"/>
      <w:adjustRightInd w:val="0"/>
      <w:spacing w:after="0" w:line="240" w:lineRule="auto"/>
    </w:pPr>
    <w:rPr>
      <w:rFonts w:cs="Times New Roman"/>
      <w:color w:val="000000"/>
      <w:szCs w:val="24"/>
    </w:rPr>
  </w:style>
  <w:style w:type="paragraph" w:styleId="Pataisymai">
    <w:name w:val="Revision"/>
    <w:hidden/>
    <w:uiPriority w:val="99"/>
    <w:semiHidden/>
    <w:rsid w:val="008477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B0A72"/>
    <w:rPr>
      <w:sz w:val="16"/>
      <w:szCs w:val="16"/>
    </w:rPr>
  </w:style>
  <w:style w:type="paragraph" w:styleId="Komentarotekstas">
    <w:name w:val="annotation text"/>
    <w:basedOn w:val="prastasis"/>
    <w:link w:val="KomentarotekstasDiagrama"/>
    <w:uiPriority w:val="99"/>
    <w:semiHidden/>
    <w:unhideWhenUsed/>
    <w:rsid w:val="008B0A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0A72"/>
    <w:rPr>
      <w:sz w:val="20"/>
      <w:szCs w:val="20"/>
    </w:rPr>
  </w:style>
  <w:style w:type="paragraph" w:styleId="Puslapioinaostekstas">
    <w:name w:val="footnote text"/>
    <w:basedOn w:val="prastasis"/>
    <w:link w:val="PuslapioinaostekstasDiagrama"/>
    <w:uiPriority w:val="99"/>
    <w:semiHidden/>
    <w:unhideWhenUsed/>
    <w:rsid w:val="008B0A7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B0A72"/>
    <w:rPr>
      <w:sz w:val="20"/>
      <w:szCs w:val="20"/>
    </w:rPr>
  </w:style>
  <w:style w:type="character" w:styleId="Puslapioinaosnuoroda">
    <w:name w:val="footnote reference"/>
    <w:basedOn w:val="Numatytasispastraiposriftas"/>
    <w:uiPriority w:val="99"/>
    <w:semiHidden/>
    <w:unhideWhenUsed/>
    <w:rsid w:val="008B0A72"/>
    <w:rPr>
      <w:vertAlign w:val="superscript"/>
    </w:rPr>
  </w:style>
  <w:style w:type="paragraph" w:styleId="Debesliotekstas">
    <w:name w:val="Balloon Text"/>
    <w:basedOn w:val="prastasis"/>
    <w:link w:val="DebesliotekstasDiagrama"/>
    <w:uiPriority w:val="99"/>
    <w:semiHidden/>
    <w:unhideWhenUsed/>
    <w:rsid w:val="008B0A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0A72"/>
    <w:rPr>
      <w:rFonts w:ascii="Tahoma" w:hAnsi="Tahoma" w:cs="Tahoma"/>
      <w:sz w:val="16"/>
      <w:szCs w:val="16"/>
    </w:rPr>
  </w:style>
  <w:style w:type="paragraph" w:styleId="Sraopastraipa">
    <w:name w:val="List Paragraph"/>
    <w:basedOn w:val="prastasis"/>
    <w:uiPriority w:val="34"/>
    <w:qFormat/>
    <w:rsid w:val="00D9484B"/>
    <w:pPr>
      <w:ind w:left="720"/>
      <w:contextualSpacing/>
    </w:pPr>
  </w:style>
  <w:style w:type="table" w:styleId="Lentelstinklelis">
    <w:name w:val="Table Grid"/>
    <w:basedOn w:val="prastojilentel"/>
    <w:uiPriority w:val="39"/>
    <w:rsid w:val="0026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F058D"/>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8C3A23"/>
    <w:rPr>
      <w:b/>
      <w:bCs/>
    </w:rPr>
  </w:style>
  <w:style w:type="character" w:customStyle="1" w:styleId="KomentarotemaDiagrama">
    <w:name w:val="Komentaro tema Diagrama"/>
    <w:basedOn w:val="KomentarotekstasDiagrama"/>
    <w:link w:val="Komentarotema"/>
    <w:uiPriority w:val="99"/>
    <w:semiHidden/>
    <w:rsid w:val="008C3A23"/>
    <w:rPr>
      <w:b/>
      <w:bCs/>
      <w:sz w:val="20"/>
      <w:szCs w:val="20"/>
    </w:rPr>
  </w:style>
  <w:style w:type="paragraph" w:styleId="Antrats">
    <w:name w:val="header"/>
    <w:basedOn w:val="prastasis"/>
    <w:link w:val="AntratsDiagrama"/>
    <w:uiPriority w:val="99"/>
    <w:unhideWhenUsed/>
    <w:rsid w:val="002955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54A"/>
  </w:style>
  <w:style w:type="paragraph" w:styleId="Porat">
    <w:name w:val="footer"/>
    <w:basedOn w:val="prastasis"/>
    <w:link w:val="PoratDiagrama"/>
    <w:uiPriority w:val="99"/>
    <w:unhideWhenUsed/>
    <w:rsid w:val="002955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54A"/>
  </w:style>
  <w:style w:type="paragraph" w:customStyle="1" w:styleId="Default">
    <w:name w:val="Default"/>
    <w:rsid w:val="00A32C76"/>
    <w:pPr>
      <w:autoSpaceDE w:val="0"/>
      <w:autoSpaceDN w:val="0"/>
      <w:adjustRightInd w:val="0"/>
      <w:spacing w:after="0" w:line="240" w:lineRule="auto"/>
    </w:pPr>
    <w:rPr>
      <w:rFonts w:cs="Times New Roman"/>
      <w:color w:val="000000"/>
      <w:szCs w:val="24"/>
    </w:rPr>
  </w:style>
  <w:style w:type="paragraph" w:styleId="Pataisymai">
    <w:name w:val="Revision"/>
    <w:hidden/>
    <w:uiPriority w:val="99"/>
    <w:semiHidden/>
    <w:rsid w:val="008477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6075">
      <w:bodyDiv w:val="1"/>
      <w:marLeft w:val="0"/>
      <w:marRight w:val="0"/>
      <w:marTop w:val="0"/>
      <w:marBottom w:val="0"/>
      <w:divBdr>
        <w:top w:val="none" w:sz="0" w:space="0" w:color="auto"/>
        <w:left w:val="none" w:sz="0" w:space="0" w:color="auto"/>
        <w:bottom w:val="none" w:sz="0" w:space="0" w:color="auto"/>
        <w:right w:val="none" w:sz="0" w:space="0" w:color="auto"/>
      </w:divBdr>
    </w:div>
    <w:div w:id="481891294">
      <w:bodyDiv w:val="1"/>
      <w:marLeft w:val="0"/>
      <w:marRight w:val="0"/>
      <w:marTop w:val="0"/>
      <w:marBottom w:val="0"/>
      <w:divBdr>
        <w:top w:val="none" w:sz="0" w:space="0" w:color="auto"/>
        <w:left w:val="none" w:sz="0" w:space="0" w:color="auto"/>
        <w:bottom w:val="none" w:sz="0" w:space="0" w:color="auto"/>
        <w:right w:val="none" w:sz="0" w:space="0" w:color="auto"/>
      </w:divBdr>
    </w:div>
    <w:div w:id="166523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min.lrv.lt/uploads/finmin/documents/files/KYC%20proceso%20optimizavimo%20galimybes.pdf" TargetMode="External"/><Relationship Id="rId18" Type="http://schemas.openxmlformats.org/officeDocument/2006/relationships/hyperlink" Target="https://www.youtube.com/watch?v=UBFfcfOBo_8)/" TargetMode="External"/><Relationship Id="rId3" Type="http://schemas.openxmlformats.org/officeDocument/2006/relationships/styles" Target="styles.xml"/><Relationship Id="rId21" Type="http://schemas.openxmlformats.org/officeDocument/2006/relationships/hyperlink" Target="https://www.lb.lt/lt/naujienos/lietuvos-bankas-teikia-rekomendacijas-norintiesiems-pritraukti-kapitala-per-sto" TargetMode="External"/><Relationship Id="rId7" Type="http://schemas.openxmlformats.org/officeDocument/2006/relationships/footnotes" Target="footnotes.xml"/><Relationship Id="rId12" Type="http://schemas.openxmlformats.org/officeDocument/2006/relationships/hyperlink" Target="https://finmin.lrv.lt/lt/naujienos/devynios-valstybes-institucijos-vienija-jegas-riziku-valdyme-fintech-srityje" TargetMode="External"/><Relationship Id="rId17" Type="http://schemas.openxmlformats.org/officeDocument/2006/relationships/hyperlink" Target="https://www.youtube.com/watch?v=E624jIzZE2Y" TargetMode="External"/><Relationship Id="rId2" Type="http://schemas.openxmlformats.org/officeDocument/2006/relationships/numbering" Target="numbering.xml"/><Relationship Id="rId16" Type="http://schemas.openxmlformats.org/officeDocument/2006/relationships/hyperlink" Target="https://www.lb.lt/lt/konsultacijos/viesoji-konsultacija-del-elektroniniu-pinigu-ir-mokejimo-istaigu-klientu-lesu-apsaugos" TargetMode="External"/><Relationship Id="rId20" Type="http://schemas.openxmlformats.org/officeDocument/2006/relationships/hyperlink" Target="https://www.smm.lt/web/lt/smm-studijos/aktualijos/finte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min.lrv.lt/lt/veiklos-sritys/finansu-rinku-politika/mokejimu-taryba" TargetMode="External"/><Relationship Id="rId5" Type="http://schemas.openxmlformats.org/officeDocument/2006/relationships/settings" Target="settings.xml"/><Relationship Id="rId15" Type="http://schemas.openxmlformats.org/officeDocument/2006/relationships/hyperlink" Target="https://mentoriai.verslilietuva.lt/mentoriai/2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finmin.lrv.lt/lt/naujienos/lietuvoje-kuriamas-vidurio-ir-rytu-europos-saliu-bei-kinijos-17-1-bendradarbiavimo-formato-fintech-koordinatoriu-tinkla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finmin.lrv.lt/uploads/finmin/documents/files/Momentiniai%20mokejimai%20Lietuvoje.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2EDB-9C91-4854-B183-D2C00BF7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28164</Words>
  <Characters>16055</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Ranonytė</dc:creator>
  <cp:lastModifiedBy>Greta Ranonytė</cp:lastModifiedBy>
  <cp:revision>3</cp:revision>
  <dcterms:created xsi:type="dcterms:W3CDTF">2020-03-26T14:27:00Z</dcterms:created>
  <dcterms:modified xsi:type="dcterms:W3CDTF">2020-03-26T14:27:00Z</dcterms:modified>
</cp:coreProperties>
</file>