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DEEE8" w14:textId="77777777" w:rsidR="001934A6" w:rsidRPr="005C1738" w:rsidRDefault="001934A6" w:rsidP="00C628C3">
      <w:pPr>
        <w:pStyle w:val="Preformatted"/>
        <w:spacing w:line="276" w:lineRule="auto"/>
        <w:jc w:val="center"/>
        <w:rPr>
          <w:rFonts w:ascii="Times New Roman" w:hAnsi="Times New Roman"/>
          <w:b/>
          <w:sz w:val="24"/>
          <w:szCs w:val="22"/>
        </w:rPr>
      </w:pPr>
      <w:r w:rsidRPr="005C1738">
        <w:rPr>
          <w:rFonts w:ascii="Times New Roman" w:hAnsi="Times New Roman"/>
          <w:b/>
          <w:sz w:val="24"/>
          <w:szCs w:val="22"/>
        </w:rPr>
        <w:t>LIETUVOS RESPUBLIKOS VYRIAUSYBĖS KANCELIARIJ</w:t>
      </w:r>
      <w:r w:rsidR="00EA08A9" w:rsidRPr="005C1738">
        <w:rPr>
          <w:rFonts w:ascii="Times New Roman" w:hAnsi="Times New Roman"/>
          <w:b/>
          <w:sz w:val="24"/>
          <w:szCs w:val="22"/>
        </w:rPr>
        <w:t>A</w:t>
      </w:r>
    </w:p>
    <w:p w14:paraId="3C2FF56E" w14:textId="6B2FC46E" w:rsidR="005C1738" w:rsidRPr="00B608AC" w:rsidRDefault="00464358" w:rsidP="00C628C3">
      <w:pPr>
        <w:pStyle w:val="Preformatted"/>
        <w:spacing w:after="120" w:line="276" w:lineRule="auto"/>
        <w:jc w:val="center"/>
        <w:rPr>
          <w:rFonts w:ascii="Times New Roman" w:hAnsi="Times New Roman"/>
          <w:b/>
          <w:sz w:val="24"/>
          <w:szCs w:val="22"/>
        </w:rPr>
      </w:pPr>
      <w:r w:rsidRPr="005C1738">
        <w:rPr>
          <w:rFonts w:ascii="Times New Roman" w:hAnsi="Times New Roman"/>
          <w:b/>
          <w:sz w:val="24"/>
          <w:szCs w:val="22"/>
        </w:rPr>
        <w:t>STRATEGINIŲ KOMPETENCIJŲ GRUPĖ</w:t>
      </w:r>
    </w:p>
    <w:p w14:paraId="1F4AABA2" w14:textId="27C4D6F9" w:rsidR="005C1738" w:rsidRPr="00C628C3" w:rsidRDefault="007B0FEA" w:rsidP="00C628C3">
      <w:pPr>
        <w:pStyle w:val="Default"/>
        <w:spacing w:line="276" w:lineRule="auto"/>
        <w:jc w:val="center"/>
        <w:rPr>
          <w:b/>
          <w:bCs/>
        </w:rPr>
      </w:pPr>
      <w:r w:rsidRPr="00833C86">
        <w:rPr>
          <w:b/>
          <w:bCs/>
        </w:rPr>
        <w:t>DĖL LIETUVOS RESPUBLIKOS VYRIAUSYBĖS NUTARIMO „</w:t>
      </w:r>
      <w:r w:rsidR="0038189C" w:rsidRPr="00833C86">
        <w:rPr>
          <w:b/>
          <w:bCs/>
        </w:rPr>
        <w:t>DĖL LIETUVOS TEISĖS INSTITUTO, LIETUVOS SOCIALINIŲ TYRIMŲ CENTRO IR LIETUVOS AGRARINĖS EKONOMIKOS INSTITUTO REORGANIZAVIMO</w:t>
      </w:r>
      <w:r w:rsidRPr="00833C86">
        <w:rPr>
          <w:b/>
          <w:bCs/>
        </w:rPr>
        <w:t xml:space="preserve">“ </w:t>
      </w:r>
      <w:r w:rsidRPr="00C628C3">
        <w:rPr>
          <w:b/>
          <w:bCs/>
        </w:rPr>
        <w:t>PROJEKTO</w:t>
      </w:r>
      <w:r w:rsidR="00006C00">
        <w:rPr>
          <w:bCs/>
        </w:rPr>
        <w:t xml:space="preserve"> (toliau – </w:t>
      </w:r>
      <w:r w:rsidR="00833C86">
        <w:rPr>
          <w:bCs/>
          <w:caps/>
        </w:rPr>
        <w:t>P</w:t>
      </w:r>
      <w:r>
        <w:rPr>
          <w:bCs/>
        </w:rPr>
        <w:t>rojekt</w:t>
      </w:r>
      <w:r w:rsidR="00006C00">
        <w:rPr>
          <w:bCs/>
        </w:rPr>
        <w:t>as)</w:t>
      </w:r>
      <w:r w:rsidR="00006C00">
        <w:rPr>
          <w:bCs/>
          <w:szCs w:val="22"/>
        </w:rPr>
        <w:t xml:space="preserve"> </w:t>
      </w:r>
      <w:r w:rsidR="003647A2" w:rsidRPr="005C1738">
        <w:rPr>
          <w:iCs/>
          <w:szCs w:val="22"/>
        </w:rPr>
        <w:t>(</w:t>
      </w:r>
      <w:r w:rsidR="00833C86" w:rsidRPr="008B2C55">
        <w:rPr>
          <w:b/>
          <w:bCs/>
        </w:rPr>
        <w:t xml:space="preserve">TAP Nr. 20-1384; </w:t>
      </w:r>
      <w:r w:rsidR="00833C86" w:rsidRPr="008B2C55">
        <w:rPr>
          <w:b/>
        </w:rPr>
        <w:t>TAIS Nr.20-8067(2)</w:t>
      </w:r>
    </w:p>
    <w:p w14:paraId="236B050B" w14:textId="77777777" w:rsidR="00C628C3" w:rsidRDefault="00C628C3" w:rsidP="001934A6">
      <w:pPr>
        <w:pStyle w:val="Antraste"/>
        <w:spacing w:line="360" w:lineRule="auto"/>
        <w:rPr>
          <w:szCs w:val="22"/>
        </w:rPr>
      </w:pPr>
    </w:p>
    <w:p w14:paraId="654DEEEC" w14:textId="4577E3CD" w:rsidR="00553DF3" w:rsidRPr="005C1738" w:rsidRDefault="00BD12BB" w:rsidP="001934A6">
      <w:pPr>
        <w:pStyle w:val="Antraste"/>
        <w:spacing w:line="360" w:lineRule="auto"/>
        <w:rPr>
          <w:szCs w:val="22"/>
        </w:rPr>
      </w:pPr>
      <w:r w:rsidRPr="005C1738">
        <w:rPr>
          <w:szCs w:val="22"/>
        </w:rPr>
        <w:t>PAŽYMA</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5C1738" w14:paraId="654DEEEE" w14:textId="77777777" w:rsidTr="00F94D25">
        <w:tc>
          <w:tcPr>
            <w:tcW w:w="4536" w:type="dxa"/>
          </w:tcPr>
          <w:p w14:paraId="654DEEED" w14:textId="5BAD3B1B" w:rsidR="00F94D25" w:rsidRPr="005C1738" w:rsidRDefault="00953998" w:rsidP="00EA08A9">
            <w:pPr>
              <w:spacing w:before="60" w:after="60"/>
              <w:jc w:val="center"/>
              <w:rPr>
                <w:spacing w:val="-6"/>
                <w:szCs w:val="22"/>
              </w:rPr>
            </w:pPr>
            <w:sdt>
              <w:sdtPr>
                <w:rPr>
                  <w:spacing w:val="-6"/>
                  <w:szCs w:val="22"/>
                </w:rPr>
                <w:tag w:val="registravimoData"/>
                <w:id w:val="-283805736"/>
                <w:placeholder>
                  <w:docPart w:val="5227F9497BEB4502967040EA23B522FC"/>
                </w:placeholder>
              </w:sdtPr>
              <w:sdtEndPr/>
              <w:sdtContent>
                <w:r>
                  <w:t/>
                </w:r>
              </w:sdtContent>
            </w:sdt>
            <w:r w:rsidR="00F94D25" w:rsidRPr="005C1738">
              <w:rPr>
                <w:spacing w:val="-6"/>
                <w:szCs w:val="22"/>
              </w:rPr>
              <w:t xml:space="preserve"> Nr. </w:t>
            </w:r>
            <w:sdt>
              <w:sdtPr>
                <w:rPr>
                  <w:spacing w:val="-6"/>
                  <w:szCs w:val="22"/>
                </w:rPr>
                <w:tag w:val="registravimoNr"/>
                <w:id w:val="-314025492"/>
                <w:placeholder>
                  <w:docPart w:val="5227F9497BEB4502967040EA23B522FC"/>
                </w:placeholder>
                <w:showingPlcHdr/>
              </w:sdtPr>
              <w:sdtEndPr/>
              <w:sdtContent>
                <w:r>
                  <w:t/>
                </w:r>
              </w:sdtContent>
            </w:sdt>
          </w:p>
        </w:tc>
      </w:tr>
    </w:tbl>
    <w:p w14:paraId="5DCFA37E" w14:textId="6B9255C8" w:rsidR="00E85F33" w:rsidRPr="00B608AC" w:rsidRDefault="008F31A4" w:rsidP="00B608AC">
      <w:pPr>
        <w:spacing w:after="120" w:line="360" w:lineRule="auto"/>
        <w:jc w:val="center"/>
        <w:rPr>
          <w:szCs w:val="22"/>
        </w:rPr>
      </w:pPr>
      <w:r w:rsidRPr="005C1738">
        <w:rPr>
          <w:szCs w:val="22"/>
        </w:rPr>
        <w:t>Vilnius</w:t>
      </w:r>
    </w:p>
    <w:p w14:paraId="654DEEF1" w14:textId="4F1BD9BB" w:rsidR="008102D1" w:rsidRPr="00B608AC" w:rsidRDefault="00163261" w:rsidP="00C628C3">
      <w:pPr>
        <w:spacing w:after="120" w:line="276" w:lineRule="auto"/>
        <w:rPr>
          <w:bCs/>
          <w:szCs w:val="22"/>
        </w:rPr>
      </w:pPr>
      <w:r w:rsidRPr="005C1738">
        <w:rPr>
          <w:b/>
          <w:bCs/>
          <w:szCs w:val="22"/>
        </w:rPr>
        <w:t>Projekto rengėjas:</w:t>
      </w:r>
      <w:r w:rsidR="0007509B" w:rsidRPr="005C1738">
        <w:rPr>
          <w:b/>
          <w:bCs/>
          <w:szCs w:val="22"/>
        </w:rPr>
        <w:t xml:space="preserve"> </w:t>
      </w:r>
      <w:r w:rsidR="0038189C">
        <w:rPr>
          <w:bCs/>
          <w:szCs w:val="22"/>
        </w:rPr>
        <w:t>Švietimo, mokslo ir sporto ministerija</w:t>
      </w:r>
    </w:p>
    <w:p w14:paraId="654DEEF3" w14:textId="47C92854" w:rsidR="008102D1" w:rsidRPr="00C628C3" w:rsidRDefault="00163261" w:rsidP="00C628C3">
      <w:pPr>
        <w:pStyle w:val="Default"/>
        <w:spacing w:line="276" w:lineRule="auto"/>
        <w:jc w:val="both"/>
        <w:rPr>
          <w:bCs/>
        </w:rPr>
      </w:pPr>
      <w:r w:rsidRPr="005C1738">
        <w:rPr>
          <w:b/>
          <w:bCs/>
          <w:szCs w:val="22"/>
        </w:rPr>
        <w:t>Projekto tikslas:</w:t>
      </w:r>
      <w:r w:rsidR="005C1738">
        <w:rPr>
          <w:b/>
          <w:bCs/>
          <w:szCs w:val="22"/>
        </w:rPr>
        <w:t xml:space="preserve"> </w:t>
      </w:r>
      <w:r w:rsidR="0038189C" w:rsidRPr="00C628C3">
        <w:t>r</w:t>
      </w:r>
      <w:r w:rsidR="0038189C" w:rsidRPr="00C628C3">
        <w:t>eorganizuoti Lietuvos socialinių tyrimų centrą, Lietuvos teisės institutą ir Lietuvos agrarinės ekonomikos institutą sujungimo būdu į Lietuvos socialinių mokslų centrą</w:t>
      </w:r>
      <w:r w:rsidR="00B93C7B" w:rsidRPr="00C628C3">
        <w:t xml:space="preserve"> </w:t>
      </w:r>
      <w:r w:rsidR="00B93C7B" w:rsidRPr="00C628C3">
        <w:t>(toliau – Centras)</w:t>
      </w:r>
      <w:r w:rsidR="00B93C7B" w:rsidRPr="00C628C3">
        <w:t>,</w:t>
      </w:r>
      <w:r w:rsidR="0038189C" w:rsidRPr="00C628C3">
        <w:t xml:space="preserve"> patvirtinant reorganizavimo sąlygų aprašą </w:t>
      </w:r>
      <w:r w:rsidR="00C628C3" w:rsidRPr="00C628C3">
        <w:t xml:space="preserve">(toliau – Aprašas) </w:t>
      </w:r>
      <w:r w:rsidR="0038189C" w:rsidRPr="00C628C3">
        <w:t>ir Centro įstatus</w:t>
      </w:r>
      <w:r w:rsidR="00833C86" w:rsidRPr="00C628C3">
        <w:t xml:space="preserve"> (toliau – Įstatai)</w:t>
      </w:r>
      <w:r w:rsidR="006519CA" w:rsidRPr="00C628C3">
        <w:rPr>
          <w:bCs/>
        </w:rPr>
        <w:t>.</w:t>
      </w:r>
    </w:p>
    <w:p w14:paraId="5900A4A1" w14:textId="77777777" w:rsidR="0038189C" w:rsidRPr="00C628C3" w:rsidRDefault="0038189C" w:rsidP="00C628C3">
      <w:pPr>
        <w:pStyle w:val="Default"/>
        <w:spacing w:line="276" w:lineRule="auto"/>
        <w:jc w:val="both"/>
      </w:pPr>
    </w:p>
    <w:p w14:paraId="49D5BC63" w14:textId="729E5F26" w:rsidR="003434D0" w:rsidRDefault="0007509B" w:rsidP="00C628C3">
      <w:pPr>
        <w:spacing w:after="120" w:line="276" w:lineRule="auto"/>
        <w:textAlignment w:val="top"/>
      </w:pPr>
      <w:r w:rsidRPr="005C1738">
        <w:rPr>
          <w:b/>
          <w:szCs w:val="22"/>
        </w:rPr>
        <w:t>Dabartinė situacija:</w:t>
      </w:r>
      <w:r w:rsidR="00FD7F42" w:rsidRPr="005C1738">
        <w:rPr>
          <w:b/>
          <w:szCs w:val="22"/>
        </w:rPr>
        <w:t xml:space="preserve"> </w:t>
      </w:r>
      <w:r w:rsidR="0038189C" w:rsidRPr="00B936F2">
        <w:rPr>
          <w:szCs w:val="24"/>
        </w:rPr>
        <w:t xml:space="preserve">Ministro Pirmininko 2017 m. lapkričio 10 d. potvarkiu Nr. 213 „Dėl darbo grupės pasiūlymams dėl valstybinių mokslinių tyrimų institutų veiklos kokybės gerinimo parengti sudarymo“ </w:t>
      </w:r>
      <w:r w:rsidR="0038189C">
        <w:rPr>
          <w:szCs w:val="24"/>
        </w:rPr>
        <w:t>sudaryta darbo grupė</w:t>
      </w:r>
      <w:r w:rsidR="0038189C">
        <w:rPr>
          <w:szCs w:val="24"/>
        </w:rPr>
        <w:t xml:space="preserve">, kurios vienas iš pasiūlymų buvo sujungti 3 socialinių mokslų krypties </w:t>
      </w:r>
      <w:r w:rsidR="0038189C">
        <w:rPr>
          <w:szCs w:val="24"/>
        </w:rPr>
        <w:t xml:space="preserve"> </w:t>
      </w:r>
      <w:r w:rsidR="0038189C" w:rsidRPr="00B936F2">
        <w:rPr>
          <w:szCs w:val="24"/>
        </w:rPr>
        <w:t>valstybini</w:t>
      </w:r>
      <w:r w:rsidR="00B93C7B">
        <w:rPr>
          <w:szCs w:val="24"/>
        </w:rPr>
        <w:t>us</w:t>
      </w:r>
      <w:r w:rsidR="0038189C" w:rsidRPr="00B936F2">
        <w:rPr>
          <w:szCs w:val="24"/>
        </w:rPr>
        <w:t xml:space="preserve"> mokslinių tyrimų institut</w:t>
      </w:r>
      <w:r w:rsidR="0038189C">
        <w:rPr>
          <w:szCs w:val="24"/>
        </w:rPr>
        <w:t xml:space="preserve">us </w:t>
      </w:r>
      <w:r w:rsidR="0038189C" w:rsidRPr="00114169">
        <w:rPr>
          <w:szCs w:val="24"/>
        </w:rPr>
        <w:t xml:space="preserve">– </w:t>
      </w:r>
      <w:r w:rsidR="0038189C" w:rsidRPr="00114169">
        <w:rPr>
          <w:rFonts w:eastAsia="Ubuntu-Light"/>
          <w:color w:val="000000" w:themeColor="text1"/>
          <w:szCs w:val="24"/>
        </w:rPr>
        <w:t>Lietuvos socialinių tyrimų centrą, Lietuvos teisės institutą ir Lietuvos agrarinės ekonomikos institutą</w:t>
      </w:r>
      <w:r w:rsidR="0038189C" w:rsidRPr="00B936F2">
        <w:rPr>
          <w:szCs w:val="24"/>
        </w:rPr>
        <w:t xml:space="preserve"> </w:t>
      </w:r>
      <w:r w:rsidR="0038189C">
        <w:rPr>
          <w:szCs w:val="24"/>
        </w:rPr>
        <w:t xml:space="preserve">(toliau kartu – institutai) </w:t>
      </w:r>
      <w:r w:rsidR="0038189C" w:rsidRPr="00114169">
        <w:rPr>
          <w:szCs w:val="24"/>
        </w:rPr>
        <w:t>–</w:t>
      </w:r>
      <w:r w:rsidR="0038189C">
        <w:rPr>
          <w:szCs w:val="24"/>
        </w:rPr>
        <w:t xml:space="preserve"> į vieną. V</w:t>
      </w:r>
      <w:r w:rsidR="0038189C" w:rsidRPr="00B936F2">
        <w:rPr>
          <w:szCs w:val="24"/>
        </w:rPr>
        <w:t>alstybinių mokslinių tyrimų institutų</w:t>
      </w:r>
      <w:r w:rsidR="0038189C" w:rsidRPr="00114169">
        <w:rPr>
          <w:szCs w:val="24"/>
        </w:rPr>
        <w:t xml:space="preserve"> </w:t>
      </w:r>
      <w:r w:rsidR="0038189C">
        <w:rPr>
          <w:szCs w:val="24"/>
        </w:rPr>
        <w:t xml:space="preserve">jungimo klausimas </w:t>
      </w:r>
      <w:r w:rsidR="00C628C3">
        <w:rPr>
          <w:szCs w:val="24"/>
        </w:rPr>
        <w:t>ap</w:t>
      </w:r>
      <w:r w:rsidR="0038189C">
        <w:rPr>
          <w:szCs w:val="24"/>
        </w:rPr>
        <w:t xml:space="preserve">svarstytas </w:t>
      </w:r>
      <w:r w:rsidR="0038189C" w:rsidRPr="00114169">
        <w:rPr>
          <w:szCs w:val="24"/>
        </w:rPr>
        <w:t>Mokslo, technologijų ir in</w:t>
      </w:r>
      <w:r w:rsidR="0038189C">
        <w:rPr>
          <w:szCs w:val="24"/>
        </w:rPr>
        <w:t>o</w:t>
      </w:r>
      <w:r w:rsidR="0038189C" w:rsidRPr="00114169">
        <w:rPr>
          <w:szCs w:val="24"/>
        </w:rPr>
        <w:t>vacijų tarybos 2019 m. liepos 26 d. posėd</w:t>
      </w:r>
      <w:r w:rsidR="0038189C">
        <w:rPr>
          <w:szCs w:val="24"/>
        </w:rPr>
        <w:t>yje</w:t>
      </w:r>
      <w:r w:rsidR="0038189C" w:rsidRPr="00114169">
        <w:rPr>
          <w:szCs w:val="24"/>
        </w:rPr>
        <w:t xml:space="preserve">, kuriame buvo pritarta pasiūlymui </w:t>
      </w:r>
      <w:r w:rsidR="0038189C">
        <w:rPr>
          <w:szCs w:val="24"/>
        </w:rPr>
        <w:t xml:space="preserve">institutus sujungti į vieną </w:t>
      </w:r>
      <w:r w:rsidR="0038189C" w:rsidRPr="00114169">
        <w:rPr>
          <w:szCs w:val="24"/>
        </w:rPr>
        <w:t>–</w:t>
      </w:r>
      <w:r w:rsidR="0038189C" w:rsidRPr="00114169">
        <w:rPr>
          <w:rFonts w:eastAsia="Ubuntu-Bold"/>
          <w:color w:val="000000" w:themeColor="text1"/>
          <w:szCs w:val="24"/>
        </w:rPr>
        <w:t xml:space="preserve"> Lietuvos socialinių mokslų centrą</w:t>
      </w:r>
      <w:r w:rsidR="00B93C7B">
        <w:t>.</w:t>
      </w:r>
    </w:p>
    <w:p w14:paraId="3B2934B9" w14:textId="4AD41414" w:rsidR="00B93C7B" w:rsidRPr="001D7DB5" w:rsidRDefault="00B93C7B" w:rsidP="00C628C3">
      <w:pPr>
        <w:spacing w:after="120" w:line="276" w:lineRule="auto"/>
        <w:textAlignment w:val="top"/>
        <w:rPr>
          <w:bCs/>
          <w:szCs w:val="22"/>
        </w:rPr>
      </w:pPr>
      <w:r>
        <w:t xml:space="preserve">Remiantis Mokslo ir studijų įstatymo nuostatomis, institutų </w:t>
      </w:r>
      <w:r>
        <w:rPr>
          <w:color w:val="000000"/>
        </w:rPr>
        <w:t>pagrindinė veikla – moksliniai tyrimai ir eksperimentinė plėtra</w:t>
      </w:r>
      <w:r>
        <w:rPr>
          <w:color w:val="000000"/>
        </w:rPr>
        <w:t>.</w:t>
      </w:r>
      <w:r w:rsidR="00CD6141">
        <w:rPr>
          <w:color w:val="000000"/>
        </w:rPr>
        <w:t xml:space="preserve"> </w:t>
      </w:r>
    </w:p>
    <w:p w14:paraId="1B7BDE8A" w14:textId="45132E6A" w:rsidR="00F06FA6" w:rsidRDefault="00163261" w:rsidP="00C628C3">
      <w:pPr>
        <w:spacing w:after="120" w:line="276" w:lineRule="auto"/>
        <w:rPr>
          <w:szCs w:val="24"/>
        </w:rPr>
      </w:pPr>
      <w:r w:rsidRPr="005C1738">
        <w:rPr>
          <w:b/>
          <w:bCs/>
          <w:szCs w:val="22"/>
        </w:rPr>
        <w:t>Projekto esmė:</w:t>
      </w:r>
      <w:r w:rsidR="003F4A70">
        <w:rPr>
          <w:b/>
          <w:bCs/>
          <w:szCs w:val="22"/>
        </w:rPr>
        <w:t xml:space="preserve"> </w:t>
      </w:r>
      <w:r w:rsidR="00B93C7B">
        <w:rPr>
          <w:szCs w:val="22"/>
        </w:rPr>
        <w:t xml:space="preserve">Institutai reorganizuojami jungimo būdu. </w:t>
      </w:r>
      <w:r w:rsidR="00B93C7B">
        <w:rPr>
          <w:bCs/>
          <w:color w:val="000000"/>
        </w:rPr>
        <w:t>R</w:t>
      </w:r>
      <w:r w:rsidR="007B0FEA">
        <w:rPr>
          <w:bCs/>
          <w:color w:val="000000"/>
        </w:rPr>
        <w:t xml:space="preserve">engėjų </w:t>
      </w:r>
      <w:r w:rsidR="00B93C7B">
        <w:rPr>
          <w:bCs/>
          <w:color w:val="000000"/>
        </w:rPr>
        <w:t>teigimu</w:t>
      </w:r>
      <w:r w:rsidR="007B0FEA">
        <w:rPr>
          <w:bCs/>
          <w:color w:val="000000"/>
        </w:rPr>
        <w:t xml:space="preserve">, </w:t>
      </w:r>
      <w:r w:rsidR="00B93C7B">
        <w:rPr>
          <w:bCs/>
          <w:color w:val="000000"/>
        </w:rPr>
        <w:t xml:space="preserve">reorganizavus institutus, bus </w:t>
      </w:r>
      <w:r w:rsidR="00B93C7B" w:rsidRPr="00B936F2">
        <w:rPr>
          <w:szCs w:val="24"/>
        </w:rPr>
        <w:t>sutelkt</w:t>
      </w:r>
      <w:r w:rsidR="00B93C7B">
        <w:rPr>
          <w:szCs w:val="24"/>
        </w:rPr>
        <w:t>as</w:t>
      </w:r>
      <w:r w:rsidR="00B93C7B" w:rsidRPr="00B936F2">
        <w:rPr>
          <w:szCs w:val="24"/>
        </w:rPr>
        <w:t xml:space="preserve"> mokslin</w:t>
      </w:r>
      <w:r w:rsidR="00B93C7B">
        <w:rPr>
          <w:szCs w:val="24"/>
        </w:rPr>
        <w:t>is</w:t>
      </w:r>
      <w:r w:rsidR="00B93C7B" w:rsidRPr="00B936F2">
        <w:rPr>
          <w:szCs w:val="24"/>
        </w:rPr>
        <w:t xml:space="preserve"> potencial</w:t>
      </w:r>
      <w:r w:rsidR="00B93C7B">
        <w:rPr>
          <w:szCs w:val="24"/>
        </w:rPr>
        <w:t>as</w:t>
      </w:r>
      <w:r w:rsidR="00B93C7B" w:rsidRPr="00B936F2">
        <w:rPr>
          <w:szCs w:val="24"/>
        </w:rPr>
        <w:t>, padidint</w:t>
      </w:r>
      <w:r w:rsidR="00B93C7B">
        <w:rPr>
          <w:szCs w:val="24"/>
        </w:rPr>
        <w:t>as</w:t>
      </w:r>
      <w:r w:rsidR="00B93C7B" w:rsidRPr="00B936F2">
        <w:rPr>
          <w:szCs w:val="24"/>
        </w:rPr>
        <w:t xml:space="preserve"> veiklos efektyvumą ir maksimaliai išnaudoti institutų žmogišk</w:t>
      </w:r>
      <w:r w:rsidR="00B93C7B">
        <w:rPr>
          <w:szCs w:val="24"/>
        </w:rPr>
        <w:t>ieji</w:t>
      </w:r>
      <w:r w:rsidR="00B93C7B" w:rsidRPr="00B936F2">
        <w:rPr>
          <w:szCs w:val="24"/>
        </w:rPr>
        <w:t xml:space="preserve"> ištekli</w:t>
      </w:r>
      <w:r w:rsidR="00B93C7B">
        <w:rPr>
          <w:szCs w:val="24"/>
        </w:rPr>
        <w:t>ai</w:t>
      </w:r>
      <w:r w:rsidR="00B93C7B" w:rsidRPr="00B936F2">
        <w:rPr>
          <w:szCs w:val="24"/>
        </w:rPr>
        <w:t>, geriau užtikrint</w:t>
      </w:r>
      <w:r w:rsidR="00B93C7B">
        <w:rPr>
          <w:szCs w:val="24"/>
        </w:rPr>
        <w:t>os</w:t>
      </w:r>
      <w:r w:rsidR="00B93C7B" w:rsidRPr="00B936F2">
        <w:rPr>
          <w:szCs w:val="24"/>
        </w:rPr>
        <w:t xml:space="preserve"> specializuot</w:t>
      </w:r>
      <w:r w:rsidR="00B93C7B">
        <w:rPr>
          <w:szCs w:val="24"/>
        </w:rPr>
        <w:t>os</w:t>
      </w:r>
      <w:r w:rsidR="00B93C7B" w:rsidRPr="00B936F2">
        <w:rPr>
          <w:szCs w:val="24"/>
        </w:rPr>
        <w:t xml:space="preserve"> vadybin</w:t>
      </w:r>
      <w:r w:rsidR="00B93C7B">
        <w:rPr>
          <w:szCs w:val="24"/>
        </w:rPr>
        <w:t>ė</w:t>
      </w:r>
      <w:r w:rsidR="00B93C7B" w:rsidRPr="00B936F2">
        <w:rPr>
          <w:szCs w:val="24"/>
        </w:rPr>
        <w:t>s funkcij</w:t>
      </w:r>
      <w:r w:rsidR="00B93C7B">
        <w:rPr>
          <w:szCs w:val="24"/>
        </w:rPr>
        <w:t>o</w:t>
      </w:r>
      <w:r w:rsidR="00B93C7B" w:rsidRPr="00B936F2">
        <w:rPr>
          <w:szCs w:val="24"/>
        </w:rPr>
        <w:t xml:space="preserve">s. </w:t>
      </w:r>
      <w:r w:rsidR="00B93C7B">
        <w:rPr>
          <w:szCs w:val="24"/>
        </w:rPr>
        <w:t>Ir t</w:t>
      </w:r>
      <w:r w:rsidR="00B93C7B" w:rsidRPr="00B936F2">
        <w:rPr>
          <w:szCs w:val="24"/>
        </w:rPr>
        <w:t xml:space="preserve">ai leistų įgalinti socialinių mokslų grupės institutų pajėgumą atlikti visuomenei reikšmingą misiją, užtikrinti Lietuvos mokslinių tyrimų integraciją į tarptautinę mokslinių tyrimų erdvę. </w:t>
      </w:r>
    </w:p>
    <w:p w14:paraId="0BE8689C" w14:textId="13E80AD7" w:rsidR="00CD6141" w:rsidRDefault="00CD6141" w:rsidP="00C628C3">
      <w:pPr>
        <w:spacing w:after="120" w:line="276" w:lineRule="auto"/>
        <w:rPr>
          <w:color w:val="000000"/>
          <w:szCs w:val="24"/>
        </w:rPr>
      </w:pPr>
      <w:r>
        <w:rPr>
          <w:szCs w:val="24"/>
        </w:rPr>
        <w:t xml:space="preserve">Numatoma, kad Centras institutų teises ir pareigas perims nuo 2021-01-01. Centro savininko teises ir pareigas įgyvendins Švietimo, mokslo ir sporto ministerija (kaip ir kitų </w:t>
      </w:r>
      <w:r w:rsidRPr="00B936F2">
        <w:rPr>
          <w:szCs w:val="24"/>
        </w:rPr>
        <w:t>valstybinių mokslinių tyrimų institutų</w:t>
      </w:r>
      <w:r>
        <w:rPr>
          <w:szCs w:val="24"/>
        </w:rPr>
        <w:t>).</w:t>
      </w:r>
    </w:p>
    <w:p w14:paraId="7A088FF8" w14:textId="7399BE9F" w:rsidR="00023EFF" w:rsidRPr="00C628C3" w:rsidRDefault="00CD6141" w:rsidP="00C628C3">
      <w:pPr>
        <w:spacing w:after="120" w:line="276" w:lineRule="auto"/>
        <w:rPr>
          <w:b/>
          <w:bCs/>
          <w:szCs w:val="24"/>
        </w:rPr>
      </w:pPr>
      <w:r w:rsidRPr="00C628C3">
        <w:rPr>
          <w:b/>
          <w:bCs/>
          <w:color w:val="000000"/>
          <w:szCs w:val="24"/>
        </w:rPr>
        <w:t xml:space="preserve">Institutų reorganizacijai ir, kaip teigiama, tyrimų kokybei gerinti 2020-2022 m. </w:t>
      </w:r>
      <w:r w:rsidR="005D14C8" w:rsidRPr="00C628C3">
        <w:rPr>
          <w:b/>
          <w:bCs/>
          <w:color w:val="000000"/>
          <w:szCs w:val="24"/>
        </w:rPr>
        <w:t xml:space="preserve">papildomai </w:t>
      </w:r>
      <w:r w:rsidRPr="00C628C3">
        <w:rPr>
          <w:b/>
          <w:bCs/>
          <w:color w:val="000000"/>
          <w:szCs w:val="24"/>
        </w:rPr>
        <w:t>prašoma 2</w:t>
      </w:r>
      <w:r w:rsidR="00833C86" w:rsidRPr="00C628C3">
        <w:rPr>
          <w:b/>
          <w:bCs/>
          <w:color w:val="000000"/>
          <w:szCs w:val="24"/>
        </w:rPr>
        <w:t> </w:t>
      </w:r>
      <w:r w:rsidRPr="00C628C3">
        <w:rPr>
          <w:b/>
          <w:bCs/>
          <w:color w:val="000000"/>
          <w:szCs w:val="24"/>
        </w:rPr>
        <w:t>922</w:t>
      </w:r>
      <w:r w:rsidR="00833C86" w:rsidRPr="00C628C3">
        <w:rPr>
          <w:b/>
          <w:bCs/>
          <w:color w:val="000000"/>
          <w:szCs w:val="24"/>
        </w:rPr>
        <w:t>,3</w:t>
      </w:r>
      <w:r w:rsidRPr="00C628C3">
        <w:rPr>
          <w:b/>
          <w:bCs/>
          <w:color w:val="000000"/>
          <w:szCs w:val="24"/>
        </w:rPr>
        <w:t xml:space="preserve"> tūkst. Eur</w:t>
      </w:r>
      <w:r>
        <w:rPr>
          <w:color w:val="000000"/>
          <w:szCs w:val="24"/>
        </w:rPr>
        <w:t xml:space="preserve"> (iš jų: 2020 m. – 879,7 </w:t>
      </w:r>
      <w:r>
        <w:rPr>
          <w:color w:val="000000"/>
          <w:szCs w:val="24"/>
        </w:rPr>
        <w:t>tūkst. Eur</w:t>
      </w:r>
      <w:r>
        <w:rPr>
          <w:color w:val="000000"/>
          <w:szCs w:val="24"/>
        </w:rPr>
        <w:t xml:space="preserve">; 2021 m. – 1 084,1 </w:t>
      </w:r>
      <w:r>
        <w:rPr>
          <w:color w:val="000000"/>
          <w:szCs w:val="24"/>
        </w:rPr>
        <w:t>tūkst. Eur</w:t>
      </w:r>
      <w:r>
        <w:rPr>
          <w:color w:val="000000"/>
          <w:szCs w:val="24"/>
        </w:rPr>
        <w:t xml:space="preserve">; 2022 m. – 958,5 </w:t>
      </w:r>
      <w:r>
        <w:rPr>
          <w:color w:val="000000"/>
          <w:szCs w:val="24"/>
        </w:rPr>
        <w:t>tūkst. Eur</w:t>
      </w:r>
      <w:r>
        <w:rPr>
          <w:color w:val="000000"/>
          <w:szCs w:val="24"/>
        </w:rPr>
        <w:t>).</w:t>
      </w:r>
      <w:r w:rsidR="00833C86">
        <w:rPr>
          <w:color w:val="000000"/>
          <w:szCs w:val="24"/>
        </w:rPr>
        <w:t xml:space="preserve"> </w:t>
      </w:r>
      <w:r w:rsidR="00833C86" w:rsidRPr="00C628C3">
        <w:rPr>
          <w:b/>
          <w:bCs/>
          <w:color w:val="000000"/>
          <w:szCs w:val="24"/>
        </w:rPr>
        <w:t>Biudžeto derybose</w:t>
      </w:r>
      <w:r w:rsidR="00833C86">
        <w:rPr>
          <w:color w:val="000000"/>
          <w:szCs w:val="24"/>
        </w:rPr>
        <w:t xml:space="preserve"> </w:t>
      </w:r>
      <w:r w:rsidR="005D14C8">
        <w:rPr>
          <w:szCs w:val="24"/>
        </w:rPr>
        <w:t xml:space="preserve">Švietimo, mokslo ir sporto </w:t>
      </w:r>
      <w:r w:rsidR="00833C86">
        <w:rPr>
          <w:color w:val="000000"/>
          <w:szCs w:val="24"/>
        </w:rPr>
        <w:t xml:space="preserve">ministerija </w:t>
      </w:r>
      <w:r w:rsidR="005D14C8">
        <w:rPr>
          <w:color w:val="000000"/>
          <w:szCs w:val="24"/>
        </w:rPr>
        <w:t>socialinių institutų reorganizacijai</w:t>
      </w:r>
      <w:r w:rsidR="005D14C8">
        <w:rPr>
          <w:color w:val="000000"/>
          <w:szCs w:val="24"/>
        </w:rPr>
        <w:t xml:space="preserve"> </w:t>
      </w:r>
      <w:r w:rsidR="00833C86" w:rsidRPr="00C628C3">
        <w:rPr>
          <w:b/>
          <w:bCs/>
          <w:color w:val="000000"/>
          <w:szCs w:val="24"/>
        </w:rPr>
        <w:t xml:space="preserve">prašė papildomai skirti 2 000 tūkst. Eur. Lėšos nebuvo skirtos. Pati </w:t>
      </w:r>
      <w:r w:rsidR="00833C86" w:rsidRPr="00C628C3">
        <w:rPr>
          <w:b/>
          <w:bCs/>
          <w:szCs w:val="24"/>
        </w:rPr>
        <w:t>Švietimo, mokslo ir sporto ministerija</w:t>
      </w:r>
      <w:r w:rsidR="00833C86" w:rsidRPr="00C628C3">
        <w:rPr>
          <w:b/>
          <w:bCs/>
          <w:szCs w:val="24"/>
        </w:rPr>
        <w:t xml:space="preserve"> reorganizavimo procedūroms atlikti 2020 m. numato skirti 300 tūkst. Eur iš savo bendrųjų asignavimų.</w:t>
      </w:r>
    </w:p>
    <w:p w14:paraId="67ED59B0" w14:textId="3E06E0CB" w:rsidR="005D14C8" w:rsidRPr="00C641EA" w:rsidRDefault="005D14C8" w:rsidP="00C628C3">
      <w:pPr>
        <w:spacing w:line="276" w:lineRule="auto"/>
        <w:rPr>
          <w:szCs w:val="24"/>
        </w:rPr>
      </w:pPr>
      <w:r>
        <w:rPr>
          <w:szCs w:val="24"/>
        </w:rPr>
        <w:t xml:space="preserve">Numatomos tokios 9 </w:t>
      </w:r>
      <w:r w:rsidRPr="00C641EA">
        <w:rPr>
          <w:szCs w:val="24"/>
        </w:rPr>
        <w:t>Centro mokslinių tyrimų ir eksperimentinės plėtros kryptys:</w:t>
      </w:r>
    </w:p>
    <w:p w14:paraId="1796B18C" w14:textId="454A46DA" w:rsidR="005D14C8" w:rsidRPr="005D14C8" w:rsidRDefault="005D14C8" w:rsidP="00C628C3">
      <w:pPr>
        <w:pStyle w:val="ListParagraph"/>
        <w:numPr>
          <w:ilvl w:val="0"/>
          <w:numId w:val="26"/>
        </w:numPr>
        <w:spacing w:line="276" w:lineRule="auto"/>
        <w:rPr>
          <w:szCs w:val="24"/>
          <w:u w:color="000000"/>
        </w:rPr>
      </w:pPr>
      <w:r w:rsidRPr="005D14C8">
        <w:rPr>
          <w:szCs w:val="24"/>
          <w:u w:color="000000"/>
        </w:rPr>
        <w:t>Visuomenės raida ir socialinė nelygybė;</w:t>
      </w:r>
    </w:p>
    <w:p w14:paraId="0B25FDF6" w14:textId="4D8CF6EE" w:rsidR="005D14C8" w:rsidRPr="005D14C8" w:rsidRDefault="005D14C8" w:rsidP="00C628C3">
      <w:pPr>
        <w:pStyle w:val="ListParagraph"/>
        <w:numPr>
          <w:ilvl w:val="0"/>
          <w:numId w:val="26"/>
        </w:numPr>
        <w:spacing w:line="276" w:lineRule="auto"/>
        <w:rPr>
          <w:szCs w:val="24"/>
          <w:u w:color="000000"/>
        </w:rPr>
      </w:pPr>
      <w:r w:rsidRPr="005D14C8">
        <w:rPr>
          <w:szCs w:val="24"/>
          <w:u w:color="000000"/>
        </w:rPr>
        <w:t>Socialinė politika, gerovės valstybė ir darbo rinka;</w:t>
      </w:r>
    </w:p>
    <w:p w14:paraId="4B8C7F63" w14:textId="33E9EB38" w:rsidR="005D14C8" w:rsidRPr="005D14C8" w:rsidRDefault="005D14C8" w:rsidP="00C628C3">
      <w:pPr>
        <w:pStyle w:val="ListParagraph"/>
        <w:numPr>
          <w:ilvl w:val="0"/>
          <w:numId w:val="26"/>
        </w:numPr>
        <w:spacing w:line="276" w:lineRule="auto"/>
        <w:rPr>
          <w:szCs w:val="24"/>
          <w:u w:color="000000"/>
        </w:rPr>
      </w:pPr>
      <w:r w:rsidRPr="005D14C8">
        <w:rPr>
          <w:szCs w:val="24"/>
          <w:u w:color="000000"/>
        </w:rPr>
        <w:t>Demografinės struktūros ir  procesai;</w:t>
      </w:r>
    </w:p>
    <w:p w14:paraId="67FFDB92" w14:textId="2FF18642" w:rsidR="005D14C8" w:rsidRPr="005D14C8" w:rsidRDefault="005D14C8" w:rsidP="00C628C3">
      <w:pPr>
        <w:pStyle w:val="ListParagraph"/>
        <w:numPr>
          <w:ilvl w:val="0"/>
          <w:numId w:val="26"/>
        </w:numPr>
        <w:spacing w:line="276" w:lineRule="auto"/>
        <w:rPr>
          <w:szCs w:val="24"/>
          <w:u w:color="000000"/>
        </w:rPr>
      </w:pPr>
      <w:r w:rsidRPr="005D14C8">
        <w:rPr>
          <w:szCs w:val="24"/>
          <w:u w:color="000000"/>
        </w:rPr>
        <w:t>Regionų socialinė ir ekonominė raida;</w:t>
      </w:r>
    </w:p>
    <w:p w14:paraId="5D974B60" w14:textId="5FB84D51" w:rsidR="005D14C8" w:rsidRPr="005D14C8" w:rsidRDefault="005D14C8" w:rsidP="00C628C3">
      <w:pPr>
        <w:pStyle w:val="ListParagraph"/>
        <w:numPr>
          <w:ilvl w:val="0"/>
          <w:numId w:val="26"/>
        </w:numPr>
        <w:spacing w:line="276" w:lineRule="auto"/>
        <w:rPr>
          <w:szCs w:val="24"/>
          <w:u w:color="000000"/>
        </w:rPr>
      </w:pPr>
      <w:r w:rsidRPr="005D14C8">
        <w:rPr>
          <w:szCs w:val="24"/>
          <w:u w:color="000000"/>
        </w:rPr>
        <w:lastRenderedPageBreak/>
        <w:t>Teisinės sistemos darna;</w:t>
      </w:r>
    </w:p>
    <w:p w14:paraId="10338BD4" w14:textId="3C7B173C" w:rsidR="005D14C8" w:rsidRPr="005D14C8" w:rsidRDefault="005D14C8" w:rsidP="00C628C3">
      <w:pPr>
        <w:pStyle w:val="ListParagraph"/>
        <w:numPr>
          <w:ilvl w:val="0"/>
          <w:numId w:val="26"/>
        </w:numPr>
        <w:spacing w:line="276" w:lineRule="auto"/>
        <w:rPr>
          <w:szCs w:val="24"/>
          <w:u w:color="000000"/>
        </w:rPr>
      </w:pPr>
      <w:r w:rsidRPr="005D14C8">
        <w:rPr>
          <w:szCs w:val="24"/>
          <w:u w:color="000000"/>
        </w:rPr>
        <w:t>Asmens teisių įgyvendinimas ir apsauga;</w:t>
      </w:r>
    </w:p>
    <w:p w14:paraId="2487F159" w14:textId="59372778" w:rsidR="005D14C8" w:rsidRPr="005D14C8" w:rsidRDefault="005D14C8" w:rsidP="00C628C3">
      <w:pPr>
        <w:pStyle w:val="ListParagraph"/>
        <w:numPr>
          <w:ilvl w:val="0"/>
          <w:numId w:val="26"/>
        </w:numPr>
        <w:spacing w:line="276" w:lineRule="auto"/>
        <w:rPr>
          <w:szCs w:val="24"/>
          <w:u w:color="000000"/>
        </w:rPr>
      </w:pPr>
      <w:r w:rsidRPr="005D14C8">
        <w:rPr>
          <w:szCs w:val="24"/>
          <w:u w:color="000000"/>
        </w:rPr>
        <w:t>Neteisėtas elgesys ir jo kontrolės bei prevencijos priemonės;</w:t>
      </w:r>
    </w:p>
    <w:p w14:paraId="0E42B90E" w14:textId="33F21C28" w:rsidR="005D14C8" w:rsidRPr="005D14C8" w:rsidRDefault="005D14C8" w:rsidP="00C628C3">
      <w:pPr>
        <w:pStyle w:val="ListParagraph"/>
        <w:numPr>
          <w:ilvl w:val="0"/>
          <w:numId w:val="26"/>
        </w:numPr>
        <w:spacing w:line="276" w:lineRule="auto"/>
        <w:rPr>
          <w:szCs w:val="24"/>
          <w:u w:color="000000"/>
        </w:rPr>
      </w:pPr>
      <w:r w:rsidRPr="005D14C8">
        <w:rPr>
          <w:szCs w:val="24"/>
          <w:u w:color="000000"/>
        </w:rPr>
        <w:t>Apsirūpinimas maistu ir išteklių ekonomika;</w:t>
      </w:r>
    </w:p>
    <w:p w14:paraId="6C32CAAD" w14:textId="1775D395" w:rsidR="005D14C8" w:rsidRPr="005D14C8" w:rsidRDefault="005D14C8" w:rsidP="00C628C3">
      <w:pPr>
        <w:pStyle w:val="ListParagraph"/>
        <w:numPr>
          <w:ilvl w:val="0"/>
          <w:numId w:val="26"/>
        </w:numPr>
        <w:spacing w:after="120" w:line="276" w:lineRule="auto"/>
        <w:rPr>
          <w:bCs/>
          <w:szCs w:val="22"/>
        </w:rPr>
      </w:pPr>
      <w:r w:rsidRPr="005D14C8">
        <w:rPr>
          <w:szCs w:val="24"/>
          <w:u w:color="000000"/>
        </w:rPr>
        <w:t>Ekonominė ir žemės ūkio politika</w:t>
      </w:r>
      <w:r>
        <w:rPr>
          <w:szCs w:val="24"/>
        </w:rPr>
        <w:t>.</w:t>
      </w:r>
    </w:p>
    <w:p w14:paraId="1E42BA85" w14:textId="7E3E47DF" w:rsidR="005D14C8" w:rsidRPr="005D14C8" w:rsidRDefault="005D14C8" w:rsidP="00C628C3">
      <w:pPr>
        <w:spacing w:after="120" w:line="276" w:lineRule="auto"/>
        <w:rPr>
          <w:bCs/>
          <w:szCs w:val="22"/>
        </w:rPr>
      </w:pPr>
      <w:r w:rsidRPr="005D14C8">
        <w:rPr>
          <w:szCs w:val="24"/>
        </w:rPr>
        <w:t xml:space="preserve">Centro valdymo organai </w:t>
      </w:r>
      <w:r>
        <w:rPr>
          <w:szCs w:val="24"/>
        </w:rPr>
        <w:t xml:space="preserve">būtų 2: </w:t>
      </w:r>
      <w:r w:rsidRPr="005D14C8">
        <w:rPr>
          <w:szCs w:val="24"/>
        </w:rPr>
        <w:t>kolegialus valdymo organas –</w:t>
      </w:r>
      <w:r>
        <w:rPr>
          <w:szCs w:val="24"/>
        </w:rPr>
        <w:t xml:space="preserve"> </w:t>
      </w:r>
      <w:r w:rsidRPr="005D14C8">
        <w:rPr>
          <w:szCs w:val="24"/>
        </w:rPr>
        <w:t xml:space="preserve">Mokslo taryba </w:t>
      </w:r>
      <w:r>
        <w:rPr>
          <w:szCs w:val="24"/>
        </w:rPr>
        <w:t xml:space="preserve">(sudarytų 19 narių) </w:t>
      </w:r>
      <w:r w:rsidRPr="005D14C8">
        <w:rPr>
          <w:szCs w:val="24"/>
        </w:rPr>
        <w:t>ir vienasmenis valdymo organas –</w:t>
      </w:r>
      <w:r>
        <w:rPr>
          <w:szCs w:val="24"/>
        </w:rPr>
        <w:t xml:space="preserve"> </w:t>
      </w:r>
      <w:r w:rsidRPr="005D14C8">
        <w:rPr>
          <w:szCs w:val="24"/>
        </w:rPr>
        <w:t>Direktorius.</w:t>
      </w:r>
    </w:p>
    <w:p w14:paraId="7CF9D1FE" w14:textId="38C62609" w:rsidR="005D14C8" w:rsidRDefault="00163261" w:rsidP="00C628C3">
      <w:pPr>
        <w:pStyle w:val="Footer"/>
        <w:tabs>
          <w:tab w:val="clear" w:pos="4153"/>
          <w:tab w:val="clear" w:pos="8306"/>
        </w:tabs>
        <w:spacing w:after="20" w:line="276" w:lineRule="auto"/>
        <w:ind w:left="-105" w:right="2"/>
        <w:rPr>
          <w:szCs w:val="24"/>
          <w:lang w:val="lt-LT"/>
        </w:rPr>
      </w:pPr>
      <w:r w:rsidRPr="005C1738">
        <w:rPr>
          <w:b/>
          <w:bCs/>
          <w:szCs w:val="22"/>
        </w:rPr>
        <w:t>Derinimas:</w:t>
      </w:r>
      <w:r w:rsidR="008A0F28" w:rsidRPr="005C1738">
        <w:rPr>
          <w:b/>
          <w:bCs/>
          <w:szCs w:val="22"/>
        </w:rPr>
        <w:t xml:space="preserve"> </w:t>
      </w:r>
      <w:r w:rsidR="005D14C8">
        <w:rPr>
          <w:bCs/>
          <w:szCs w:val="22"/>
        </w:rPr>
        <w:t>P</w:t>
      </w:r>
      <w:r w:rsidR="00B608AC">
        <w:rPr>
          <w:bCs/>
          <w:szCs w:val="22"/>
        </w:rPr>
        <w:t xml:space="preserve">rojektas pateiktas išvadoms gauti </w:t>
      </w:r>
      <w:r w:rsidR="005D14C8">
        <w:rPr>
          <w:szCs w:val="24"/>
          <w:lang w:val="lt-LT"/>
        </w:rPr>
        <w:t>T</w:t>
      </w:r>
      <w:r w:rsidR="005D14C8" w:rsidRPr="00B936F2">
        <w:rPr>
          <w:szCs w:val="24"/>
          <w:lang w:val="lt-LT"/>
        </w:rPr>
        <w:t xml:space="preserve">eisingumo, </w:t>
      </w:r>
      <w:r w:rsidR="005D14C8">
        <w:rPr>
          <w:szCs w:val="24"/>
          <w:lang w:val="lt-LT"/>
        </w:rPr>
        <w:t>F</w:t>
      </w:r>
      <w:r w:rsidR="005D14C8" w:rsidRPr="00B936F2">
        <w:rPr>
          <w:szCs w:val="24"/>
          <w:lang w:val="lt-LT"/>
        </w:rPr>
        <w:t xml:space="preserve">inansų, </w:t>
      </w:r>
      <w:r w:rsidR="005D14C8">
        <w:rPr>
          <w:szCs w:val="24"/>
          <w:lang w:val="lt-LT"/>
        </w:rPr>
        <w:t>S</w:t>
      </w:r>
      <w:r w:rsidR="005D14C8" w:rsidRPr="00B936F2">
        <w:rPr>
          <w:szCs w:val="24"/>
          <w:lang w:val="lt-LT"/>
        </w:rPr>
        <w:t xml:space="preserve">ocialinės apsaugos ir darbo, </w:t>
      </w:r>
      <w:r w:rsidR="005D14C8">
        <w:rPr>
          <w:szCs w:val="24"/>
          <w:lang w:val="lt-LT"/>
        </w:rPr>
        <w:t>Ž</w:t>
      </w:r>
      <w:r w:rsidR="005D14C8" w:rsidRPr="00B936F2">
        <w:rPr>
          <w:szCs w:val="24"/>
          <w:lang w:val="lt-LT"/>
        </w:rPr>
        <w:t>emės ūkio ministerij</w:t>
      </w:r>
      <w:r w:rsidR="005D14C8">
        <w:rPr>
          <w:szCs w:val="24"/>
          <w:lang w:val="lt-LT"/>
        </w:rPr>
        <w:t>oms</w:t>
      </w:r>
      <w:r w:rsidR="005D14C8" w:rsidRPr="00B936F2">
        <w:rPr>
          <w:szCs w:val="24"/>
          <w:lang w:val="lt-LT"/>
        </w:rPr>
        <w:t>, Lietuvos mokslo taryba</w:t>
      </w:r>
      <w:r w:rsidR="005D14C8">
        <w:rPr>
          <w:szCs w:val="24"/>
          <w:lang w:val="lt-LT"/>
        </w:rPr>
        <w:t>i</w:t>
      </w:r>
      <w:r w:rsidR="005D14C8" w:rsidRPr="00B936F2">
        <w:rPr>
          <w:szCs w:val="24"/>
          <w:lang w:val="lt-LT"/>
        </w:rPr>
        <w:t>, Lietuvos socialinių tyrimų centru</w:t>
      </w:r>
      <w:r w:rsidR="005D14C8">
        <w:rPr>
          <w:szCs w:val="24"/>
          <w:lang w:val="lt-LT"/>
        </w:rPr>
        <w:t>i</w:t>
      </w:r>
      <w:r w:rsidR="005D14C8" w:rsidRPr="00B936F2">
        <w:rPr>
          <w:szCs w:val="24"/>
          <w:lang w:val="lt-LT"/>
        </w:rPr>
        <w:t>, Lietuvos teisės institutu</w:t>
      </w:r>
      <w:r w:rsidR="005D14C8">
        <w:rPr>
          <w:szCs w:val="24"/>
          <w:lang w:val="lt-LT"/>
        </w:rPr>
        <w:t>i</w:t>
      </w:r>
      <w:r w:rsidR="005D14C8" w:rsidRPr="00B936F2">
        <w:rPr>
          <w:szCs w:val="24"/>
          <w:lang w:val="lt-LT"/>
        </w:rPr>
        <w:t xml:space="preserve"> ir Lietuvos agrarinės ekonomikos institutu</w:t>
      </w:r>
      <w:r w:rsidR="005D14C8">
        <w:rPr>
          <w:szCs w:val="24"/>
          <w:lang w:val="lt-LT"/>
        </w:rPr>
        <w:t>i</w:t>
      </w:r>
      <w:r w:rsidR="005D14C8" w:rsidRPr="00B936F2">
        <w:rPr>
          <w:szCs w:val="24"/>
          <w:lang w:val="lt-LT"/>
        </w:rPr>
        <w:t>.</w:t>
      </w:r>
    </w:p>
    <w:p w14:paraId="24ADE89C" w14:textId="5E7609A7" w:rsidR="005D14C8" w:rsidRDefault="005D14C8" w:rsidP="00C628C3">
      <w:pPr>
        <w:pStyle w:val="Footer"/>
        <w:tabs>
          <w:tab w:val="clear" w:pos="4153"/>
          <w:tab w:val="clear" w:pos="8306"/>
        </w:tabs>
        <w:spacing w:after="20" w:line="276" w:lineRule="auto"/>
        <w:ind w:left="-105" w:right="2"/>
        <w:rPr>
          <w:szCs w:val="24"/>
          <w:lang w:val="lt-LT"/>
        </w:rPr>
      </w:pPr>
      <w:r w:rsidRPr="00B936F2">
        <w:rPr>
          <w:szCs w:val="24"/>
          <w:lang w:val="lt-LT"/>
        </w:rPr>
        <w:t>Lietuvos socialinių tyrimų centr</w:t>
      </w:r>
      <w:r w:rsidR="00C628C3">
        <w:rPr>
          <w:szCs w:val="24"/>
          <w:lang w:val="lt-LT"/>
        </w:rPr>
        <w:t>o Mokslo taryba</w:t>
      </w:r>
      <w:r>
        <w:rPr>
          <w:szCs w:val="24"/>
          <w:lang w:val="lt-LT"/>
        </w:rPr>
        <w:t xml:space="preserve"> </w:t>
      </w:r>
      <w:r w:rsidR="00C628C3">
        <w:rPr>
          <w:szCs w:val="24"/>
          <w:lang w:val="lt-LT"/>
        </w:rPr>
        <w:t xml:space="preserve">patvirtino Aprašą ir Įstatus su pastabomis. </w:t>
      </w:r>
      <w:r w:rsidR="00C628C3" w:rsidRPr="00B936F2">
        <w:rPr>
          <w:szCs w:val="24"/>
          <w:lang w:val="lt-LT"/>
        </w:rPr>
        <w:t>Lietuvos teisės institut</w:t>
      </w:r>
      <w:r w:rsidR="00C628C3">
        <w:rPr>
          <w:szCs w:val="24"/>
          <w:lang w:val="lt-LT"/>
        </w:rPr>
        <w:t xml:space="preserve">o Mokslo taryba konstatavo, kad </w:t>
      </w:r>
      <w:r w:rsidR="00C628C3">
        <w:rPr>
          <w:szCs w:val="24"/>
          <w:lang w:val="lt-LT"/>
        </w:rPr>
        <w:t>Aprašą ir Įstatus</w:t>
      </w:r>
      <w:r w:rsidR="00C628C3">
        <w:rPr>
          <w:szCs w:val="24"/>
          <w:lang w:val="lt-LT"/>
        </w:rPr>
        <w:t xml:space="preserve"> „apsvarstė ir naujų pasiūlymų nepateikė“. </w:t>
      </w:r>
      <w:r w:rsidR="00C628C3" w:rsidRPr="00B936F2">
        <w:rPr>
          <w:szCs w:val="24"/>
          <w:lang w:val="lt-LT"/>
        </w:rPr>
        <w:t>Lietuvos agrarinės ekonomikos institut</w:t>
      </w:r>
      <w:r w:rsidR="00C628C3">
        <w:rPr>
          <w:szCs w:val="24"/>
          <w:lang w:val="lt-LT"/>
        </w:rPr>
        <w:t xml:space="preserve">o mokslo taryba – </w:t>
      </w:r>
      <w:r w:rsidR="00C628C3">
        <w:rPr>
          <w:szCs w:val="24"/>
          <w:lang w:val="lt-LT"/>
        </w:rPr>
        <w:t>Apraš</w:t>
      </w:r>
      <w:r w:rsidR="00C628C3">
        <w:rPr>
          <w:szCs w:val="24"/>
          <w:lang w:val="lt-LT"/>
        </w:rPr>
        <w:t xml:space="preserve">ui </w:t>
      </w:r>
      <w:r w:rsidR="00C628C3">
        <w:rPr>
          <w:szCs w:val="24"/>
          <w:lang w:val="lt-LT"/>
        </w:rPr>
        <w:t>ir Įstat</w:t>
      </w:r>
      <w:r w:rsidR="00C628C3">
        <w:rPr>
          <w:szCs w:val="24"/>
          <w:lang w:val="lt-LT"/>
        </w:rPr>
        <w:t>ams pritarė .</w:t>
      </w:r>
    </w:p>
    <w:p w14:paraId="654DEEFF" w14:textId="11D3DBF6" w:rsidR="00163261" w:rsidRPr="005D14C8" w:rsidRDefault="005D14C8" w:rsidP="00C628C3">
      <w:pPr>
        <w:pStyle w:val="Footer"/>
        <w:tabs>
          <w:tab w:val="clear" w:pos="4153"/>
          <w:tab w:val="clear" w:pos="8306"/>
        </w:tabs>
        <w:spacing w:after="20" w:line="276" w:lineRule="auto"/>
        <w:ind w:left="-105" w:right="2"/>
        <w:rPr>
          <w:szCs w:val="24"/>
          <w:lang w:val="lt-LT"/>
        </w:rPr>
      </w:pPr>
      <w:r>
        <w:rPr>
          <w:szCs w:val="24"/>
          <w:lang w:val="lt-LT"/>
        </w:rPr>
        <w:t>Teikiama</w:t>
      </w:r>
      <w:r w:rsidRPr="00B936F2">
        <w:rPr>
          <w:szCs w:val="24"/>
          <w:lang w:val="lt-LT"/>
        </w:rPr>
        <w:t xml:space="preserve"> derinimo pažym</w:t>
      </w:r>
      <w:r>
        <w:rPr>
          <w:szCs w:val="24"/>
          <w:lang w:val="lt-LT"/>
        </w:rPr>
        <w:t>a</w:t>
      </w:r>
      <w:r w:rsidRPr="00B936F2">
        <w:rPr>
          <w:szCs w:val="24"/>
          <w:lang w:val="lt-LT"/>
        </w:rPr>
        <w:t>.</w:t>
      </w:r>
    </w:p>
    <w:p w14:paraId="654DEF00" w14:textId="77777777" w:rsidR="00695333" w:rsidRPr="005C1738" w:rsidRDefault="00695333" w:rsidP="00C628C3">
      <w:pPr>
        <w:spacing w:line="276" w:lineRule="auto"/>
        <w:rPr>
          <w:szCs w:val="22"/>
        </w:rPr>
      </w:pPr>
    </w:p>
    <w:p w14:paraId="548EA90F" w14:textId="77777777" w:rsidR="00C628C3" w:rsidRDefault="00163261" w:rsidP="00C628C3">
      <w:pPr>
        <w:spacing w:after="120" w:line="276" w:lineRule="auto"/>
        <w:rPr>
          <w:bCs/>
          <w:szCs w:val="22"/>
        </w:rPr>
      </w:pPr>
      <w:r w:rsidRPr="005C1738">
        <w:rPr>
          <w:b/>
          <w:bCs/>
          <w:szCs w:val="22"/>
        </w:rPr>
        <w:t>Dalykinio vertinimo išvada</w:t>
      </w:r>
      <w:r w:rsidRPr="005C1738">
        <w:rPr>
          <w:bCs/>
          <w:szCs w:val="22"/>
        </w:rPr>
        <w:t>:</w:t>
      </w:r>
    </w:p>
    <w:p w14:paraId="09393199" w14:textId="77777777" w:rsidR="00C628C3" w:rsidRPr="00C628C3" w:rsidRDefault="00C628C3" w:rsidP="00C628C3">
      <w:pPr>
        <w:spacing w:line="276" w:lineRule="auto"/>
        <w:rPr>
          <w:b/>
          <w:bCs/>
          <w:u w:val="single"/>
        </w:rPr>
      </w:pPr>
      <w:r w:rsidRPr="00C628C3">
        <w:rPr>
          <w:b/>
          <w:bCs/>
          <w:u w:val="single"/>
        </w:rPr>
        <w:t>ESMINĖS PASTABOS.</w:t>
      </w:r>
    </w:p>
    <w:p w14:paraId="672F9927" w14:textId="77777777" w:rsidR="00C628C3" w:rsidRDefault="00C628C3" w:rsidP="00953998">
      <w:pPr>
        <w:pStyle w:val="ListParagraph"/>
        <w:numPr>
          <w:ilvl w:val="0"/>
          <w:numId w:val="30"/>
        </w:numPr>
        <w:spacing w:after="120" w:line="276" w:lineRule="auto"/>
        <w:ind w:left="357" w:hanging="357"/>
        <w:contextualSpacing w:val="0"/>
        <w:rPr>
          <w:szCs w:val="24"/>
        </w:rPr>
      </w:pPr>
      <w:r>
        <w:t xml:space="preserve">Įvertinus pateiktus Įstatus, </w:t>
      </w:r>
      <w:r w:rsidRPr="00C628C3">
        <w:rPr>
          <w:b/>
          <w:bCs/>
        </w:rPr>
        <w:t>darytina išvada, kad institutų jungimas yra visiškai „popierinis“</w:t>
      </w:r>
      <w:r>
        <w:t xml:space="preserve">. Naujai steigiamam Centrui, kuris turėtų sutelkti socialinių mokslų potencialą viename institute, </w:t>
      </w:r>
      <w:r w:rsidRPr="00C628C3">
        <w:rPr>
          <w:b/>
          <w:bCs/>
        </w:rPr>
        <w:t>nekeliami jokie tikslai ar uždaviniai kaip homogeniškam ir vieningam dariniui.</w:t>
      </w:r>
      <w:r>
        <w:t xml:space="preserve"> Įstatuose siūloma nustatyti Centro valdysenos sistema formuojama taip, kad trys jungiami </w:t>
      </w:r>
      <w:r w:rsidRPr="00C628C3">
        <w:rPr>
          <w:b/>
          <w:bCs/>
        </w:rPr>
        <w:t>institutai iš esmės lieka atskiri, nepriklausomi patys savarankiškai formuoti tyrimų planus ir programas ir savarankiškai priimti didelę dalį sprendimų bei tvarkyti finansinius klausimus.</w:t>
      </w:r>
      <w:r>
        <w:t xml:space="preserve"> Pažymėtina, kad rengėjai net nebando Įstatų pagrindu įsteigti vieningą socialinių mokslų Centrą, vykdysiantį mokslinius tyrimus ir eksperimentinę plėtrą, nes Įstatai</w:t>
      </w:r>
      <w:r w:rsidRPr="00C628C3">
        <w:rPr>
          <w:szCs w:val="24"/>
        </w:rPr>
        <w:t xml:space="preserve"> parengti šiuo metu galiojančių trijų institutų įstatų pagrindu mechaninio kompiliavimo būdu. Nekeliami klausimai, ar dar 2010 ir 2012 metais Vyriausybės patvirtintų įstatų nuostatos nepasenusios morališkai; galbūt per tuos beveik 10 metų institutų veikloje išryškėjo naujų veiklos organizavimo elementų, kurie galėtų būti aptarti įstatuose. Mechaninis kompiliavimas atspindi rengėjų požiūrį ir lūkesčius steigiamam Centrui – nepakankamas dėmesys </w:t>
      </w:r>
      <w:proofErr w:type="spellStart"/>
      <w:r w:rsidRPr="00C628C3">
        <w:rPr>
          <w:szCs w:val="24"/>
        </w:rPr>
        <w:t>tarpdiscipliniškumui</w:t>
      </w:r>
      <w:proofErr w:type="spellEnd"/>
      <w:r w:rsidRPr="00C628C3">
        <w:rPr>
          <w:szCs w:val="24"/>
        </w:rPr>
        <w:t xml:space="preserve">, skirtingų krypčių sinergijai, bendrai Centro veiklos ir komunikacijos strategijai ir kt. </w:t>
      </w:r>
      <w:r w:rsidRPr="00C628C3">
        <w:rPr>
          <w:b/>
          <w:bCs/>
          <w:szCs w:val="24"/>
        </w:rPr>
        <w:t>Todėl kyla pagrįstas klausimas, kokių naudų</w:t>
      </w:r>
      <w:r>
        <w:rPr>
          <w:b/>
          <w:bCs/>
          <w:szCs w:val="24"/>
        </w:rPr>
        <w:t>, palyginti su esama situacija,</w:t>
      </w:r>
      <w:r w:rsidRPr="00C628C3">
        <w:rPr>
          <w:b/>
          <w:bCs/>
          <w:szCs w:val="24"/>
        </w:rPr>
        <w:t xml:space="preserve"> galima laukti ir tikėtis po tokio jungimo</w:t>
      </w:r>
      <w:r w:rsidRPr="00C628C3">
        <w:rPr>
          <w:szCs w:val="24"/>
        </w:rPr>
        <w:t xml:space="preserve"> </w:t>
      </w:r>
      <w:r w:rsidRPr="00C628C3">
        <w:rPr>
          <w:b/>
          <w:bCs/>
          <w:szCs w:val="24"/>
        </w:rPr>
        <w:t>(nes Įstatų turinys prieštarauja tam, kas išdėstyta teikime)</w:t>
      </w:r>
      <w:r w:rsidRPr="00C628C3">
        <w:rPr>
          <w:szCs w:val="24"/>
        </w:rPr>
        <w:t>?</w:t>
      </w:r>
    </w:p>
    <w:p w14:paraId="3E2E61AF" w14:textId="77777777" w:rsidR="00C628C3" w:rsidRDefault="00C628C3" w:rsidP="00953998">
      <w:pPr>
        <w:pStyle w:val="ListParagraph"/>
        <w:numPr>
          <w:ilvl w:val="0"/>
          <w:numId w:val="30"/>
        </w:numPr>
        <w:spacing w:after="120" w:line="276" w:lineRule="auto"/>
        <w:ind w:left="357" w:hanging="357"/>
        <w:contextualSpacing w:val="0"/>
        <w:rPr>
          <w:szCs w:val="24"/>
        </w:rPr>
      </w:pPr>
      <w:r w:rsidRPr="00C628C3">
        <w:rPr>
          <w:szCs w:val="24"/>
        </w:rPr>
        <w:t xml:space="preserve">Reikia pripažinti, kad </w:t>
      </w:r>
      <w:r w:rsidRPr="00C628C3">
        <w:rPr>
          <w:b/>
          <w:bCs/>
          <w:szCs w:val="24"/>
        </w:rPr>
        <w:t>esama valstybinių mokslinių tyrimų institutų finansavimo sistema ne visiems institutams sudaro prielaidas gauti minimalius jų poreikius užtikrinantį finansavimą</w:t>
      </w:r>
      <w:r w:rsidRPr="00C628C3">
        <w:rPr>
          <w:szCs w:val="24"/>
        </w:rPr>
        <w:t xml:space="preserve">. Valstybinių mokslinių tyrimų institutų </w:t>
      </w:r>
      <w:r w:rsidRPr="00C628C3">
        <w:rPr>
          <w:b/>
          <w:bCs/>
          <w:szCs w:val="24"/>
        </w:rPr>
        <w:t>finansavimas tiesiogiai priklauso nuo veiklos, priskirtinos mokslui</w:t>
      </w:r>
      <w:r w:rsidRPr="00C628C3">
        <w:rPr>
          <w:szCs w:val="24"/>
        </w:rPr>
        <w:t xml:space="preserve">, kuri vertinama pagal atitinkamus švietimo, mokslo ir sporto ministro nustatytus moksliškumo kriterijus, dalies. Tuo tarpu </w:t>
      </w:r>
      <w:r w:rsidRPr="00C628C3">
        <w:rPr>
          <w:b/>
          <w:bCs/>
          <w:szCs w:val="24"/>
        </w:rPr>
        <w:t>galimas valstybės poreikis tyrimams, kurį galėtų patenkinti valstybiniai moksliniai tyrimų institutai, galimai tik nedidele dalimi atitiktų nustatytus moksliškumo kriterijus</w:t>
      </w:r>
      <w:r w:rsidRPr="00C628C3">
        <w:rPr>
          <w:szCs w:val="24"/>
        </w:rPr>
        <w:t xml:space="preserve">, tačiau tam tikri tyrimai ir jų rezultatai yra labai reikšmingi tiek valstybei, tiek visuomenei, tiek lietuvių tautai. </w:t>
      </w:r>
      <w:r w:rsidRPr="00C628C3">
        <w:rPr>
          <w:b/>
          <w:bCs/>
          <w:szCs w:val="24"/>
        </w:rPr>
        <w:t>Tai ypač aktualu humanitarinių ir socialinių mokslų krypties institutams</w:t>
      </w:r>
      <w:r w:rsidRPr="00C628C3">
        <w:rPr>
          <w:szCs w:val="24"/>
        </w:rPr>
        <w:t xml:space="preserve">. Svarbu pažymėti ir tai, kad netgi trijų socialinių mokslų krypties </w:t>
      </w:r>
      <w:r w:rsidRPr="00C628C3">
        <w:rPr>
          <w:b/>
          <w:bCs/>
          <w:szCs w:val="24"/>
        </w:rPr>
        <w:t>institutų sujungimas į vieną Centrą, ilgalaikėje perspektyvoje nesprendžia tų finansinių problemų, su kuriomis susiduriama dabar</w:t>
      </w:r>
      <w:r w:rsidRPr="00C628C3">
        <w:rPr>
          <w:szCs w:val="24"/>
        </w:rPr>
        <w:t xml:space="preserve">. Todėl </w:t>
      </w:r>
      <w:r w:rsidRPr="00C628C3">
        <w:rPr>
          <w:b/>
          <w:bCs/>
          <w:szCs w:val="24"/>
        </w:rPr>
        <w:t>siūlome Švietimo, mokslo ir sporto ministerijai kaip mokslo politikos formuotojai sistemiškai įvertinti valstybinių mokslinių tyrimų institutų finansavimo sistemą ir pagalvoti apie alternatyvas ją tobulinti</w:t>
      </w:r>
      <w:r w:rsidRPr="00C628C3">
        <w:rPr>
          <w:szCs w:val="24"/>
        </w:rPr>
        <w:t>.</w:t>
      </w:r>
      <w:r>
        <w:rPr>
          <w:szCs w:val="24"/>
        </w:rPr>
        <w:t xml:space="preserve"> </w:t>
      </w:r>
    </w:p>
    <w:p w14:paraId="076F7793" w14:textId="11A33B80" w:rsidR="00C628C3" w:rsidRPr="00C628C3" w:rsidRDefault="00C628C3" w:rsidP="00C628C3">
      <w:pPr>
        <w:pStyle w:val="ListParagraph"/>
        <w:numPr>
          <w:ilvl w:val="0"/>
          <w:numId w:val="30"/>
        </w:numPr>
        <w:spacing w:line="276" w:lineRule="auto"/>
        <w:rPr>
          <w:szCs w:val="24"/>
        </w:rPr>
      </w:pPr>
      <w:r w:rsidRPr="00953998">
        <w:rPr>
          <w:b/>
          <w:bCs/>
          <w:szCs w:val="24"/>
        </w:rPr>
        <w:lastRenderedPageBreak/>
        <w:t>Įvertinus rengėjų pateiktą papildomą medžiagą dėl institutų reorganizacijai ir tyrimų kokybei gerinti reikalingų lėšų 2020-2022 metais poreikio</w:t>
      </w:r>
      <w:r w:rsidRPr="00C628C3">
        <w:rPr>
          <w:szCs w:val="24"/>
        </w:rPr>
        <w:t>:</w:t>
      </w:r>
    </w:p>
    <w:p w14:paraId="5A4AED7C" w14:textId="12C61EA8" w:rsidR="00C628C3" w:rsidRDefault="00953998" w:rsidP="00953998">
      <w:pPr>
        <w:pStyle w:val="ListParagraph"/>
        <w:numPr>
          <w:ilvl w:val="0"/>
          <w:numId w:val="32"/>
        </w:numPr>
        <w:spacing w:after="160" w:line="276" w:lineRule="auto"/>
        <w:rPr>
          <w:szCs w:val="24"/>
        </w:rPr>
      </w:pPr>
      <w:r>
        <w:rPr>
          <w:szCs w:val="24"/>
        </w:rPr>
        <w:t>k</w:t>
      </w:r>
      <w:r w:rsidR="00C628C3">
        <w:rPr>
          <w:szCs w:val="24"/>
        </w:rPr>
        <w:t>odėl lėšų poreikis 2021-2022 metais, kuomet jau bus įsteigtas Centras, skaičiuojamas ne Centrui, bet vis tiek 3 institutams atskirai;</w:t>
      </w:r>
    </w:p>
    <w:p w14:paraId="078598E6" w14:textId="54CDA4FC" w:rsidR="00C628C3" w:rsidRDefault="00953998" w:rsidP="00953998">
      <w:pPr>
        <w:pStyle w:val="ListParagraph"/>
        <w:numPr>
          <w:ilvl w:val="0"/>
          <w:numId w:val="32"/>
        </w:numPr>
        <w:spacing w:after="160" w:line="276" w:lineRule="auto"/>
        <w:rPr>
          <w:szCs w:val="24"/>
        </w:rPr>
      </w:pPr>
      <w:r>
        <w:rPr>
          <w:szCs w:val="24"/>
        </w:rPr>
        <w:t>n</w:t>
      </w:r>
      <w:r w:rsidR="00C628C3">
        <w:rPr>
          <w:szCs w:val="24"/>
        </w:rPr>
        <w:t xml:space="preserve">ežinia, kaip yra įvertintas lėšų poreikis išeitinėms kompensacijoms, nes patys rengėjai, teikdami informaciją apie žmogiškuosius išteklius mini, kad „tikėtina, kad &lt;...&gt; </w:t>
      </w:r>
      <w:r w:rsidR="00C628C3" w:rsidRPr="00953998">
        <w:rPr>
          <w:szCs w:val="24"/>
          <w:u w:val="single"/>
        </w:rPr>
        <w:t>bus galima</w:t>
      </w:r>
      <w:r w:rsidR="00C628C3">
        <w:rPr>
          <w:szCs w:val="24"/>
        </w:rPr>
        <w:t xml:space="preserve"> optimizuoti“. I</w:t>
      </w:r>
      <w:r w:rsidR="00C628C3" w:rsidRPr="000523E7">
        <w:rPr>
          <w:szCs w:val="24"/>
        </w:rPr>
        <w:t>nstitutų administracinio ir ūkinio personalo funkcijų analiz</w:t>
      </w:r>
      <w:r w:rsidR="00C628C3">
        <w:rPr>
          <w:szCs w:val="24"/>
        </w:rPr>
        <w:t>ė dar nėra atlikt</w:t>
      </w:r>
      <w:r>
        <w:rPr>
          <w:szCs w:val="24"/>
        </w:rPr>
        <w:t>a</w:t>
      </w:r>
      <w:r w:rsidR="00C628C3">
        <w:rPr>
          <w:szCs w:val="24"/>
        </w:rPr>
        <w:t>, taigi</w:t>
      </w:r>
      <w:r>
        <w:rPr>
          <w:szCs w:val="24"/>
        </w:rPr>
        <w:t>,</w:t>
      </w:r>
      <w:r w:rsidR="00C628C3">
        <w:rPr>
          <w:szCs w:val="24"/>
        </w:rPr>
        <w:t xml:space="preserve"> kuo remiantis apskaičiuotas poreikis išeitinėms</w:t>
      </w:r>
      <w:r>
        <w:rPr>
          <w:szCs w:val="24"/>
        </w:rPr>
        <w:t xml:space="preserve"> kompensacijoms</w:t>
      </w:r>
      <w:r w:rsidR="00C628C3">
        <w:rPr>
          <w:szCs w:val="24"/>
        </w:rPr>
        <w:t>?</w:t>
      </w:r>
    </w:p>
    <w:p w14:paraId="2B4763C8" w14:textId="42D51A75" w:rsidR="00C628C3" w:rsidRDefault="00953998" w:rsidP="00953998">
      <w:pPr>
        <w:pStyle w:val="ListParagraph"/>
        <w:numPr>
          <w:ilvl w:val="0"/>
          <w:numId w:val="32"/>
        </w:numPr>
        <w:spacing w:after="160" w:line="276" w:lineRule="auto"/>
        <w:rPr>
          <w:szCs w:val="24"/>
        </w:rPr>
      </w:pPr>
      <w:r>
        <w:rPr>
          <w:szCs w:val="24"/>
        </w:rPr>
        <w:t>p</w:t>
      </w:r>
      <w:r w:rsidR="00C628C3">
        <w:rPr>
          <w:szCs w:val="24"/>
        </w:rPr>
        <w:t>rašoma lėšų naujos svetainės sukūrimui 3 institutuose – ar tai reiškia, kad Centras turės 3 skirtingas svetaines? Kiekvienas filialas turės savo svetainę? O ar svetainę turės Centras?</w:t>
      </w:r>
    </w:p>
    <w:p w14:paraId="6CCBBA48" w14:textId="2A305148" w:rsidR="00C628C3" w:rsidRDefault="00953998" w:rsidP="00953998">
      <w:pPr>
        <w:pStyle w:val="ListParagraph"/>
        <w:numPr>
          <w:ilvl w:val="0"/>
          <w:numId w:val="32"/>
        </w:numPr>
        <w:spacing w:after="160" w:line="276" w:lineRule="auto"/>
        <w:rPr>
          <w:szCs w:val="24"/>
        </w:rPr>
      </w:pPr>
      <w:r>
        <w:rPr>
          <w:szCs w:val="24"/>
        </w:rPr>
        <w:t>a</w:t>
      </w:r>
      <w:r w:rsidR="00C628C3">
        <w:rPr>
          <w:szCs w:val="24"/>
        </w:rPr>
        <w:t>r ketinama įsigyti 3 anglakalbius redaktorius, nors įstaiga bus viena?</w:t>
      </w:r>
    </w:p>
    <w:p w14:paraId="5EB6590F" w14:textId="182FEFBE" w:rsidR="00C628C3" w:rsidRDefault="00953998" w:rsidP="00953998">
      <w:pPr>
        <w:pStyle w:val="ListParagraph"/>
        <w:numPr>
          <w:ilvl w:val="0"/>
          <w:numId w:val="32"/>
        </w:numPr>
        <w:spacing w:line="276" w:lineRule="auto"/>
        <w:ind w:left="714" w:hanging="357"/>
        <w:contextualSpacing w:val="0"/>
        <w:rPr>
          <w:szCs w:val="24"/>
        </w:rPr>
      </w:pPr>
      <w:r w:rsidRPr="00953998">
        <w:rPr>
          <w:b/>
          <w:bCs/>
          <w:szCs w:val="24"/>
        </w:rPr>
        <w:t>a</w:t>
      </w:r>
      <w:r w:rsidR="00C628C3" w:rsidRPr="00953998">
        <w:rPr>
          <w:b/>
          <w:bCs/>
          <w:szCs w:val="24"/>
        </w:rPr>
        <w:t>r rengėjai ieškojo ir svarstė galimybes tyrimų kokybei padidinti reikalingas veiklas finansuoti Ateities ekonomikos DNR plano lėšomis</w:t>
      </w:r>
      <w:r w:rsidR="00C628C3">
        <w:rPr>
          <w:szCs w:val="24"/>
        </w:rPr>
        <w:t xml:space="preserve">? Pritariame, kad reikalinga didinti lėšas tyrimų (mokslo) kokybei kelti ir tarptautiškumui didinti, bet reikia turėti matymą, kaip tai daryti. Antra, reikia </w:t>
      </w:r>
      <w:proofErr w:type="spellStart"/>
      <w:r w:rsidR="00C628C3">
        <w:rPr>
          <w:szCs w:val="24"/>
        </w:rPr>
        <w:t>proaktyviai</w:t>
      </w:r>
      <w:proofErr w:type="spellEnd"/>
      <w:r w:rsidR="00C628C3">
        <w:rPr>
          <w:szCs w:val="24"/>
        </w:rPr>
        <w:t xml:space="preserve"> ieškoti visų įmanomų galimybių pritraukti įvairių finansavimo </w:t>
      </w:r>
      <w:r>
        <w:rPr>
          <w:szCs w:val="24"/>
        </w:rPr>
        <w:t>šaltini</w:t>
      </w:r>
      <w:r>
        <w:rPr>
          <w:szCs w:val="24"/>
        </w:rPr>
        <w:t xml:space="preserve">ų </w:t>
      </w:r>
      <w:r w:rsidR="00C628C3">
        <w:rPr>
          <w:szCs w:val="24"/>
        </w:rPr>
        <w:t>lėš</w:t>
      </w:r>
      <w:r>
        <w:rPr>
          <w:szCs w:val="24"/>
        </w:rPr>
        <w:t>as</w:t>
      </w:r>
      <w:r w:rsidR="00C628C3">
        <w:rPr>
          <w:szCs w:val="24"/>
        </w:rPr>
        <w:t>.</w:t>
      </w:r>
    </w:p>
    <w:p w14:paraId="3E0835D7" w14:textId="77777777" w:rsidR="00953998" w:rsidRPr="00953998" w:rsidRDefault="00C628C3" w:rsidP="00953998">
      <w:pPr>
        <w:spacing w:after="120" w:line="276" w:lineRule="auto"/>
        <w:ind w:left="357"/>
        <w:rPr>
          <w:b/>
          <w:bCs/>
          <w:szCs w:val="24"/>
        </w:rPr>
      </w:pPr>
      <w:r w:rsidRPr="00953998">
        <w:rPr>
          <w:b/>
          <w:bCs/>
          <w:szCs w:val="24"/>
        </w:rPr>
        <w:t xml:space="preserve">IŠVADA: prašomų lėšų poreikis yra visiškai nepagrįstas (skaičiaus pateikimas nėra analizė ir pagrindimas), neapmąstytas ir visiškai konceptualiai nedera su tikslu sujungti tris socialinių mokslų krypties institutus į vieną Centrą ir sustiprinti jo pozicijas visomis prasmėmis. </w:t>
      </w:r>
    </w:p>
    <w:p w14:paraId="15BFA9CB" w14:textId="5585ED23" w:rsidR="00C628C3" w:rsidRDefault="00C628C3" w:rsidP="00953998">
      <w:pPr>
        <w:pStyle w:val="ListParagraph"/>
        <w:numPr>
          <w:ilvl w:val="0"/>
          <w:numId w:val="31"/>
        </w:numPr>
        <w:spacing w:after="120" w:line="276" w:lineRule="auto"/>
        <w:ind w:left="357" w:hanging="357"/>
        <w:contextualSpacing w:val="0"/>
        <w:rPr>
          <w:szCs w:val="24"/>
        </w:rPr>
      </w:pPr>
      <w:r w:rsidRPr="00953998">
        <w:rPr>
          <w:b/>
          <w:bCs/>
          <w:szCs w:val="24"/>
        </w:rPr>
        <w:t>Valstybės institucijos nepakankamai išnaudoja valstybinių mokslinių tyrimų institutų teikiamas galimybes</w:t>
      </w:r>
      <w:r w:rsidRPr="00953998">
        <w:rPr>
          <w:szCs w:val="24"/>
        </w:rPr>
        <w:t xml:space="preserve">. Ši situacija susiklostė per ilgą laiką, nesant tinkamo paklausos ir pasiūlos balanso – valstybės institucijos nežino, ko iš valstybinių mokslinių tyrimų institutų būtų galima prašyti, tuo tarpu patys institutai – nėra suinteresuoti sukurti reguliarias bendradarbiavimo platformas su valstybės institucijomis. </w:t>
      </w:r>
      <w:r w:rsidRPr="00953998">
        <w:rPr>
          <w:b/>
          <w:bCs/>
          <w:szCs w:val="24"/>
        </w:rPr>
        <w:t>Šis klausimas taip pat vertas atskiro sisteminio įvertinimo ir sprendimų situacijai pakeisti</w:t>
      </w:r>
      <w:r w:rsidRPr="00953998">
        <w:rPr>
          <w:szCs w:val="24"/>
        </w:rPr>
        <w:t>, nes, kitu atveju, mūsų šalies rodikliai dėl valdžios ir mokslo sektorių bendradarbiavimo negerės; nebus išnaudojamas institutų turimas potencialas prisidėti prie tvarios ir moksliškai, įrodymais pagrįstos atskirų valstybės veiklos sričių plėtros; nebus sukurtos prielaidos šiame kontekste padidinti viešųjų išlaidų efektyvumą.</w:t>
      </w:r>
    </w:p>
    <w:p w14:paraId="0DE73BE6" w14:textId="740348D1" w:rsidR="00953998" w:rsidRPr="00953998" w:rsidRDefault="00953998" w:rsidP="00953998">
      <w:pPr>
        <w:spacing w:line="276" w:lineRule="auto"/>
        <w:rPr>
          <w:b/>
          <w:bCs/>
          <w:szCs w:val="24"/>
          <w:u w:val="single"/>
        </w:rPr>
      </w:pPr>
      <w:r w:rsidRPr="00953998">
        <w:rPr>
          <w:b/>
          <w:bCs/>
          <w:szCs w:val="24"/>
          <w:u w:val="single"/>
        </w:rPr>
        <w:t>KITOS PASTABOS:</w:t>
      </w:r>
    </w:p>
    <w:p w14:paraId="74E18A5D" w14:textId="77777777" w:rsidR="00C628C3" w:rsidRPr="00D335DB" w:rsidRDefault="00C628C3" w:rsidP="00C628C3">
      <w:pPr>
        <w:pStyle w:val="ListParagraph"/>
        <w:numPr>
          <w:ilvl w:val="0"/>
          <w:numId w:val="27"/>
        </w:numPr>
        <w:spacing w:after="160" w:line="276" w:lineRule="auto"/>
        <w:rPr>
          <w:szCs w:val="24"/>
        </w:rPr>
      </w:pPr>
      <w:r w:rsidRPr="00D335DB">
        <w:rPr>
          <w:szCs w:val="24"/>
        </w:rPr>
        <w:t xml:space="preserve">Teikime ar lydimojoje medžiagoje nėra plačiau pristatytas ir aptartas trijų institutų jungimas numatomos Centro struktūros ir valdymo aspektais, todėl kyla klausimų dėl Įstatų 10.2, 29-30, 44-45 punktuose minimų 3 filialų – </w:t>
      </w:r>
      <w:r w:rsidRPr="00D335DB">
        <w:rPr>
          <w:color w:val="000000"/>
          <w:szCs w:val="24"/>
        </w:rPr>
        <w:t>Ekonomikos ir kaimo vystymo</w:t>
      </w:r>
      <w:r w:rsidRPr="00D335DB">
        <w:rPr>
          <w:szCs w:val="28"/>
        </w:rPr>
        <w:t xml:space="preserve"> institutas, Sociologijos</w:t>
      </w:r>
      <w:r w:rsidRPr="00D335DB">
        <w:rPr>
          <w:color w:val="000000"/>
          <w:szCs w:val="24"/>
        </w:rPr>
        <w:t xml:space="preserve"> institutas ir Teisės institutas</w:t>
      </w:r>
      <w:r w:rsidRPr="00D335DB">
        <w:rPr>
          <w:szCs w:val="24"/>
        </w:rPr>
        <w:t xml:space="preserve"> – ir su jais susijusių nuostatų:</w:t>
      </w:r>
    </w:p>
    <w:p w14:paraId="0B8605C7" w14:textId="77777777" w:rsidR="00C628C3" w:rsidRPr="00D335DB" w:rsidRDefault="00C628C3" w:rsidP="00953998">
      <w:pPr>
        <w:pStyle w:val="ListParagraph"/>
        <w:numPr>
          <w:ilvl w:val="0"/>
          <w:numId w:val="33"/>
        </w:numPr>
        <w:spacing w:after="160" w:line="276" w:lineRule="auto"/>
        <w:rPr>
          <w:szCs w:val="24"/>
        </w:rPr>
      </w:pPr>
      <w:r w:rsidRPr="00D335DB">
        <w:rPr>
          <w:szCs w:val="24"/>
        </w:rPr>
        <w:t xml:space="preserve">tiek Mokslo ir studijų įstatymo 13 str. 1 d. 1 punkte, tiek Įstatų 10.1 punkte numatyta, kad Centras, </w:t>
      </w:r>
      <w:r w:rsidRPr="00D335DB">
        <w:rPr>
          <w:szCs w:val="28"/>
        </w:rPr>
        <w:t>vadovaudamasis įstatymais ir kitais teisės aktais, turi teisę nusistatyti struktūrą, todėl kyla klausimas, kokiu tikslu 10.2 punkte papildomai nustatoma teisė „&lt;...“ steigti filialus, konsultavimo ir mokymo centrus, asociacijas ir kitus padalinius“</w:t>
      </w:r>
      <w:r w:rsidRPr="00D335DB">
        <w:rPr>
          <w:szCs w:val="24"/>
        </w:rPr>
        <w:t>. Ar (galimi) minimi dariniai nebus Centro struktūroje ir tuomet kaip jie bus valdomi?</w:t>
      </w:r>
    </w:p>
    <w:p w14:paraId="2F985DAA" w14:textId="77777777" w:rsidR="00C628C3" w:rsidRPr="00D335DB" w:rsidRDefault="00C628C3" w:rsidP="00953998">
      <w:pPr>
        <w:pStyle w:val="ListParagraph"/>
        <w:numPr>
          <w:ilvl w:val="0"/>
          <w:numId w:val="33"/>
        </w:numPr>
        <w:spacing w:after="160" w:line="276" w:lineRule="auto"/>
        <w:rPr>
          <w:szCs w:val="24"/>
        </w:rPr>
      </w:pPr>
      <w:r w:rsidRPr="00D335DB">
        <w:rPr>
          <w:szCs w:val="24"/>
        </w:rPr>
        <w:t>Įstatų 44 punkte teigiama, kad „</w:t>
      </w:r>
      <w:r w:rsidRPr="00D335DB">
        <w:rPr>
          <w:szCs w:val="28"/>
        </w:rPr>
        <w:t xml:space="preserve">Centras ir Centro filialai turi atskiras sąskaitas savo veiklai bei mokslinių tyrimų ir kitų </w:t>
      </w:r>
      <w:r w:rsidRPr="00D335DB">
        <w:rPr>
          <w:rFonts w:eastAsia="Arial"/>
          <w:szCs w:val="28"/>
        </w:rPr>
        <w:t>mokslinių tyrimų ir eksperimentinės plėtros</w:t>
      </w:r>
      <w:r w:rsidRPr="00D335DB">
        <w:rPr>
          <w:szCs w:val="28"/>
        </w:rPr>
        <w:t xml:space="preserve"> darbams atlikti bei įplaukoms gauti“. Kokiu tikslu numatomos atskiros sąskaitos? Pažymėtina, kad atskirų sąskaitų turėjimas atspindi didelį nepriklausomumą nustatant veiklos prioritetus, todėl kyla bendras klausimas, kaip apskritai bus siekiama ir valdoma, kad nuosekliai daugėtų</w:t>
      </w:r>
      <w:r w:rsidRPr="00D335DB">
        <w:rPr>
          <w:szCs w:val="24"/>
        </w:rPr>
        <w:t xml:space="preserve"> </w:t>
      </w:r>
      <w:proofErr w:type="spellStart"/>
      <w:r w:rsidRPr="00D335DB">
        <w:rPr>
          <w:szCs w:val="24"/>
        </w:rPr>
        <w:t>tarpkryptinių</w:t>
      </w:r>
      <w:proofErr w:type="spellEnd"/>
      <w:r w:rsidRPr="00D335DB">
        <w:rPr>
          <w:szCs w:val="24"/>
        </w:rPr>
        <w:t xml:space="preserve"> tyrimų, Centro mokslininkai dirbtų prie bendrų projektų, Centras Lietuvoje ir tarptautinėje bendruomenėje būtų atstovaujamas kaip galintis užtikrinti visų 7 punkte įvardijamų mokslinių tyrimų ir eksperimentinės plėtros krypčių sinergiją?</w:t>
      </w:r>
    </w:p>
    <w:p w14:paraId="034E0958" w14:textId="77777777" w:rsidR="00C628C3" w:rsidRPr="00D335DB" w:rsidRDefault="00C628C3" w:rsidP="00C628C3">
      <w:pPr>
        <w:pStyle w:val="ListParagraph"/>
        <w:numPr>
          <w:ilvl w:val="0"/>
          <w:numId w:val="27"/>
        </w:numPr>
        <w:spacing w:after="160" w:line="276" w:lineRule="auto"/>
        <w:rPr>
          <w:szCs w:val="24"/>
        </w:rPr>
      </w:pPr>
      <w:r w:rsidRPr="00D335DB">
        <w:rPr>
          <w:szCs w:val="24"/>
        </w:rPr>
        <w:lastRenderedPageBreak/>
        <w:t>Įstatų 1 punkte nurodoma, kad „</w:t>
      </w:r>
      <w:r w:rsidRPr="00D335DB">
        <w:rPr>
          <w:szCs w:val="28"/>
        </w:rPr>
        <w:t xml:space="preserve">Centras – viešasis juridinis asmuo, vykdantis valstybei, visuomenei, </w:t>
      </w:r>
      <w:r w:rsidRPr="00953998">
        <w:rPr>
          <w:szCs w:val="28"/>
          <w:u w:val="single"/>
        </w:rPr>
        <w:t xml:space="preserve">tarptautiniam bendradarbiavimui </w:t>
      </w:r>
      <w:r w:rsidRPr="00D335DB">
        <w:rPr>
          <w:szCs w:val="28"/>
        </w:rPr>
        <w:t>ar ūkio subjektams svarbius ilgalaikius Centro įstatuose nustatytų krypčių mokslinius tyrimus ir eksperimentinę</w:t>
      </w:r>
      <w:r w:rsidRPr="00D335DB">
        <w:rPr>
          <w:szCs w:val="24"/>
        </w:rPr>
        <w:t xml:space="preserve"> plėtrą.“ Pažymėtina, kad tarptautinis bendradarbiavimas nėra subjektas, kuris vykdo veiklą ir jam gali reikėti mokslinių tyrimų. Manytume, kad aptariamą nuostatą būtų tikslinga suderinti su Mokslo ir studijų įstatymo 12 str. 2 dalimi.</w:t>
      </w:r>
    </w:p>
    <w:p w14:paraId="63C92C7D" w14:textId="77777777" w:rsidR="00C628C3" w:rsidRDefault="00C628C3" w:rsidP="00C628C3">
      <w:pPr>
        <w:pStyle w:val="ListParagraph"/>
        <w:numPr>
          <w:ilvl w:val="0"/>
          <w:numId w:val="27"/>
        </w:numPr>
        <w:spacing w:after="160" w:line="276" w:lineRule="auto"/>
        <w:rPr>
          <w:szCs w:val="24"/>
        </w:rPr>
      </w:pPr>
      <w:r w:rsidRPr="00D335DB">
        <w:rPr>
          <w:szCs w:val="24"/>
        </w:rPr>
        <w:t>Siūlome iš esmės peržiūrėti Įstatų 6 punkte dėstomus Centro veiklos tikslus. Pažymėtina, kad tikslai turėtų būti formuluojami ne kaip funkcijos (pvz., vykdyti mokymus ir pan.). Antra, tikslų nereikėtų painioti su pareigomis, pvz., Oficialiosios statistikos programoje patvirtintų statistinių tyrimų vykdymas yra pareiga, kuri aptarta ir Mokslo ir studijų įstatymo 13 str. 2 d., kuri nustato institutų pareigas, 3 dalyje „</w:t>
      </w:r>
      <w:r w:rsidRPr="00D335DB">
        <w:rPr>
          <w:color w:val="000000"/>
          <w:szCs w:val="24"/>
        </w:rPr>
        <w:t>laiku teikti Vyriausybės įgaliotoms institucijoms oficialią informaciją (statistinius duomenis ir dalykinę informaciją) &lt;...&gt;“ bei nurodoma ir Įstatų 11.1 punkte.</w:t>
      </w:r>
      <w:r w:rsidRPr="00D335DB">
        <w:rPr>
          <w:szCs w:val="24"/>
        </w:rPr>
        <w:t xml:space="preserve"> </w:t>
      </w:r>
    </w:p>
    <w:p w14:paraId="37BCA81B" w14:textId="77777777" w:rsidR="00C628C3" w:rsidRPr="00D335DB" w:rsidRDefault="00C628C3" w:rsidP="00C628C3">
      <w:pPr>
        <w:pStyle w:val="ListParagraph"/>
        <w:numPr>
          <w:ilvl w:val="0"/>
          <w:numId w:val="27"/>
        </w:numPr>
        <w:spacing w:after="160" w:line="276" w:lineRule="auto"/>
        <w:rPr>
          <w:szCs w:val="24"/>
        </w:rPr>
      </w:pPr>
      <w:r w:rsidRPr="00D335DB">
        <w:rPr>
          <w:szCs w:val="24"/>
        </w:rPr>
        <w:t xml:space="preserve">Siūlome iš esmės peržiūrėti Įstatų </w:t>
      </w:r>
      <w:r>
        <w:rPr>
          <w:szCs w:val="24"/>
        </w:rPr>
        <w:t>7</w:t>
      </w:r>
      <w:r w:rsidRPr="00D335DB">
        <w:rPr>
          <w:szCs w:val="24"/>
        </w:rPr>
        <w:t xml:space="preserve"> punkte </w:t>
      </w:r>
      <w:r>
        <w:rPr>
          <w:szCs w:val="24"/>
        </w:rPr>
        <w:t xml:space="preserve">įvardijamas </w:t>
      </w:r>
      <w:r w:rsidRPr="00C641EA">
        <w:rPr>
          <w:szCs w:val="24"/>
        </w:rPr>
        <w:t>Centro mokslinių tyrimų ir eksperimentinės plėtros krypt</w:t>
      </w:r>
      <w:r>
        <w:rPr>
          <w:szCs w:val="24"/>
        </w:rPr>
        <w:t xml:space="preserve">is. Manytume, kad turėtų būti formuluojama dalis konceptualiai naujų krypčių, siekiant užtikrinti </w:t>
      </w:r>
      <w:proofErr w:type="spellStart"/>
      <w:r>
        <w:rPr>
          <w:szCs w:val="24"/>
        </w:rPr>
        <w:t>tarpkryptinius</w:t>
      </w:r>
      <w:proofErr w:type="spellEnd"/>
      <w:r>
        <w:rPr>
          <w:szCs w:val="24"/>
        </w:rPr>
        <w:t xml:space="preserve"> tyrimus, </w:t>
      </w:r>
      <w:proofErr w:type="spellStart"/>
      <w:r>
        <w:rPr>
          <w:szCs w:val="24"/>
        </w:rPr>
        <w:t>tarpdiscipliniškumą</w:t>
      </w:r>
      <w:proofErr w:type="spellEnd"/>
      <w:r>
        <w:rPr>
          <w:szCs w:val="24"/>
        </w:rPr>
        <w:t>. Nepritariame mechaniniam dabartinių krypčių perkopijavimui.</w:t>
      </w:r>
    </w:p>
    <w:p w14:paraId="5B89E57B" w14:textId="77777777" w:rsidR="00C628C3" w:rsidRPr="00D335DB" w:rsidRDefault="00C628C3" w:rsidP="00C628C3">
      <w:pPr>
        <w:pStyle w:val="ListParagraph"/>
        <w:numPr>
          <w:ilvl w:val="0"/>
          <w:numId w:val="27"/>
        </w:numPr>
        <w:spacing w:after="160" w:line="276" w:lineRule="auto"/>
        <w:rPr>
          <w:szCs w:val="24"/>
        </w:rPr>
      </w:pPr>
      <w:r w:rsidRPr="00D335DB">
        <w:rPr>
          <w:szCs w:val="24"/>
        </w:rPr>
        <w:t xml:space="preserve">Socialinių inovacijų kūrimas, plėtojimas, skatinimas, dalyvavimas jas įgyvendinant, turėtų būti horizontali Centro veiklos kryptis. Ar nesusiaurinamas socialinių inovacijų traktavimas Centro veikloje tik iki socialinių inovacijų kaimo raidoje vystymo, kai 7.10 punkte išskiriama tokia Centro mokslinių tyrimų ir eksperimentinės plėtros kryptis – „Kaimo raida ir socialinės inovacijos“, tuo tarpu, socialinių inovacijų reikia ir kitose 7 punkte vardijamose kryptyse. Ar netikslinga būtų išskirti atskirą ir savarankišką Centro mokslinių tyrimų ir eksperimentinės plėtros kryptį „Socialinės inovacijos“. </w:t>
      </w:r>
    </w:p>
    <w:p w14:paraId="54357912" w14:textId="77777777" w:rsidR="00C628C3" w:rsidRPr="00D335DB" w:rsidRDefault="00C628C3" w:rsidP="00C628C3">
      <w:pPr>
        <w:pStyle w:val="ListParagraph"/>
        <w:numPr>
          <w:ilvl w:val="0"/>
          <w:numId w:val="27"/>
        </w:numPr>
        <w:spacing w:after="160" w:line="276" w:lineRule="auto"/>
        <w:rPr>
          <w:szCs w:val="24"/>
        </w:rPr>
      </w:pPr>
      <w:r w:rsidRPr="00D335DB">
        <w:rPr>
          <w:szCs w:val="24"/>
        </w:rPr>
        <w:t xml:space="preserve">Prašytume papildyti teikimą ir paaiškinti, kodėl pasirinkta, kad Mokslo tarybą sudaro būtent 19 narių ir kokiomis dalimis 15 Tarybos narių pasiskirstys šioms atstovaujamųjų grupėms – 1) Centro mokslo darbuotojai; 2) </w:t>
      </w:r>
      <w:r w:rsidRPr="00D335DB">
        <w:rPr>
          <w:szCs w:val="28"/>
        </w:rPr>
        <w:t>administracijos darbuotojai; 3) kitų įstaigų, įmonių ir organizacijų, suinteresuotų Centro tikslų ir misijos įgyvendinimu atstovai.</w:t>
      </w:r>
    </w:p>
    <w:p w14:paraId="22729C21" w14:textId="77777777" w:rsidR="00C628C3" w:rsidRPr="00D335DB" w:rsidRDefault="00C628C3" w:rsidP="00C628C3">
      <w:pPr>
        <w:pStyle w:val="ListParagraph"/>
        <w:numPr>
          <w:ilvl w:val="0"/>
          <w:numId w:val="27"/>
        </w:numPr>
        <w:spacing w:after="160" w:line="276" w:lineRule="auto"/>
        <w:rPr>
          <w:szCs w:val="24"/>
        </w:rPr>
      </w:pPr>
      <w:r w:rsidRPr="00D335DB">
        <w:rPr>
          <w:szCs w:val="24"/>
        </w:rPr>
        <w:t>Įstatų 15.7 punkte Mokslo tarybai numatyta funkcija tvirtinti Centro filialų ir kitų padalinių nuostatus. Tikėtina, kad Centras savo struktūroje turės padalinių, kurie nebus susiję su moksline veikla ir eksperimentine plėtra, todėl visų padalinių nuostatų tvirtinimas yra nelogiškas. Antra, Mokslo taryba, kaip ir suponuoja jos pavadinimas turėtų fokusuotis į klausimus, susijusius su moksline veikla. Todėl, manytina, kad racionalu būtų apsiriboti, kad Mokslo taryba Direktoriaus teikimu galėtų svarstyti atskirų padalinių, susijusių su moksline veikla, nuostatus ir prireikus pateikti siūlymus Centro direktoriui dėl jų tobulinimo.</w:t>
      </w:r>
      <w:r>
        <w:rPr>
          <w:szCs w:val="24"/>
        </w:rPr>
        <w:t xml:space="preserve"> Atitinkamai, neatrodo racionalu, Mokslo tarybai numatyti funkciją tvirtinti Direktorato, kuris sudaromas einamiesiems Centro veiklos klausimams spręsti, nuostatus</w:t>
      </w:r>
    </w:p>
    <w:p w14:paraId="21DC69BE" w14:textId="77777777" w:rsidR="00C628C3" w:rsidRPr="00D335DB" w:rsidRDefault="00C628C3" w:rsidP="00C628C3">
      <w:pPr>
        <w:pStyle w:val="ListParagraph"/>
        <w:numPr>
          <w:ilvl w:val="0"/>
          <w:numId w:val="27"/>
        </w:numPr>
        <w:spacing w:after="160" w:line="276" w:lineRule="auto"/>
        <w:rPr>
          <w:szCs w:val="24"/>
        </w:rPr>
      </w:pPr>
      <w:r w:rsidRPr="00D335DB">
        <w:rPr>
          <w:szCs w:val="24"/>
        </w:rPr>
        <w:t>Reikėtų suderinti 17.2 ir 17.5 punktų nuostatas dėl Mokslo tarybos rinkimo. 17.2 punkte nurodoma, kad Centro direktorius sudaro Mokslo tarybos rinkimų komisiją. Tuo tarpu 17.5 punkte teigiama, kad „</w:t>
      </w:r>
      <w:r w:rsidRPr="00D335DB">
        <w:rPr>
          <w:szCs w:val="28"/>
        </w:rPr>
        <w:t xml:space="preserve">Mokslo tarybos narius renka Centro mokslo darbuotojai slaptu balsavimu“, todėl tampa nebeaišku, kas turėtų rinkti Mokslo tarybos narius. Rinkimų komisijos mandatas Įstatuose nėra apibrėžtas. 17.5 punkto kontekste svarbu pažymėti ir tai, kad formuojama nekorektiška situacija, kai tie patys Centro mokslo darbuotojai gali kandidatuoti į Mokslo tarybos narius (17.3 punktas) ir rinkti Mokslo tarybos narius. Juo labiau, kad nenustatomos kvotos, kiek Mokslo tarybos narių būtų renkama iš </w:t>
      </w:r>
      <w:r w:rsidRPr="00D335DB">
        <w:rPr>
          <w:szCs w:val="24"/>
        </w:rPr>
        <w:t xml:space="preserve">Centro mokslo darbuotojų, kiek iš </w:t>
      </w:r>
      <w:r w:rsidRPr="00D335DB">
        <w:rPr>
          <w:szCs w:val="28"/>
        </w:rPr>
        <w:t>administracijos darbuotojų, ir kiek iš kitų įstaigų, įmonių ir organizacijų, suinteresuotų Centro tikslų ir misijos įgyvendinimu atstovų.</w:t>
      </w:r>
    </w:p>
    <w:p w14:paraId="1FD16A01" w14:textId="77777777" w:rsidR="00C628C3" w:rsidRPr="00D335DB" w:rsidRDefault="00C628C3" w:rsidP="00C628C3">
      <w:pPr>
        <w:pStyle w:val="ListParagraph"/>
        <w:numPr>
          <w:ilvl w:val="0"/>
          <w:numId w:val="27"/>
        </w:numPr>
        <w:spacing w:after="160" w:line="276" w:lineRule="auto"/>
        <w:rPr>
          <w:szCs w:val="24"/>
        </w:rPr>
      </w:pPr>
      <w:r w:rsidRPr="00D335DB">
        <w:rPr>
          <w:szCs w:val="24"/>
        </w:rPr>
        <w:lastRenderedPageBreak/>
        <w:t xml:space="preserve">Mokslo ir studijų įstatymo 32 str. 2 dalyje nustatoma, kad </w:t>
      </w:r>
      <w:r w:rsidRPr="00D335DB">
        <w:rPr>
          <w:szCs w:val="28"/>
        </w:rPr>
        <w:t>Mokslo taryba sudaroma ir iš administracijos darbuotojų, tačiau jiems nekeliami jokie reikalavimai turėti mokslo laipsnį, kaip tai bandoma nustatyti Įstatų 17.3 punkte. Diskutuotina, ar toks reikalavimas yra korektiškas, atsižvelgiant į tai, kad jis labai apribos Centro administracijos darbuotojų galimybes kandidatuoti į Mokslo tarybos narius. Siūlytume jo atsisakyti.</w:t>
      </w:r>
    </w:p>
    <w:p w14:paraId="3FDC62E2" w14:textId="77777777" w:rsidR="00C628C3" w:rsidRPr="00D335DB" w:rsidRDefault="00C628C3" w:rsidP="00C628C3">
      <w:pPr>
        <w:pStyle w:val="ListParagraph"/>
        <w:numPr>
          <w:ilvl w:val="0"/>
          <w:numId w:val="27"/>
        </w:numPr>
        <w:spacing w:after="160" w:line="276" w:lineRule="auto"/>
        <w:rPr>
          <w:szCs w:val="24"/>
        </w:rPr>
      </w:pPr>
      <w:r w:rsidRPr="00D335DB">
        <w:rPr>
          <w:szCs w:val="28"/>
        </w:rPr>
        <w:t>Siūlytume peržiūrėti Įstatų 18 punktą – Mokslo tarybos pirmininkui išrinkti reikia, kad posėdyje dalyvautų 2/3 Mokslo tarybos narių, tuo tarpu, galima suprasti, kad Mokslo tarybos pirmininko pavaduotojui išrinkti pakaks paprastos posėdyje dalyvavusių narių balsų daugumos. Tai reikštų, kad Mokslo tarybos pirmininko pavaduotoją, kuris, nesant Mokslo tarybos pirmininko, vykdys jo funkcijas, išrinkti gali ir, pavyzdžiui, 3 nariai iš viso posėdyje dalyvaujant 5 nariams. Manytina, kad Mokslo tarybos pirmininko pavaduotojo kandidatūra turėtų turėti tokį patį palaikymą ir pritarimą kaip ir Pirmininko pozicija.</w:t>
      </w:r>
    </w:p>
    <w:p w14:paraId="04CA4CA0" w14:textId="77777777" w:rsidR="00C628C3" w:rsidRPr="00D335DB" w:rsidRDefault="00C628C3" w:rsidP="00C628C3">
      <w:pPr>
        <w:pStyle w:val="ListParagraph"/>
        <w:numPr>
          <w:ilvl w:val="0"/>
          <w:numId w:val="27"/>
        </w:numPr>
        <w:spacing w:after="160" w:line="276" w:lineRule="auto"/>
        <w:rPr>
          <w:szCs w:val="24"/>
        </w:rPr>
      </w:pPr>
      <w:r w:rsidRPr="00D335DB">
        <w:rPr>
          <w:szCs w:val="28"/>
        </w:rPr>
        <w:t>Pažymėtina, kad niekur Įstatuose nėra nustatytas Mokslo tarybos narių kvorumas</w:t>
      </w:r>
      <w:r>
        <w:rPr>
          <w:szCs w:val="28"/>
        </w:rPr>
        <w:t>, kuris būtų reikalingas</w:t>
      </w:r>
      <w:r w:rsidRPr="00D335DB">
        <w:rPr>
          <w:szCs w:val="28"/>
        </w:rPr>
        <w:t xml:space="preserve"> priimti </w:t>
      </w:r>
      <w:proofErr w:type="spellStart"/>
      <w:r w:rsidRPr="00D335DB">
        <w:rPr>
          <w:szCs w:val="28"/>
        </w:rPr>
        <w:t>legitimius</w:t>
      </w:r>
      <w:proofErr w:type="spellEnd"/>
      <w:r w:rsidRPr="00D335DB">
        <w:rPr>
          <w:szCs w:val="28"/>
        </w:rPr>
        <w:t xml:space="preserve"> sprendimus. Atsižvelgiant į tai, kad Mokslo tarybos narių skaičius šiuo metu numatomas pakankamai didelis (19 narių), nesant nuostatų </w:t>
      </w:r>
      <w:r>
        <w:rPr>
          <w:szCs w:val="28"/>
        </w:rPr>
        <w:t xml:space="preserve">dėl </w:t>
      </w:r>
      <w:r w:rsidRPr="00D335DB">
        <w:rPr>
          <w:szCs w:val="28"/>
        </w:rPr>
        <w:t>kvorum</w:t>
      </w:r>
      <w:r>
        <w:rPr>
          <w:szCs w:val="28"/>
        </w:rPr>
        <w:t>o</w:t>
      </w:r>
      <w:r w:rsidRPr="00D335DB">
        <w:rPr>
          <w:szCs w:val="28"/>
        </w:rPr>
        <w:t>, gali susidaryti situacija, kai sprendimai bus priimti vos kelių narių balsavimo pagrindu.</w:t>
      </w:r>
    </w:p>
    <w:p w14:paraId="5FEA4567" w14:textId="77777777" w:rsidR="00C628C3" w:rsidRPr="00062C46" w:rsidRDefault="00C628C3" w:rsidP="00C628C3">
      <w:pPr>
        <w:pStyle w:val="ListParagraph"/>
        <w:numPr>
          <w:ilvl w:val="0"/>
          <w:numId w:val="27"/>
        </w:numPr>
        <w:spacing w:after="160" w:line="276" w:lineRule="auto"/>
        <w:rPr>
          <w:szCs w:val="24"/>
        </w:rPr>
      </w:pPr>
      <w:r>
        <w:rPr>
          <w:szCs w:val="24"/>
        </w:rPr>
        <w:t>Siūlome atsisakyti Įstatų 28 punkto, kuriame numatoma, kad „</w:t>
      </w:r>
      <w:r w:rsidRPr="004E7C16">
        <w:rPr>
          <w:szCs w:val="24"/>
        </w:rPr>
        <w:t>Dalį savo teisių ir pareigų Centro direktorius (jeigu tai nepriklauso Centro direktoriaus išimtinei kompetencijai) teisės aktų nustatyta tvarka gali perduoti filialų vadovams ar kitiems darbuotojams</w:t>
      </w:r>
      <w:r>
        <w:rPr>
          <w:szCs w:val="24"/>
        </w:rPr>
        <w:t>“. Manytina, kad neturėtų būti formuojama tokia praktika, kad Centro direktorius atsisakytų ir nevykdytų savo kaip vadovo pareigų. Kita vertus, tokios nuostatos numatymas suponuoja, kad rengėjai negalvoja apie stipraus ir kompetentingo vadovo pritraukimą į šią poziciją ir tai tik patvirtina įspūdį, kad institutų jungimas yra „popierinis“.</w:t>
      </w:r>
    </w:p>
    <w:p w14:paraId="397571DC" w14:textId="77777777" w:rsidR="00C628C3" w:rsidRPr="00D45250" w:rsidRDefault="00C628C3" w:rsidP="00C628C3">
      <w:pPr>
        <w:pStyle w:val="ListParagraph"/>
        <w:numPr>
          <w:ilvl w:val="0"/>
          <w:numId w:val="27"/>
        </w:numPr>
        <w:spacing w:after="160" w:line="276" w:lineRule="auto"/>
        <w:rPr>
          <w:szCs w:val="24"/>
          <w:lang w:eastAsia="en-US"/>
        </w:rPr>
      </w:pPr>
      <w:r>
        <w:rPr>
          <w:szCs w:val="24"/>
        </w:rPr>
        <w:t>Įstatų 33.9 papunktyje išskirta Centro personalo teisė „</w:t>
      </w:r>
      <w:r w:rsidRPr="00C641EA">
        <w:rPr>
          <w:szCs w:val="24"/>
          <w:lang w:eastAsia="pl-PL"/>
        </w:rPr>
        <w:t>dalyvauti rengiant bei tobulinant Lietuvos Respublikos socialinės raidos politikos priemones</w:t>
      </w:r>
      <w:r>
        <w:rPr>
          <w:szCs w:val="24"/>
          <w:lang w:eastAsia="pl-PL"/>
        </w:rPr>
        <w:t>“ išsiskiria iš kitų numatomų teisių, nes labai specifiškai apibrėžia viena konkretų sektorių / kryptį. Tai nėra nuoseklu. Siūlome tokią teisę numatyti bendrai (kad apimtų ir kitus sektorius / kryptis) arba šio papunkčio atsisakyti.</w:t>
      </w:r>
    </w:p>
    <w:p w14:paraId="699DDEE9" w14:textId="77777777" w:rsidR="00C628C3" w:rsidRPr="00D335DB" w:rsidRDefault="00C628C3" w:rsidP="00C628C3">
      <w:pPr>
        <w:pStyle w:val="ListParagraph"/>
        <w:numPr>
          <w:ilvl w:val="0"/>
          <w:numId w:val="27"/>
        </w:numPr>
        <w:spacing w:after="160" w:line="276" w:lineRule="auto"/>
        <w:rPr>
          <w:szCs w:val="24"/>
        </w:rPr>
      </w:pPr>
      <w:r>
        <w:rPr>
          <w:szCs w:val="24"/>
          <w:lang w:eastAsia="pl-PL"/>
        </w:rPr>
        <w:t>Mokslo tarybos funkcijos yra dėstomos Įstatų 15 punkte, todėl 39-40 punktai turėtų būti atitinkamai integruoti į 15 punktą.</w:t>
      </w:r>
    </w:p>
    <w:p w14:paraId="687D7040" w14:textId="77777777" w:rsidR="00C628C3" w:rsidRPr="00D335DB" w:rsidRDefault="00C628C3" w:rsidP="00C628C3">
      <w:pPr>
        <w:rPr>
          <w:szCs w:val="24"/>
        </w:rPr>
      </w:pPr>
    </w:p>
    <w:p w14:paraId="0A0C0ECE" w14:textId="76E44D52" w:rsidR="00F06FA6" w:rsidRDefault="00953998" w:rsidP="00B608AC">
      <w:pPr>
        <w:spacing w:after="120"/>
        <w:rPr>
          <w:szCs w:val="22"/>
        </w:rPr>
      </w:pPr>
      <w:r>
        <w:rPr>
          <w:szCs w:val="22"/>
        </w:rPr>
        <w:t>S</w:t>
      </w:r>
      <w:r w:rsidR="007B73D7">
        <w:rPr>
          <w:szCs w:val="22"/>
        </w:rPr>
        <w:t xml:space="preserve">iūlome </w:t>
      </w:r>
      <w:r w:rsidR="00B608AC">
        <w:rPr>
          <w:szCs w:val="22"/>
        </w:rPr>
        <w:t xml:space="preserve">Nutarimo </w:t>
      </w:r>
      <w:r w:rsidR="007B73D7">
        <w:rPr>
          <w:szCs w:val="22"/>
        </w:rPr>
        <w:t>projekt</w:t>
      </w:r>
      <w:r w:rsidR="00B608AC">
        <w:rPr>
          <w:szCs w:val="22"/>
        </w:rPr>
        <w:t>ą</w:t>
      </w:r>
      <w:r w:rsidR="007B73D7">
        <w:rPr>
          <w:szCs w:val="22"/>
        </w:rPr>
        <w:t xml:space="preserve"> svarstyti tarpinstituciniame pasitarime.</w:t>
      </w:r>
    </w:p>
    <w:p w14:paraId="2B88AC34" w14:textId="2DD504BE" w:rsidR="00F06FA6" w:rsidRDefault="00F06FA6" w:rsidP="00F35193">
      <w:pPr>
        <w:spacing w:line="360" w:lineRule="auto"/>
        <w:rPr>
          <w:szCs w:val="22"/>
        </w:rPr>
      </w:pPr>
    </w:p>
    <w:p w14:paraId="6023AEE2" w14:textId="77777777" w:rsidR="0049116E" w:rsidRDefault="0049116E" w:rsidP="00F35193">
      <w:pPr>
        <w:spacing w:line="360" w:lineRule="auto"/>
        <w:rPr>
          <w:szCs w:val="22"/>
        </w:rPr>
      </w:pPr>
    </w:p>
    <w:p w14:paraId="654DEF07" w14:textId="31EF0419" w:rsidR="00121647" w:rsidRDefault="0049116E" w:rsidP="00F35193">
      <w:pPr>
        <w:spacing w:line="360" w:lineRule="auto"/>
        <w:rPr>
          <w:szCs w:val="22"/>
        </w:rPr>
      </w:pPr>
      <w:r>
        <w:rPr>
          <w:szCs w:val="22"/>
        </w:rPr>
        <w:t xml:space="preserve">Strateginių kompetencijų grupės </w:t>
      </w:r>
      <w:r w:rsidR="00B608AC">
        <w:rPr>
          <w:szCs w:val="22"/>
        </w:rPr>
        <w:t>vadovė</w:t>
      </w:r>
      <w:r>
        <w:rPr>
          <w:szCs w:val="22"/>
        </w:rPr>
        <w:tab/>
      </w:r>
      <w:r>
        <w:rPr>
          <w:szCs w:val="22"/>
        </w:rPr>
        <w:tab/>
      </w:r>
      <w:r>
        <w:rPr>
          <w:szCs w:val="22"/>
        </w:rPr>
        <w:tab/>
      </w:r>
      <w:r>
        <w:rPr>
          <w:szCs w:val="22"/>
        </w:rPr>
        <w:tab/>
      </w:r>
      <w:r w:rsidR="00BB246E">
        <w:rPr>
          <w:szCs w:val="22"/>
        </w:rPr>
        <w:t>Daiva Žaromskytė-</w:t>
      </w:r>
      <w:proofErr w:type="spellStart"/>
      <w:r w:rsidR="00BB246E">
        <w:rPr>
          <w:szCs w:val="22"/>
        </w:rPr>
        <w:t>Rastenė</w:t>
      </w:r>
      <w:proofErr w:type="spellEnd"/>
    </w:p>
    <w:p w14:paraId="6A430380" w14:textId="2F773488" w:rsidR="00F06FA6" w:rsidRDefault="00F06FA6" w:rsidP="00F35193">
      <w:pPr>
        <w:spacing w:line="360" w:lineRule="auto"/>
        <w:rPr>
          <w:szCs w:val="22"/>
        </w:rPr>
      </w:pPr>
    </w:p>
    <w:p w14:paraId="0B27150F" w14:textId="755F9725" w:rsidR="00953998" w:rsidRDefault="00953998" w:rsidP="00F35193">
      <w:pPr>
        <w:spacing w:line="360" w:lineRule="auto"/>
        <w:rPr>
          <w:szCs w:val="22"/>
        </w:rPr>
      </w:pPr>
    </w:p>
    <w:p w14:paraId="6F365735" w14:textId="12BC7455" w:rsidR="00953998" w:rsidRDefault="00953998" w:rsidP="00F35193">
      <w:pPr>
        <w:spacing w:line="360" w:lineRule="auto"/>
        <w:rPr>
          <w:szCs w:val="22"/>
        </w:rPr>
      </w:pPr>
    </w:p>
    <w:p w14:paraId="62C79FE4" w14:textId="1F4DE4D1" w:rsidR="00953998" w:rsidRDefault="00953998" w:rsidP="00F35193">
      <w:pPr>
        <w:spacing w:line="360" w:lineRule="auto"/>
        <w:rPr>
          <w:szCs w:val="22"/>
        </w:rPr>
      </w:pPr>
    </w:p>
    <w:p w14:paraId="0A4FEA7D" w14:textId="77777777" w:rsidR="00953998" w:rsidRDefault="00953998" w:rsidP="00F35193">
      <w:pPr>
        <w:spacing w:line="360" w:lineRule="auto"/>
        <w:rPr>
          <w:szCs w:val="22"/>
        </w:rPr>
      </w:pPr>
      <w:bookmarkStart w:id="0" w:name="_GoBack"/>
      <w:bookmarkEnd w:id="0"/>
    </w:p>
    <w:p w14:paraId="73D37901" w14:textId="12D5FE46" w:rsidR="00F63285" w:rsidRPr="005C1738" w:rsidRDefault="00953998" w:rsidP="00F35193">
      <w:pPr>
        <w:spacing w:line="360" w:lineRule="auto"/>
        <w:rPr>
          <w:szCs w:val="22"/>
        </w:rPr>
      </w:pPr>
      <w:sdt>
        <w:sdtPr>
          <w:rPr>
            <w:sz w:val="22"/>
            <w:szCs w:val="22"/>
          </w:rPr>
          <w:tag w:val="rengejoNuoroda"/>
          <w:id w:val="668683481"/>
          <w:placeholder>
            <w:docPart w:val="70CB5BF8A7D94101BDB0D6C6625B00F4"/>
          </w:placeholder>
        </w:sdtPr>
        <w:sdtEndPr/>
        <w:sdtContent>
          <w:r>
            <w:t>Daiva Žaromskytė-Rastenė</w:t>
          </w:r>
        </w:sdtContent>
      </w:sdt>
      <w:r w:rsidR="00F63285" w:rsidRPr="004823B1">
        <w:rPr>
          <w:sz w:val="22"/>
          <w:szCs w:val="22"/>
        </w:rPr>
        <w:t xml:space="preserve">, tel. </w:t>
      </w:r>
      <w:sdt>
        <w:sdtPr>
          <w:rPr>
            <w:sz w:val="22"/>
            <w:szCs w:val="22"/>
          </w:rPr>
          <w:tag w:val="rengejoNuorodaTel"/>
          <w:id w:val="1793550689"/>
          <w:placeholder>
            <w:docPart w:val="226FE2A575F14E65A57B2817D9F4E1B5"/>
          </w:placeholder>
          <w:showingPlcHdr/>
        </w:sdtPr>
        <w:sdtEndPr/>
        <w:sdtContent>
          <w:r>
            <w:t>870663776</w:t>
          </w:r>
        </w:sdtContent>
      </w:sdt>
      <w:r w:rsidR="00F63285" w:rsidRPr="004823B1">
        <w:rPr>
          <w:sz w:val="22"/>
          <w:szCs w:val="22"/>
        </w:rPr>
        <w:t xml:space="preserve">, el. p. </w:t>
      </w:r>
      <w:sdt>
        <w:sdtPr>
          <w:rPr>
            <w:sz w:val="22"/>
            <w:szCs w:val="22"/>
          </w:rPr>
          <w:tag w:val="rengejoNuorodaEmail"/>
          <w:id w:val="-99482106"/>
          <w:placeholder>
            <w:docPart w:val="226FE2A575F14E65A57B2817D9F4E1B5"/>
          </w:placeholder>
          <w:showingPlcHdr/>
        </w:sdtPr>
        <w:sdtEndPr/>
        <w:sdtContent>
          <w:r>
            <w:t>daiva.zaromskyte@lrv.lt</w:t>
          </w:r>
        </w:sdtContent>
      </w:sdt>
    </w:p>
    <w:sectPr w:rsidR="00F63285" w:rsidRPr="005C1738" w:rsidSect="0049116E">
      <w:headerReference w:type="default" r:id="rId11"/>
      <w:footnotePr>
        <w:pos w:val="beneathText"/>
      </w:footnotePr>
      <w:pgSz w:w="11907" w:h="16840" w:code="9"/>
      <w:pgMar w:top="1134" w:right="851" w:bottom="567"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DEF0A" w14:textId="77777777" w:rsidR="00431C97" w:rsidRDefault="00431C97">
      <w:r>
        <w:separator/>
      </w:r>
    </w:p>
  </w:endnote>
  <w:endnote w:type="continuationSeparator" w:id="0">
    <w:p w14:paraId="654DEF0B" w14:textId="77777777" w:rsidR="00431C97" w:rsidRDefault="0043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Ubuntu-Light">
    <w:altName w:val="Yu Gothic UI"/>
    <w:panose1 w:val="00000000000000000000"/>
    <w:charset w:val="80"/>
    <w:family w:val="auto"/>
    <w:notTrueType/>
    <w:pitch w:val="default"/>
    <w:sig w:usb0="00000000" w:usb1="08070000" w:usb2="00000010" w:usb3="00000000" w:csb0="00020000" w:csb1="00000000"/>
  </w:font>
  <w:font w:name="Ubuntu-Bold">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DEF08" w14:textId="77777777" w:rsidR="00431C97" w:rsidRDefault="00431C97">
      <w:r>
        <w:separator/>
      </w:r>
    </w:p>
  </w:footnote>
  <w:footnote w:type="continuationSeparator" w:id="0">
    <w:p w14:paraId="654DEF09" w14:textId="77777777" w:rsidR="00431C97" w:rsidRDefault="0043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EF0C" w14:textId="77777777" w:rsidR="00431C97" w:rsidRPr="00913597" w:rsidRDefault="00431C97"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39C"/>
    <w:multiLevelType w:val="hybridMultilevel"/>
    <w:tmpl w:val="85044BE8"/>
    <w:lvl w:ilvl="0" w:tplc="77F2DE88">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7AD1D72"/>
    <w:multiLevelType w:val="hybridMultilevel"/>
    <w:tmpl w:val="89C6135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500580"/>
    <w:multiLevelType w:val="hybridMultilevel"/>
    <w:tmpl w:val="568EE33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 w15:restartNumberingAfterBreak="0">
    <w:nsid w:val="0C722A98"/>
    <w:multiLevelType w:val="hybridMultilevel"/>
    <w:tmpl w:val="A9CEB588"/>
    <w:lvl w:ilvl="0" w:tplc="8938B650">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DD96C64"/>
    <w:multiLevelType w:val="hybridMultilevel"/>
    <w:tmpl w:val="DBB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1715A4"/>
    <w:multiLevelType w:val="hybridMultilevel"/>
    <w:tmpl w:val="C1EABED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C3F5C2B"/>
    <w:multiLevelType w:val="hybridMultilevel"/>
    <w:tmpl w:val="0ADE3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F7783"/>
    <w:multiLevelType w:val="multilevel"/>
    <w:tmpl w:val="6484B1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1ED34A67"/>
    <w:multiLevelType w:val="hybridMultilevel"/>
    <w:tmpl w:val="0896A0D4"/>
    <w:lvl w:ilvl="0" w:tplc="CB88BD5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443BFF"/>
    <w:multiLevelType w:val="hybridMultilevel"/>
    <w:tmpl w:val="78C6BD1A"/>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2D459E3"/>
    <w:multiLevelType w:val="hybridMultilevel"/>
    <w:tmpl w:val="DCA0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ED1394"/>
    <w:multiLevelType w:val="hybridMultilevel"/>
    <w:tmpl w:val="4AA4059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A7752B3"/>
    <w:multiLevelType w:val="hybridMultilevel"/>
    <w:tmpl w:val="634E0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5A4F50"/>
    <w:multiLevelType w:val="hybridMultilevel"/>
    <w:tmpl w:val="0114962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DE7363"/>
    <w:multiLevelType w:val="hybridMultilevel"/>
    <w:tmpl w:val="3C4ED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B80F0F"/>
    <w:multiLevelType w:val="hybridMultilevel"/>
    <w:tmpl w:val="A63E1E9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085669D"/>
    <w:multiLevelType w:val="hybridMultilevel"/>
    <w:tmpl w:val="187833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B233C0"/>
    <w:multiLevelType w:val="hybridMultilevel"/>
    <w:tmpl w:val="08D6773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1410B51"/>
    <w:multiLevelType w:val="hybridMultilevel"/>
    <w:tmpl w:val="3774EC4E"/>
    <w:lvl w:ilvl="0" w:tplc="04270005">
      <w:start w:val="1"/>
      <w:numFmt w:val="bullet"/>
      <w:lvlText w:val=""/>
      <w:lvlJc w:val="left"/>
      <w:pPr>
        <w:ind w:left="785" w:hanging="360"/>
      </w:pPr>
      <w:rPr>
        <w:rFonts w:ascii="Wingdings" w:hAnsi="Wingdings"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9" w15:restartNumberingAfterBreak="0">
    <w:nsid w:val="42FC07F2"/>
    <w:multiLevelType w:val="hybridMultilevel"/>
    <w:tmpl w:val="66C02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AA720A"/>
    <w:multiLevelType w:val="hybridMultilevel"/>
    <w:tmpl w:val="7862D990"/>
    <w:lvl w:ilvl="0" w:tplc="31B69D2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FD0155"/>
    <w:multiLevelType w:val="hybridMultilevel"/>
    <w:tmpl w:val="71DA4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8730FB"/>
    <w:multiLevelType w:val="hybridMultilevel"/>
    <w:tmpl w:val="AD2635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1D17D90"/>
    <w:multiLevelType w:val="multilevel"/>
    <w:tmpl w:val="ACC8016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ED564BE"/>
    <w:multiLevelType w:val="hybridMultilevel"/>
    <w:tmpl w:val="13E6BC2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3376FF6"/>
    <w:multiLevelType w:val="hybridMultilevel"/>
    <w:tmpl w:val="1638B24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4FA082A"/>
    <w:multiLevelType w:val="hybridMultilevel"/>
    <w:tmpl w:val="B360180E"/>
    <w:lvl w:ilvl="0" w:tplc="2398F3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6F6FD0"/>
    <w:multiLevelType w:val="hybridMultilevel"/>
    <w:tmpl w:val="41360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586780"/>
    <w:multiLevelType w:val="multilevel"/>
    <w:tmpl w:val="FE6E4F8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9" w15:restartNumberingAfterBreak="0">
    <w:nsid w:val="77A367AE"/>
    <w:multiLevelType w:val="multilevel"/>
    <w:tmpl w:val="8A264FF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88847DD"/>
    <w:multiLevelType w:val="hybridMultilevel"/>
    <w:tmpl w:val="1DA0006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9ED5737"/>
    <w:multiLevelType w:val="hybridMultilevel"/>
    <w:tmpl w:val="8586FB64"/>
    <w:lvl w:ilvl="0" w:tplc="119269D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E1C4B0F"/>
    <w:multiLevelType w:val="hybridMultilevel"/>
    <w:tmpl w:val="4F8632FA"/>
    <w:lvl w:ilvl="0" w:tplc="FD289728">
      <w:start w:val="2018"/>
      <w:numFmt w:val="decimal"/>
      <w:lvlText w:val="%1"/>
      <w:lvlJc w:val="left"/>
      <w:pPr>
        <w:ind w:left="480" w:hanging="48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27"/>
  </w:num>
  <w:num w:numId="4">
    <w:abstractNumId w:val="20"/>
  </w:num>
  <w:num w:numId="5">
    <w:abstractNumId w:val="12"/>
  </w:num>
  <w:num w:numId="6">
    <w:abstractNumId w:val="22"/>
  </w:num>
  <w:num w:numId="7">
    <w:abstractNumId w:val="16"/>
  </w:num>
  <w:num w:numId="8">
    <w:abstractNumId w:val="8"/>
  </w:num>
  <w:num w:numId="9">
    <w:abstractNumId w:val="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2"/>
  </w:num>
  <w:num w:numId="13">
    <w:abstractNumId w:val="9"/>
  </w:num>
  <w:num w:numId="14">
    <w:abstractNumId w:val="18"/>
  </w:num>
  <w:num w:numId="15">
    <w:abstractNumId w:val="17"/>
  </w:num>
  <w:num w:numId="16">
    <w:abstractNumId w:val="24"/>
  </w:num>
  <w:num w:numId="17">
    <w:abstractNumId w:val="14"/>
  </w:num>
  <w:num w:numId="18">
    <w:abstractNumId w:val="7"/>
  </w:num>
  <w:num w:numId="19">
    <w:abstractNumId w:val="21"/>
  </w:num>
  <w:num w:numId="20">
    <w:abstractNumId w:val="4"/>
  </w:num>
  <w:num w:numId="21">
    <w:abstractNumId w:val="10"/>
  </w:num>
  <w:num w:numId="22">
    <w:abstractNumId w:val="25"/>
  </w:num>
  <w:num w:numId="23">
    <w:abstractNumId w:val="30"/>
  </w:num>
  <w:num w:numId="24">
    <w:abstractNumId w:val="29"/>
  </w:num>
  <w:num w:numId="25">
    <w:abstractNumId w:val="23"/>
  </w:num>
  <w:num w:numId="26">
    <w:abstractNumId w:val="13"/>
  </w:num>
  <w:num w:numId="27">
    <w:abstractNumId w:val="19"/>
  </w:num>
  <w:num w:numId="28">
    <w:abstractNumId w:val="3"/>
  </w:num>
  <w:num w:numId="29">
    <w:abstractNumId w:val="31"/>
  </w:num>
  <w:num w:numId="30">
    <w:abstractNumId w:val="5"/>
  </w:num>
  <w:num w:numId="31">
    <w:abstractNumId w:val="11"/>
  </w:num>
  <w:num w:numId="32">
    <w:abstractNumId w:val="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6C00"/>
    <w:rsid w:val="0000733A"/>
    <w:rsid w:val="00023EFF"/>
    <w:rsid w:val="0005102A"/>
    <w:rsid w:val="000619B6"/>
    <w:rsid w:val="00061F0C"/>
    <w:rsid w:val="0007509B"/>
    <w:rsid w:val="000836B0"/>
    <w:rsid w:val="000A1267"/>
    <w:rsid w:val="000C4D8D"/>
    <w:rsid w:val="000D33F1"/>
    <w:rsid w:val="000E72D0"/>
    <w:rsid w:val="0010760E"/>
    <w:rsid w:val="00111FA3"/>
    <w:rsid w:val="00112218"/>
    <w:rsid w:val="00121647"/>
    <w:rsid w:val="0012355A"/>
    <w:rsid w:val="00132F4E"/>
    <w:rsid w:val="00135334"/>
    <w:rsid w:val="00136FE7"/>
    <w:rsid w:val="00163261"/>
    <w:rsid w:val="00175CB5"/>
    <w:rsid w:val="001909BE"/>
    <w:rsid w:val="00191B69"/>
    <w:rsid w:val="001934A6"/>
    <w:rsid w:val="001D7DB5"/>
    <w:rsid w:val="001E605C"/>
    <w:rsid w:val="001F48E5"/>
    <w:rsid w:val="001F6181"/>
    <w:rsid w:val="0021050E"/>
    <w:rsid w:val="00220951"/>
    <w:rsid w:val="00237858"/>
    <w:rsid w:val="00280094"/>
    <w:rsid w:val="002956CD"/>
    <w:rsid w:val="002C039B"/>
    <w:rsid w:val="002C3737"/>
    <w:rsid w:val="002C7662"/>
    <w:rsid w:val="002D2622"/>
    <w:rsid w:val="002D4E03"/>
    <w:rsid w:val="00307E60"/>
    <w:rsid w:val="003137EB"/>
    <w:rsid w:val="00317822"/>
    <w:rsid w:val="00317B6A"/>
    <w:rsid w:val="003434D0"/>
    <w:rsid w:val="00343C06"/>
    <w:rsid w:val="0034789B"/>
    <w:rsid w:val="00350AA1"/>
    <w:rsid w:val="003627B5"/>
    <w:rsid w:val="003647A2"/>
    <w:rsid w:val="0036567D"/>
    <w:rsid w:val="0038189C"/>
    <w:rsid w:val="00384CE6"/>
    <w:rsid w:val="00390926"/>
    <w:rsid w:val="003A7398"/>
    <w:rsid w:val="003C78A9"/>
    <w:rsid w:val="003D7E58"/>
    <w:rsid w:val="003F4A70"/>
    <w:rsid w:val="00431C97"/>
    <w:rsid w:val="00432F67"/>
    <w:rsid w:val="00434303"/>
    <w:rsid w:val="0044247B"/>
    <w:rsid w:val="0044303A"/>
    <w:rsid w:val="00464358"/>
    <w:rsid w:val="0049116E"/>
    <w:rsid w:val="00496BC1"/>
    <w:rsid w:val="004A3FA9"/>
    <w:rsid w:val="004A7E98"/>
    <w:rsid w:val="004F08B9"/>
    <w:rsid w:val="00515B2B"/>
    <w:rsid w:val="00516ECC"/>
    <w:rsid w:val="00535D8F"/>
    <w:rsid w:val="00553DF3"/>
    <w:rsid w:val="00571221"/>
    <w:rsid w:val="00587D6F"/>
    <w:rsid w:val="00595E42"/>
    <w:rsid w:val="005A6D71"/>
    <w:rsid w:val="005A7846"/>
    <w:rsid w:val="005C1738"/>
    <w:rsid w:val="005D14C8"/>
    <w:rsid w:val="005E7599"/>
    <w:rsid w:val="00601661"/>
    <w:rsid w:val="0060195A"/>
    <w:rsid w:val="006170CB"/>
    <w:rsid w:val="00620713"/>
    <w:rsid w:val="00620DC2"/>
    <w:rsid w:val="00626776"/>
    <w:rsid w:val="006519CA"/>
    <w:rsid w:val="0065743C"/>
    <w:rsid w:val="006717EA"/>
    <w:rsid w:val="00687627"/>
    <w:rsid w:val="00695333"/>
    <w:rsid w:val="006C2A33"/>
    <w:rsid w:val="006D2520"/>
    <w:rsid w:val="006F1998"/>
    <w:rsid w:val="006F4AC1"/>
    <w:rsid w:val="006F68FA"/>
    <w:rsid w:val="00702625"/>
    <w:rsid w:val="007174E5"/>
    <w:rsid w:val="00722FEC"/>
    <w:rsid w:val="007335AB"/>
    <w:rsid w:val="00742138"/>
    <w:rsid w:val="00746A9B"/>
    <w:rsid w:val="00760720"/>
    <w:rsid w:val="007A2E69"/>
    <w:rsid w:val="007A4DCB"/>
    <w:rsid w:val="007A5095"/>
    <w:rsid w:val="007B0FEA"/>
    <w:rsid w:val="007B4E95"/>
    <w:rsid w:val="007B73D7"/>
    <w:rsid w:val="007C5299"/>
    <w:rsid w:val="007E13AD"/>
    <w:rsid w:val="007E3129"/>
    <w:rsid w:val="0080275C"/>
    <w:rsid w:val="008102D1"/>
    <w:rsid w:val="008241FE"/>
    <w:rsid w:val="00826441"/>
    <w:rsid w:val="00833C86"/>
    <w:rsid w:val="00840BA0"/>
    <w:rsid w:val="00844B6C"/>
    <w:rsid w:val="00864C04"/>
    <w:rsid w:val="0086703B"/>
    <w:rsid w:val="00870EC1"/>
    <w:rsid w:val="008A0F28"/>
    <w:rsid w:val="008A35B2"/>
    <w:rsid w:val="008B26B6"/>
    <w:rsid w:val="008C0400"/>
    <w:rsid w:val="008F31A4"/>
    <w:rsid w:val="008F7DE9"/>
    <w:rsid w:val="00902FE9"/>
    <w:rsid w:val="009039C7"/>
    <w:rsid w:val="00910D20"/>
    <w:rsid w:val="00911A51"/>
    <w:rsid w:val="00953998"/>
    <w:rsid w:val="00961410"/>
    <w:rsid w:val="0099450C"/>
    <w:rsid w:val="00997F9F"/>
    <w:rsid w:val="009C47B8"/>
    <w:rsid w:val="009C4CB2"/>
    <w:rsid w:val="009E1BEC"/>
    <w:rsid w:val="00A0515D"/>
    <w:rsid w:val="00A13E8A"/>
    <w:rsid w:val="00A14A88"/>
    <w:rsid w:val="00A17BF8"/>
    <w:rsid w:val="00A21578"/>
    <w:rsid w:val="00A240B4"/>
    <w:rsid w:val="00A24561"/>
    <w:rsid w:val="00A26FBC"/>
    <w:rsid w:val="00A32F5B"/>
    <w:rsid w:val="00A37B71"/>
    <w:rsid w:val="00A37B79"/>
    <w:rsid w:val="00A40A4B"/>
    <w:rsid w:val="00A43E48"/>
    <w:rsid w:val="00A44C77"/>
    <w:rsid w:val="00A44E3F"/>
    <w:rsid w:val="00A45939"/>
    <w:rsid w:val="00A46A37"/>
    <w:rsid w:val="00A4765C"/>
    <w:rsid w:val="00A632DA"/>
    <w:rsid w:val="00A7075B"/>
    <w:rsid w:val="00A92454"/>
    <w:rsid w:val="00AD5F1F"/>
    <w:rsid w:val="00AF1DE0"/>
    <w:rsid w:val="00B22CBE"/>
    <w:rsid w:val="00B3095D"/>
    <w:rsid w:val="00B317F3"/>
    <w:rsid w:val="00B456DD"/>
    <w:rsid w:val="00B50A22"/>
    <w:rsid w:val="00B608AC"/>
    <w:rsid w:val="00B620E2"/>
    <w:rsid w:val="00B858E9"/>
    <w:rsid w:val="00B86A6D"/>
    <w:rsid w:val="00B86DE8"/>
    <w:rsid w:val="00B90998"/>
    <w:rsid w:val="00B91219"/>
    <w:rsid w:val="00B93C7B"/>
    <w:rsid w:val="00BA519F"/>
    <w:rsid w:val="00BB225E"/>
    <w:rsid w:val="00BB246E"/>
    <w:rsid w:val="00BD12BB"/>
    <w:rsid w:val="00BD3F79"/>
    <w:rsid w:val="00BE2FFC"/>
    <w:rsid w:val="00BE7D67"/>
    <w:rsid w:val="00BF6F5F"/>
    <w:rsid w:val="00C10372"/>
    <w:rsid w:val="00C10F2E"/>
    <w:rsid w:val="00C17EB7"/>
    <w:rsid w:val="00C32926"/>
    <w:rsid w:val="00C51CD2"/>
    <w:rsid w:val="00C628C3"/>
    <w:rsid w:val="00C66B96"/>
    <w:rsid w:val="00CA7D2C"/>
    <w:rsid w:val="00CD6006"/>
    <w:rsid w:val="00CD6141"/>
    <w:rsid w:val="00CF001B"/>
    <w:rsid w:val="00D01081"/>
    <w:rsid w:val="00D22E3E"/>
    <w:rsid w:val="00D2671F"/>
    <w:rsid w:val="00D30D7E"/>
    <w:rsid w:val="00D530B0"/>
    <w:rsid w:val="00D55DBC"/>
    <w:rsid w:val="00D55F73"/>
    <w:rsid w:val="00D6683E"/>
    <w:rsid w:val="00D72E97"/>
    <w:rsid w:val="00D8530C"/>
    <w:rsid w:val="00DB0D08"/>
    <w:rsid w:val="00DB6BB6"/>
    <w:rsid w:val="00DC64BA"/>
    <w:rsid w:val="00DD19FC"/>
    <w:rsid w:val="00DD5F3B"/>
    <w:rsid w:val="00DE7ECB"/>
    <w:rsid w:val="00DF1152"/>
    <w:rsid w:val="00DF5D7F"/>
    <w:rsid w:val="00E14B0B"/>
    <w:rsid w:val="00E20D13"/>
    <w:rsid w:val="00E42028"/>
    <w:rsid w:val="00E85F33"/>
    <w:rsid w:val="00E9687F"/>
    <w:rsid w:val="00EA08A9"/>
    <w:rsid w:val="00EB386C"/>
    <w:rsid w:val="00F06FA6"/>
    <w:rsid w:val="00F33E37"/>
    <w:rsid w:val="00F35193"/>
    <w:rsid w:val="00F63285"/>
    <w:rsid w:val="00F6630B"/>
    <w:rsid w:val="00F7301E"/>
    <w:rsid w:val="00F75475"/>
    <w:rsid w:val="00F76A69"/>
    <w:rsid w:val="00F94D25"/>
    <w:rsid w:val="00F97E85"/>
    <w:rsid w:val="00FB2E40"/>
    <w:rsid w:val="00FC0462"/>
    <w:rsid w:val="00FD3F7D"/>
    <w:rsid w:val="00FD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EEE8"/>
  <w15:docId w15:val="{6F76CB66-AB35-4496-8986-E0C1FBFB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8A0F28"/>
    <w:pPr>
      <w:ind w:left="720"/>
      <w:contextualSpacing/>
    </w:pPr>
  </w:style>
  <w:style w:type="character" w:styleId="Hyperlink">
    <w:name w:val="Hyperlink"/>
    <w:basedOn w:val="DefaultParagraphFont"/>
    <w:uiPriority w:val="99"/>
    <w:unhideWhenUsed/>
    <w:rsid w:val="006F68FA"/>
    <w:rPr>
      <w:color w:val="0000FF"/>
      <w:u w:val="single"/>
    </w:rPr>
  </w:style>
  <w:style w:type="paragraph" w:customStyle="1" w:styleId="Default">
    <w:name w:val="Default"/>
    <w:rsid w:val="0038189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498985">
      <w:bodyDiv w:val="1"/>
      <w:marLeft w:val="0"/>
      <w:marRight w:val="0"/>
      <w:marTop w:val="0"/>
      <w:marBottom w:val="0"/>
      <w:divBdr>
        <w:top w:val="none" w:sz="0" w:space="0" w:color="auto"/>
        <w:left w:val="none" w:sz="0" w:space="0" w:color="auto"/>
        <w:bottom w:val="none" w:sz="0" w:space="0" w:color="auto"/>
        <w:right w:val="none" w:sz="0" w:space="0" w:color="auto"/>
      </w:divBdr>
    </w:div>
    <w:div w:id="117580592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70CB5BF8A7D94101BDB0D6C6625B00F4"/>
        <w:category>
          <w:name w:val="General"/>
          <w:gallery w:val="placeholder"/>
        </w:category>
        <w:types>
          <w:type w:val="bbPlcHdr"/>
        </w:types>
        <w:behaviors>
          <w:behavior w:val="content"/>
        </w:behaviors>
        <w:guid w:val="{4077A6B1-E396-48DF-B0AE-12932215EF72}"/>
      </w:docPartPr>
      <w:docPartBody>
        <w:p w:rsidR="001412FE" w:rsidRDefault="00C45490" w:rsidP="00C45490">
          <w:pPr>
            <w:pStyle w:val="70CB5BF8A7D94101BDB0D6C6625B00F4"/>
          </w:pPr>
          <w:r>
            <w:rPr>
              <w:rStyle w:val="PlaceholderText"/>
            </w:rPr>
            <w:t>Click here to enter text.</w:t>
          </w:r>
        </w:p>
      </w:docPartBody>
    </w:docPart>
    <w:docPart>
      <w:docPartPr>
        <w:name w:val="226FE2A575F14E65A57B2817D9F4E1B5"/>
        <w:category>
          <w:name w:val="General"/>
          <w:gallery w:val="placeholder"/>
        </w:category>
        <w:types>
          <w:type w:val="bbPlcHdr"/>
        </w:types>
        <w:behaviors>
          <w:behavior w:val="content"/>
        </w:behaviors>
        <w:guid w:val="{2D4ABD87-3C0A-4689-9AD8-AED609D8413B}"/>
      </w:docPartPr>
      <w:docPartBody>
        <w:p w:rsidR="001412FE" w:rsidRDefault="00C45490" w:rsidP="00C45490">
          <w:pPr>
            <w:pStyle w:val="226FE2A575F14E65A57B2817D9F4E1B5"/>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Ubuntu-Light">
    <w:altName w:val="Yu Gothic UI"/>
    <w:panose1 w:val="00000000000000000000"/>
    <w:charset w:val="80"/>
    <w:family w:val="auto"/>
    <w:notTrueType/>
    <w:pitch w:val="default"/>
    <w:sig w:usb0="00000000" w:usb1="08070000" w:usb2="00000010" w:usb3="00000000" w:csb0="00020000" w:csb1="00000000"/>
  </w:font>
  <w:font w:name="Ubuntu-Bold">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6DB5"/>
    <w:rsid w:val="000279C1"/>
    <w:rsid w:val="00033E94"/>
    <w:rsid w:val="0004518E"/>
    <w:rsid w:val="00090348"/>
    <w:rsid w:val="000E1449"/>
    <w:rsid w:val="000E7C92"/>
    <w:rsid w:val="001412FE"/>
    <w:rsid w:val="001C6D44"/>
    <w:rsid w:val="001E0BF7"/>
    <w:rsid w:val="001F7310"/>
    <w:rsid w:val="00265455"/>
    <w:rsid w:val="002B0E91"/>
    <w:rsid w:val="002D2B10"/>
    <w:rsid w:val="00335FBF"/>
    <w:rsid w:val="003816BF"/>
    <w:rsid w:val="00383A07"/>
    <w:rsid w:val="00393187"/>
    <w:rsid w:val="003B5A75"/>
    <w:rsid w:val="003E362D"/>
    <w:rsid w:val="003F42DE"/>
    <w:rsid w:val="003F73E0"/>
    <w:rsid w:val="00420D08"/>
    <w:rsid w:val="004457B0"/>
    <w:rsid w:val="00466683"/>
    <w:rsid w:val="00537F2D"/>
    <w:rsid w:val="0054013E"/>
    <w:rsid w:val="00563210"/>
    <w:rsid w:val="005B3156"/>
    <w:rsid w:val="005D1504"/>
    <w:rsid w:val="005D52D0"/>
    <w:rsid w:val="005E2AAD"/>
    <w:rsid w:val="00684342"/>
    <w:rsid w:val="007078E6"/>
    <w:rsid w:val="007302D4"/>
    <w:rsid w:val="00733CF2"/>
    <w:rsid w:val="007D573A"/>
    <w:rsid w:val="007F1EF1"/>
    <w:rsid w:val="00802E58"/>
    <w:rsid w:val="008910C4"/>
    <w:rsid w:val="008F2108"/>
    <w:rsid w:val="008F3E12"/>
    <w:rsid w:val="009A2419"/>
    <w:rsid w:val="009A5ABA"/>
    <w:rsid w:val="00A1138D"/>
    <w:rsid w:val="00A261D4"/>
    <w:rsid w:val="00AC69B5"/>
    <w:rsid w:val="00B30BCF"/>
    <w:rsid w:val="00B65C6B"/>
    <w:rsid w:val="00B774FD"/>
    <w:rsid w:val="00B85986"/>
    <w:rsid w:val="00B905C7"/>
    <w:rsid w:val="00BC2B1A"/>
    <w:rsid w:val="00C35324"/>
    <w:rsid w:val="00C35A5C"/>
    <w:rsid w:val="00C45490"/>
    <w:rsid w:val="00C64F30"/>
    <w:rsid w:val="00C7327A"/>
    <w:rsid w:val="00C84BBA"/>
    <w:rsid w:val="00CB1DB4"/>
    <w:rsid w:val="00CD174D"/>
    <w:rsid w:val="00CF132B"/>
    <w:rsid w:val="00CF1C8C"/>
    <w:rsid w:val="00D741B5"/>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49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CB5BF8A7D94101BDB0D6C6625B00F4">
    <w:name w:val="70CB5BF8A7D94101BDB0D6C6625B00F4"/>
    <w:rsid w:val="00C45490"/>
    <w:pPr>
      <w:spacing w:after="160" w:line="259" w:lineRule="auto"/>
    </w:pPr>
  </w:style>
  <w:style w:type="paragraph" w:customStyle="1" w:styleId="226FE2A575F14E65A57B2817D9F4E1B5">
    <w:name w:val="226FE2A575F14E65A57B2817D9F4E1B5"/>
    <w:rsid w:val="00C454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95E8-D4E6-489A-A951-08CA99E1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b34d8492-6b9e-4bf1-b00a-2b1a1b8ee4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8166f-8e16-425c-b03d-7e1f993805d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7894662-0B07-4476-85C8-FB0DB718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TotalTime>
  <Pages>5</Pages>
  <Words>10971</Words>
  <Characters>6255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2020-08-07T16:05:00Z</dcterms:created>
  <dc:creator>Evelina Grincevičiūtė</dc:creator>
  <cp:lastModifiedBy>Daiva Žaromskytė</cp:lastModifiedBy>
  <cp:lastPrinted>2019-03-20T11:55:00Z</cp:lastPrinted>
  <dcterms:modified xsi:type="dcterms:W3CDTF">2020-08-07T16:05:00Z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