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5a59f484612463d83f42505dda29744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rPr>
              <w:sz w:val="20"/>
              <w:lang w:eastAsia="lt-LT"/>
            </w:rPr>
          </w:pPr>
        </w:p>
        <w:p>
          <w:pPr>
            <w:ind w:left="13041"/>
            <w:rPr>
              <w:szCs w:val="24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ind w:left="9639"/>
            <w:rPr>
              <w:szCs w:val="24"/>
              <w:lang w:eastAsia="lt-LT"/>
            </w:rPr>
          </w:pPr>
        </w:p>
        <w:p>
          <w:pPr>
            <w:ind w:left="9639"/>
            <w:rPr>
              <w:szCs w:val="24"/>
              <w:lang w:eastAsia="lt-LT"/>
            </w:rPr>
          </w:pPr>
        </w:p>
        <w:p>
          <w:pPr>
            <w:ind w:left="9639"/>
            <w:rPr>
              <w:szCs w:val="24"/>
              <w:lang w:eastAsia="lt-LT"/>
            </w:rPr>
          </w:pPr>
        </w:p>
        <w:p>
          <w:pPr>
            <w:ind w:left="9639"/>
            <w:rPr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szCs w:val="24"/>
              <w:lang w:eastAsia="lt-LT"/>
            </w:rPr>
          </w:pPr>
        </w:p>
        <w:p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DĖL LIETUVOS RESPUBLIKOS VYRIAUSYBĖS 2020 M. KOVO 18 D. NUTARIMO NR. </w:t>
          </w:r>
          <w:r>
            <w:rPr>
              <w:b/>
              <w:caps/>
              <w:szCs w:val="24"/>
              <w:lang w:val="en-US" w:eastAsia="lt-LT"/>
            </w:rPr>
            <w:t>243</w:t>
          </w:r>
          <w:r>
            <w:rPr>
              <w:b/>
              <w:caps/>
              <w:szCs w:val="24"/>
              <w:lang w:eastAsia="lt-LT"/>
            </w:rPr>
            <w:t xml:space="preserve"> „DĖL </w:t>
          </w:r>
          <w:r>
            <w:rPr>
              <w:b/>
              <w:szCs w:val="24"/>
            </w:rPr>
            <w:t>VALSTYBĖS INVESTICIJŲ 2020–2022 METŲ PROGRAMOJE NUMATYTŲ VALSTYBĖS KAPITALO INVESTICIJŲ PASKIRSTYMO PAGAL ASIGNAVIMŲ VALDYTOJUS IR INVESTICIJŲ PROJEKTUS (INVESTICIJŲ PROJEKTŲ ĮGYVENDINIMO PROGRAMAS)</w:t>
          </w:r>
          <w:r>
            <w:rPr>
              <w:b/>
              <w:caps/>
              <w:szCs w:val="24"/>
              <w:lang w:eastAsia="lt-LT"/>
            </w:rPr>
            <w:t>“ PAKEITIMO</w:t>
          </w:r>
        </w:p>
        <w:p>
          <w:pPr>
            <w:jc w:val="center"/>
            <w:rPr>
              <w:caps/>
              <w:szCs w:val="24"/>
              <w:lang w:eastAsia="lt-LT"/>
            </w:rPr>
          </w:pPr>
        </w:p>
        <w:p>
          <w:pPr>
            <w:jc w:val="center"/>
            <w:rPr>
              <w:caps/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   d. Nr.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jc w:val="center"/>
            <w:rPr>
              <w:szCs w:val="24"/>
              <w:lang w:eastAsia="lt-LT"/>
            </w:rPr>
          </w:pPr>
        </w:p>
        <w:p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7e2949f39dd84289adca018e07a571dd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Lietuvos Respublikos Vyriausybė n u t a r i a:</w:t>
              </w:r>
            </w:p>
          </w:sdtContent>
        </w:sdt>
        <w:sdt>
          <w:sdtPr>
            <w:alias w:val="pastraipa"/>
            <w:tag w:val="part_2bf116f686d348a0abf11b7c93df1f86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Pakeisti Valstybės investicijų 2020–2022 metų programoje numatytų valstybės kapitalo investicijų paskirstymą pagal asignavimų valdytojus ir investicijų projektus (investicijų projektų įgyvendinimo programas), patvirtintą Lietuvos Respublikos Vyriausybės 2020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m.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kovo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18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d. nutarimu Nr.</w:t>
              </w:r>
              <w:r>
                <w:rPr>
                  <w:b/>
                  <w:bCs/>
                  <w:sz w:val="22"/>
                  <w:szCs w:val="22"/>
                </w:rPr>
                <w:t> </w:t>
              </w:r>
              <w:r>
                <w:rPr>
                  <w:color w:val="000000"/>
                  <w:szCs w:val="24"/>
                  <w:lang w:eastAsia="lt-LT"/>
                </w:rPr>
                <w:t>243 „Dėl Valstybės investicijų 2020–2022 metų programoje numatytų valstybės kapitalo investicijų paskirstymo pagal asignavimų valdytojus ir investicijų projektus (investicijų projektų įgyvendinimo programas)“:</w:t>
              </w:r>
            </w:p>
          </w:sdtContent>
        </w:sdt>
        <w:sdt>
          <w:sdtPr>
            <w:alias w:val="1 p."/>
            <w:tag w:val="part_5efa88b9ea864b5dab2e78407a369606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efa88b9ea864b5dab2e78407a369606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Pakeisti pastraipą „IŠ VISO“ ir ją išdėstyti taip: 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IŠ VISO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1 149 271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708 033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1 160 052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697 798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987 502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520 466“.</w:t>
                    </w:r>
                  </w:p>
                </w:tc>
              </w:tr>
            </w:tbl>
            <w:p/>
          </w:sdtContent>
        </w:sdt>
        <w:sdt>
          <w:sdtPr>
            <w:alias w:val="2 p."/>
            <w:tag w:val="part_98422c970b4a473fbc709c99aa7bbd03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98422c970b4a473fbc709c99aa7bbd03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Pakeisti 7 punkto pirmąją pastraipą ir ją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„7.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Aplinkos ministerija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105 171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102 448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111 385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105 192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48 719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47 795“.</w:t>
                    </w:r>
                  </w:p>
                </w:tc>
              </w:tr>
            </w:tbl>
            <w:p/>
          </w:sdtContent>
        </w:sdt>
        <w:sdt>
          <w:sdtPr>
            <w:alias w:val="3 p."/>
            <w:tag w:val="part_84415dbf6e454aef9df51bda99616dbf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4415dbf6e454aef9df51bda99616db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szCs w:val="24"/>
                  <w:lang w:eastAsia="lt-LT"/>
                </w:rPr>
                <w:t>. Pakeisti 7.7 papunktį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„7.7.</w:t>
                    </w:r>
                  </w:p>
                </w:tc>
                <w:tc>
                  <w:tcPr>
                    <w:tcW w:w="1980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Vandentvarkos, lietaus nuotekų tvarkymo ir potvynių rizikos valdymo projektų įgyvendinimas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2014</w:t>
                    </w:r>
                  </w:p>
                </w:tc>
                <w:tc>
                  <w:tcPr>
                    <w:tcW w:w="228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61 361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61 361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54 679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54 679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32 879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32 879“.</w:t>
                    </w:r>
                  </w:p>
                </w:tc>
              </w:tr>
            </w:tbl>
            <w:p/>
          </w:sdtContent>
        </w:sdt>
        <w:sdt>
          <w:sdtPr>
            <w:alias w:val="4 p."/>
            <w:tag w:val="part_a5fb9abe692141b5a565ad6f551e50d6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a5fb9abe692141b5a565ad6f551e50d6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szCs w:val="24"/>
                  <w:lang w:eastAsia="lt-LT"/>
                </w:rPr>
                <w:t>. Pakeisti 7.8 papunktį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„7.8.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Atliekų bei oro kokybės gerinimo projektų įgyvendinimas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2016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15 496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15 496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10 937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10 937“.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/>
          </w:sdtContent>
        </w:sdt>
        <w:sdt>
          <w:sdtPr>
            <w:alias w:val="5 p."/>
            <w:tag w:val="part_b4bacef1ce274c90857092e785e1f147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b4bacef1ce274c90857092e785e1f147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5</w:t>
                  </w:r>
                </w:sdtContent>
              </w:sdt>
              <w:r>
                <w:rPr>
                  <w:szCs w:val="24"/>
                  <w:lang w:eastAsia="lt-LT"/>
                </w:rPr>
                <w:t>. Pakeisti 7.9 papunktį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„7.9.</w:t>
                    </w:r>
                  </w:p>
                </w:tc>
                <w:tc>
                  <w:tcPr>
                    <w:tcW w:w="1980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Aplinkos monitoringo, kontrolės ir prevencijos stiprinimo, vandens išteklių valdymo ir apsaugos projektų įgyvendinimas 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2016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11 798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11 798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20 919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20 919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10 108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10 108“.</w:t>
                    </w:r>
                  </w:p>
                </w:tc>
              </w:tr>
            </w:tbl>
            <w:p/>
          </w:sdtContent>
        </w:sdt>
        <w:sdt>
          <w:sdtPr>
            <w:alias w:val="6 p."/>
            <w:tag w:val="part_8bbdecc5a401473b96f2442f0e3d98ee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8bbdecc5a401473b96f2442f0e3d98ee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6</w:t>
                  </w:r>
                </w:sdtContent>
              </w:sdt>
              <w:r>
                <w:rPr>
                  <w:szCs w:val="24"/>
                  <w:lang w:eastAsia="lt-LT"/>
                </w:rPr>
                <w:t>. Pakeisti 7.10 papunktį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„7.10.</w:t>
                    </w:r>
                  </w:p>
                </w:tc>
                <w:tc>
                  <w:tcPr>
                    <w:tcW w:w="1980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Rekreacinių – aplinkosauginių objektų tvarkymo projektų įgyvendinimas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2016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2 509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2 184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6 108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3 672“.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/>
          </w:sdtContent>
        </w:sdt>
        <w:sdt>
          <w:sdtPr>
            <w:alias w:val="7 p."/>
            <w:tag w:val="part_cf757887654a472ebc49e29dcdc3512f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f757887654a472ebc49e29dcdc3512f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7</w:t>
                  </w:r>
                </w:sdtContent>
              </w:sdt>
              <w:r>
                <w:rPr>
                  <w:szCs w:val="24"/>
                  <w:lang w:eastAsia="lt-LT"/>
                </w:rPr>
                <w:t>. Pakeisti 7.12 papunktį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„7.12.</w:t>
                    </w:r>
                  </w:p>
                </w:tc>
                <w:tc>
                  <w:tcPr>
                    <w:tcW w:w="1980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Biologinės įvairovės, saugomų teritorijų ir valstybinės reikšmės parkų tvarkymo projektų įgyvendinimas 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2016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7 678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7 292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9 777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6 351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5 732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4 808“.</w:t>
                    </w:r>
                  </w:p>
                </w:tc>
              </w:tr>
            </w:tbl>
            <w:p/>
          </w:sdtContent>
        </w:sdt>
        <w:sdt>
          <w:sdtPr>
            <w:alias w:val="8 p."/>
            <w:tag w:val="part_4efd06c521d64f9ca80b6f864ffa3f2b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4efd06c521d64f9ca80b6f864ffa3f2b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8</w:t>
                  </w:r>
                </w:sdtContent>
              </w:sdt>
              <w:r>
                <w:rPr>
                  <w:szCs w:val="24"/>
                  <w:lang w:eastAsia="lt-LT"/>
                </w:rPr>
                <w:t>. Pakeisti 9 punktą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„9.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Energetikos ministerija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17 207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16 942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18 780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18 549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18 366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18 135</w:t>
                    </w: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9.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1.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Ignalinos atominės elektrinės eksploatavimo nutraukimo projektų vykdymas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2005</w:t>
                    </w:r>
                  </w:p>
                </w:tc>
                <w:tc>
                  <w:tcPr>
                    <w:tcW w:w="228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2026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12 712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12 678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12 836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12 836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13 271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13 271</w:t>
                    </w: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9.2.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Energijos vartojimo efektyvumo didinimas viešojoje infrastruktūroje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2014</w:t>
                    </w:r>
                  </w:p>
                </w:tc>
                <w:tc>
                  <w:tcPr>
                    <w:tcW w:w="228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4 495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4 264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5 944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5 713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5 095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4 864“.</w:t>
                    </w:r>
                  </w:p>
                </w:tc>
              </w:tr>
            </w:tbl>
            <w:p/>
          </w:sdtContent>
        </w:sdt>
        <w:sdt>
          <w:sdtPr>
            <w:alias w:val="9 p."/>
            <w:tag w:val="part_cc9ee5ff059145e08b4e2ef992f3d024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c9ee5ff059145e08b4e2ef992f3d024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9</w:t>
                  </w:r>
                </w:sdtContent>
              </w:sdt>
              <w:r>
                <w:rPr>
                  <w:szCs w:val="24"/>
                  <w:lang w:eastAsia="lt-LT"/>
                </w:rPr>
                <w:t>. Pakeisti 14.6 papunktį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31"/>
                <w:gridCol w:w="5881"/>
                <w:gridCol w:w="690"/>
                <w:gridCol w:w="681"/>
                <w:gridCol w:w="1184"/>
                <w:gridCol w:w="974"/>
                <w:gridCol w:w="1140"/>
                <w:gridCol w:w="1072"/>
                <w:gridCol w:w="1081"/>
                <w:gridCol w:w="1223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„14.6.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Lietuvos automobilių kelių direkcijos prie Susisiekimo ministerijos investicijų projektų įgyvendinimas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30" w:type="pct"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Kelių transporto infrastruktūros tobulinimo ir plėtros, intelektinių transporto sistemų, eismo saugos ir aplinkos apsaugos priemonių diegimo projektų įgyvendinimas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2015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91 695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52 422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47 244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27 349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6 623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2 117</w:t>
                    </w: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14.6.2.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Aplinkosauginių priemonių diegimas TEN-T keliuose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2017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2024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2 757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2 110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14.6.3.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Alternatyvių degalų infrastruktūros duomenų registravimo ir kodavimo sistemos sukūrimas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48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38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58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38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</w:t>
                    </w: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14.6.4.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Transeuropinio tinklo kelio E67 (VIA BALTICA) plėtra. Valstybinės reikšmės magistralinio kelio Nr. A5 Kaunas–Marijampolė–Suvalkai ruožo nuo 56,83 iki 97,06 km rekonstravimas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2025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672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3 000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43 000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14.6.5.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Transeuropinio tinklo kelio E67 (VIA BALTICA) plėtra. Ruožo nuo Lietuvos–Latvijos sienos iki Panevėžio plėtra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2017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2021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4 104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3 800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1054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14.6.6.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Valstybinės reikšmės krašto kelio Nr. 206 Šilutė–Rusnė ruožo nuo 2,401 iki 7,363 km rekonstravimas ir estakados šio kelio užliejamajame ruože (6,190–6,940 km) nauja statyba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2018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1 910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14.6.7.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Daugiafunkcių pažeidimų kontrolės postų, eismo stebėjimo ir valdymo įrenginių projektavimas ir įrengimas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2014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2021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4 117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1 325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14.6.8.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Kelių duomenų el. paslaugos sukūrimas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2017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2022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125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290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14.6.9.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Baltijos pr., Šilutės pl. (įskaitant ruožą į Dubysos g. įvažiavimą) ir Vilniaus pl. žiedinės sankryžos Klaipėdos m. rekonstravimas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2022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5 000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14.6.10.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Dviejų lygių sankryžos Vilniuje, Žirnių g., Liepkalnio g. ir Minsko pl., rekonstravimas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2019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10 000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14.6.11.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Valstybinės reikšmės magistralinio kelio A1 Vilnius–Kaunas–Klaipėda ruožo nuo 89,40 iki 107,00 km rekonstravimas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2019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2025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20 000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16 710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220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14.6.12.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2014–2020 metų </w:t>
                    </w:r>
                    <w:r>
                      <w:rPr>
                        <w:i/>
                        <w:sz w:val="22"/>
                        <w:szCs w:val="22"/>
                      </w:rPr>
                      <w:t>Interreg</w:t>
                    </w:r>
                    <w:r>
                      <w:rPr>
                        <w:sz w:val="22"/>
                        <w:szCs w:val="22"/>
                      </w:rPr>
                      <w:t xml:space="preserve"> V-A Latvijos ir Lietuvos bendradarbiavimo per sieną programai bendrai finansuoti (krašto ir rajoninių kelių ruožų, esančių šalia sienos su Latvija, rekonstravimo darbams bendrai finansuoti)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2017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2021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2 798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0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14.6.13.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Lietuvos automobilių kelių direkcijos prie Susisiekimo ministerijos administracinio pastato Vilniuje, Šviesos g. 2, rekonstravimas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2020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2022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65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206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1 229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14.6.14.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Vietinės reikšmės kelių (gatvių) tiesimas ir rekonstravimas 2019–2021 metais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2019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2021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25 000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26 000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14.6.15.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Vietinės reikšmės kelių (gatvių) tiesimas ir rekonstravimas 2022–2024 metais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2022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2024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28 000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14.6.16.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Kelių tiesimas, tiltų ir viadukų statyba 2019–2021 metais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2019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2021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37 639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60 663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14.6.17.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Kelių tiesimas, tiltų ir viadukų statyba 2022–2024 metais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2022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2024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52 153“.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ind w:firstLine="55"/>
                      <w:rPr>
                        <w:sz w:val="22"/>
                        <w:szCs w:val="22"/>
                      </w:rPr>
                    </w:pPr>
                  </w:p>
                </w:tc>
              </w:tr>
            </w:tbl>
            <w:p/>
          </w:sdtContent>
        </w:sdt>
        <w:sdt>
          <w:sdtPr>
            <w:alias w:val="10 p."/>
            <w:tag w:val="part_d153f1411b124c7fa1d02715782bd7c5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d153f1411b124c7fa1d02715782bd7c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10</w:t>
                  </w:r>
                </w:sdtContent>
              </w:sdt>
              <w:r>
                <w:rPr>
                  <w:szCs w:val="24"/>
                  <w:lang w:eastAsia="lt-LT"/>
                </w:rPr>
                <w:t>. Pakeisti 15 punkto pirmąją pastraipą ir ją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„15.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Sveikatos apsaugos ministerija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ind w:firstLine="55"/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48 014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30 766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33 412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15 520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27 232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12 952“.</w:t>
                    </w:r>
                  </w:p>
                </w:tc>
              </w:tr>
            </w:tbl>
            <w:p/>
          </w:sdtContent>
        </w:sdt>
        <w:sdt>
          <w:sdtPr>
            <w:alias w:val="11 p."/>
            <w:tag w:val="part_4b4d4e865b2d401fb27eac616b0c9283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4b4d4e865b2d401fb27eac616b0c9283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11</w:t>
                  </w:r>
                </w:sdtContent>
              </w:sdt>
              <w:r>
                <w:rPr>
                  <w:szCs w:val="24"/>
                  <w:lang w:eastAsia="lt-LT"/>
                </w:rPr>
                <w:t>. Pakeisti 15.10 papunktį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„15.10.</w:t>
                    </w:r>
                  </w:p>
                </w:tc>
                <w:tc>
                  <w:tcPr>
                    <w:tcW w:w="1980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Sveikatos sektoriaus infrastruktūros modernizavimas 2014–2020 metais (Europos Sąjungos fondai)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2014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2022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35 052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30 766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21 515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15 520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18 750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12 952“.</w:t>
                    </w:r>
                  </w:p>
                </w:tc>
              </w:tr>
            </w:tbl>
            <w:p/>
          </w:sdtContent>
        </w:sdt>
        <w:sdt>
          <w:sdtPr>
            <w:alias w:val="12 p."/>
            <w:tag w:val="part_c5be08d424a94a67b5df115044afbc22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c5be08d424a94a67b5df115044afbc2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12</w:t>
                  </w:r>
                </w:sdtContent>
              </w:sdt>
              <w:r>
                <w:rPr>
                  <w:szCs w:val="24"/>
                  <w:lang w:eastAsia="lt-LT"/>
                </w:rPr>
                <w:t>. Pakeisti 19 punkto pirmąją pastraipą ir ją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77"/>
                <w:gridCol w:w="1186"/>
                <w:gridCol w:w="975"/>
                <w:gridCol w:w="1141"/>
                <w:gridCol w:w="1073"/>
                <w:gridCol w:w="1082"/>
                <w:gridCol w:w="1230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„19.</w:t>
                    </w:r>
                  </w:p>
                </w:tc>
                <w:tc>
                  <w:tcPr>
                    <w:tcW w:w="1980" w:type="pct"/>
                    <w:shd w:val="clear" w:color="auto" w:fill="auto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  <w:r>
                      <w:rPr>
                        <w:bCs/>
                        <w:sz w:val="22"/>
                        <w:szCs w:val="22"/>
                      </w:rPr>
                      <w:t>Vidaus reikalų ministerija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28" w:type="pct"/>
                  </w:tcPr>
                  <w:p>
                    <w:pPr>
                      <w:rPr>
                        <w:bCs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161 855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136 713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139 133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115 083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78 605</w:t>
                    </w:r>
                  </w:p>
                </w:tc>
                <w:tc>
                  <w:tcPr>
                    <w:tcW w:w="41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61 965“.</w:t>
                    </w:r>
                  </w:p>
                </w:tc>
              </w:tr>
            </w:tbl>
            <w:p/>
          </w:sdtContent>
        </w:sdt>
        <w:sdt>
          <w:sdtPr>
            <w:alias w:val="13 p."/>
            <w:tag w:val="part_7ef0c11db8224bb58b17190f0694a789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7ef0c11db8224bb58b17190f0694a789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13</w:t>
                  </w:r>
                </w:sdtContent>
              </w:sdt>
              <w:r>
                <w:rPr>
                  <w:szCs w:val="24"/>
                  <w:lang w:eastAsia="lt-LT"/>
                </w:rPr>
                <w:t>. Pakeisti 19.6 papunktį ir jį išdėstyti taip:</w:t>
              </w:r>
            </w:p>
            <w:tbl>
              <w:tblPr>
                <w:tblW w:w="5024" w:type="pct"/>
                <w:jc w:val="center"/>
                <w:tblInd w:w="7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"/>
                <w:gridCol w:w="5883"/>
                <w:gridCol w:w="692"/>
                <w:gridCol w:w="683"/>
                <w:gridCol w:w="1186"/>
                <w:gridCol w:w="975"/>
                <w:gridCol w:w="1141"/>
                <w:gridCol w:w="1073"/>
                <w:gridCol w:w="1082"/>
                <w:gridCol w:w="1224"/>
              </w:tblGrid>
              <w:tr>
                <w:trPr>
                  <w:cantSplit/>
                  <w:jc w:val="center"/>
                </w:trPr>
                <w:tc>
                  <w:tcPr>
                    <w:tcW w:w="309" w:type="pct"/>
                    <w:shd w:val="clear" w:color="auto" w:fill="auto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„19.6.</w:t>
                    </w:r>
                  </w:p>
                </w:tc>
                <w:tc>
                  <w:tcPr>
                    <w:tcW w:w="1980" w:type="pct"/>
                    <w:shd w:val="clear" w:color="auto" w:fill="auto"/>
                    <w:vAlign w:val="center"/>
                  </w:tcPr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Valstybinės priešgaisrinės gelbėjimo tarnybos pasirengimo reaguoti į klimato kaitos sukeltų ekstremaliųjų gamtinių reiškinių padarinius stiprinimas</w:t>
                    </w:r>
                  </w:p>
                </w:tc>
                <w:tc>
                  <w:tcPr>
                    <w:tcW w:w="233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2014</w:t>
                    </w:r>
                  </w:p>
                </w:tc>
                <w:tc>
                  <w:tcPr>
                    <w:tcW w:w="230" w:type="pct"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2023</w:t>
                    </w:r>
                  </w:p>
                </w:tc>
                <w:tc>
                  <w:tcPr>
                    <w:tcW w:w="399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6 642</w:t>
                    </w:r>
                  </w:p>
                </w:tc>
                <w:tc>
                  <w:tcPr>
                    <w:tcW w:w="328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5 756</w:t>
                    </w:r>
                  </w:p>
                </w:tc>
                <w:tc>
                  <w:tcPr>
                    <w:tcW w:w="38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4 638</w:t>
                    </w:r>
                  </w:p>
                </w:tc>
                <w:tc>
                  <w:tcPr>
                    <w:tcW w:w="361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3 206</w:t>
                    </w:r>
                  </w:p>
                </w:tc>
                <w:tc>
                  <w:tcPr>
                    <w:tcW w:w="364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7 096</w:t>
                    </w:r>
                  </w:p>
                </w:tc>
                <w:tc>
                  <w:tcPr>
                    <w:tcW w:w="412" w:type="pct"/>
                    <w:shd w:val="clear" w:color="auto" w:fill="auto"/>
                    <w:noWrap/>
                  </w:tcPr>
                  <w:p>
                    <w:pPr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6 031“.</w:t>
                    </w:r>
                  </w:p>
                </w:tc>
              </w:tr>
            </w:tbl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df7cc0201baa4cd7914d5273c57800d7"/>
            <w:lock w:val="sdtLocked"/>
            <w:richText/>
          </w:sdtPr>
          <w:sdtContent>
            <w:p>
              <w:pPr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Finansų ministras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4</w:t>
    </w:r>
    <w:r>
      <w:rPr>
        <w:sz w:val="20"/>
        <w:lang w:eastAsia="lt-LT"/>
      </w:rPr>
      <w:fldChar w:fldCharType="end"/>
    </w:r>
  </w:p>
  <w:p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22dc5f814b1d4bfabb86585ffde2c1f0" PartId="c5a59f484612463d83f42505dda29744">
    <Part Type="preambule" DocPartId="06a73cc51f00428fa1bfbc0cb10e29ab" PartId="7e2949f39dd84289adca018e07a571dd"/>
    <Part Type="pastraipa" DocPartId="6bb729c3ba364782a4edd2881065f6b5" PartId="2bf116f686d348a0abf11b7c93df1f86"/>
    <Part Type="punktas" Nr="1" Abbr="1 p." DocPartId="2899e9f4013743ac990d43f7d82a55d0" PartId="5efa88b9ea864b5dab2e78407a369606"/>
    <Part Type="punktas" Nr="2" Abbr="2 p." DocPartId="448fde6a80684d55929ae2a614f9271f" PartId="98422c970b4a473fbc709c99aa7bbd03"/>
    <Part Type="punktas" Nr="3" Abbr="3 p." DocPartId="e511d9d01010493c94a9aa3cee31abf0" PartId="84415dbf6e454aef9df51bda99616dbf"/>
    <Part Type="punktas" Nr="4" Abbr="4 p." DocPartId="f1b1530745d740efa618e8c0e61bedcc" PartId="a5fb9abe692141b5a565ad6f551e50d6"/>
    <Part Type="punktas" Nr="5" Abbr="5 p." DocPartId="7eaa338539c94d7798fd05f7b5c72013" PartId="b4bacef1ce274c90857092e785e1f147"/>
    <Part Type="punktas" Nr="6" Abbr="6 p." DocPartId="94af88ecbf4e4c2a8b894a26f458f4ed" PartId="8bbdecc5a401473b96f2442f0e3d98ee"/>
    <Part Type="punktas" Nr="7" Abbr="7 p." DocPartId="1e95f8504f1d40fea6720b7de4324e88" PartId="cf757887654a472ebc49e29dcdc3512f"/>
    <Part Type="punktas" Nr="8" Abbr="8 p." DocPartId="ee437d524b494f21a8830998ab81356d" PartId="4efd06c521d64f9ca80b6f864ffa3f2b"/>
    <Part Type="punktas" Nr="9" Abbr="9 p." DocPartId="ed8f01a94ae54dc7b051b2b2765f202e" PartId="cc9ee5ff059145e08b4e2ef992f3d024"/>
    <Part Type="punktas" Nr="10" Abbr="10 p." DocPartId="5fbb9d3a2c4c40ab9a92a394ff7b0fc6" PartId="d153f1411b124c7fa1d02715782bd7c5"/>
    <Part Type="punktas" Nr="11" Abbr="11 p." DocPartId="24c37a0bc3e345f48ba68d0e6046004e" PartId="4b4d4e865b2d401fb27eac616b0c9283"/>
    <Part Type="punktas" Nr="12" Abbr="12 p." DocPartId="48c55378085a476893643eb46ef2a025" PartId="c5be08d424a94a67b5df115044afbc22"/>
    <Part Type="punktas" Nr="13" Abbr="13 p." DocPartId="e2a58bf093de4f4aa30c2732af5c748d" PartId="7ef0c11db8224bb58b17190f0694a789"/>
    <Part Type="signatura" DocPartId="b2811cc02ef44f5eb53680c67802801a" PartId="df7cc0201baa4cd7914d5273c57800d7"/>
  </Part>
</Parts>
</file>

<file path=customXml/itemProps1.xml><?xml version="1.0" encoding="utf-8"?>
<ds:datastoreItem xmlns:ds="http://schemas.openxmlformats.org/officeDocument/2006/customXml" ds:itemID="{FABD36B7-AD29-4417-9F7C-D0080A9E3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F6C61-558F-4360-8C4F-D2B79CE3DC2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5037</Characters>
  <Application>Microsoft Office Word</Application>
  <DocSecurity>4</DocSecurity>
  <Lines>419</Lines>
  <Paragraphs>312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5630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2020-04-01T12:03:00Z</dcterms:created>
  <dc:creator>Arūnė Grigėnienė</dc:creator>
  <cp:lastModifiedBy>Asseco</cp:lastModifiedBy>
  <cp:lastPrinted>2019-05-14T06:02:00Z</cp:lastPrinted>
  <dcterms:modified xsi:type="dcterms:W3CDTF">2020-04-01T12:03:00Z</dcterms:modified>
  <cp:revision>2</cp:revision>
</cp:coreProperties>
</file>