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F110C" w14:textId="77777777" w:rsidR="00D51A0A" w:rsidRPr="009372F3" w:rsidRDefault="00D51A0A" w:rsidP="00E662D6">
      <w:pPr>
        <w:pStyle w:val="Pavadinimas"/>
        <w:spacing w:line="240" w:lineRule="auto"/>
        <w:ind w:right="0"/>
      </w:pPr>
    </w:p>
    <w:p w14:paraId="296DEA21" w14:textId="77777777" w:rsidR="005A0AF4" w:rsidRPr="009372F3" w:rsidRDefault="005A0AF4" w:rsidP="00E662D6">
      <w:pPr>
        <w:pStyle w:val="Pavadinimas"/>
        <w:spacing w:line="240" w:lineRule="auto"/>
        <w:ind w:right="0"/>
      </w:pPr>
      <w:r w:rsidRPr="009372F3">
        <w:t>PAŽYMA</w:t>
      </w:r>
    </w:p>
    <w:p w14:paraId="78BBB5B2" w14:textId="77777777" w:rsidR="00D72B5F" w:rsidRPr="009372F3" w:rsidRDefault="00D72B5F" w:rsidP="00E662D6">
      <w:pPr>
        <w:pStyle w:val="Pavadinimas"/>
        <w:spacing w:line="240" w:lineRule="auto"/>
        <w:ind w:right="0"/>
      </w:pPr>
      <w:r w:rsidRPr="009372F3">
        <w:t xml:space="preserve">lIETUVOS rESPUBLIKOS POZICIJOS DĖL KLAUSIMŲ, SVARSTOMŲ </w:t>
      </w:r>
    </w:p>
    <w:p w14:paraId="54367954" w14:textId="304C2C0E" w:rsidR="00D72B5F" w:rsidRPr="009372F3" w:rsidRDefault="00D72B5F" w:rsidP="005A0AF4">
      <w:pPr>
        <w:pStyle w:val="Pavadinimas"/>
        <w:spacing w:line="240" w:lineRule="auto"/>
        <w:ind w:right="0"/>
        <w:rPr>
          <w:b w:val="0"/>
          <w:bCs w:val="0"/>
          <w:caps w:val="0"/>
        </w:rPr>
      </w:pPr>
      <w:r w:rsidRPr="009372F3">
        <w:t>20</w:t>
      </w:r>
      <w:r w:rsidR="00DA66A9">
        <w:t>20</w:t>
      </w:r>
      <w:r w:rsidRPr="009372F3">
        <w:t xml:space="preserve"> m. </w:t>
      </w:r>
      <w:r w:rsidR="00F81E15">
        <w:rPr>
          <w:lang w:eastAsia="lt-LT"/>
        </w:rPr>
        <w:t>liepos</w:t>
      </w:r>
      <w:r w:rsidR="001D0844">
        <w:rPr>
          <w:lang w:eastAsia="lt-LT"/>
        </w:rPr>
        <w:t xml:space="preserve"> </w:t>
      </w:r>
      <w:r w:rsidR="00DA66A9">
        <w:rPr>
          <w:lang w:eastAsia="lt-LT"/>
        </w:rPr>
        <w:t>2</w:t>
      </w:r>
      <w:r w:rsidR="00F81E15">
        <w:rPr>
          <w:lang w:eastAsia="lt-LT"/>
        </w:rPr>
        <w:t>0</w:t>
      </w:r>
      <w:r w:rsidRPr="009372F3">
        <w:rPr>
          <w:lang w:eastAsia="lt-LT"/>
        </w:rPr>
        <w:t xml:space="preserve"> D. </w:t>
      </w:r>
      <w:r w:rsidRPr="009372F3">
        <w:t>ES TARYBOS</w:t>
      </w:r>
      <w:r w:rsidR="005A0AF4" w:rsidRPr="009372F3">
        <w:t xml:space="preserve"> </w:t>
      </w:r>
      <w:r w:rsidRPr="009372F3">
        <w:t>(ŽEMĖS ŪKIs IR ŽUVININKYSTĖ) POSĖDYJE</w:t>
      </w:r>
    </w:p>
    <w:p w14:paraId="48D97B89" w14:textId="77777777" w:rsidR="00D72B5F" w:rsidRPr="009372F3" w:rsidRDefault="00D72B5F" w:rsidP="00D72B5F">
      <w:pPr>
        <w:spacing w:line="120" w:lineRule="auto"/>
        <w:jc w:val="center"/>
      </w:pPr>
    </w:p>
    <w:p w14:paraId="5A64FF73" w14:textId="77777777" w:rsidR="00D72B5F" w:rsidRPr="009372F3" w:rsidRDefault="00D72B5F" w:rsidP="00D72B5F">
      <w:pPr>
        <w:ind w:firstLine="720"/>
        <w:jc w:val="both"/>
      </w:pPr>
    </w:p>
    <w:p w14:paraId="6FA8BFF5" w14:textId="77777777" w:rsidR="00D72B5F" w:rsidRDefault="00D72B5F" w:rsidP="00D72B5F">
      <w:pPr>
        <w:pStyle w:val="Default"/>
      </w:pPr>
    </w:p>
    <w:p w14:paraId="37D90A66" w14:textId="4F61DD8B" w:rsidR="007046E6" w:rsidRDefault="007046E6" w:rsidP="00A3698B">
      <w:pPr>
        <w:pStyle w:val="Default"/>
        <w:ind w:firstLine="426"/>
      </w:pPr>
      <w:r>
        <w:t>Š</w:t>
      </w:r>
      <w:r w:rsidRPr="007046E6">
        <w:t xml:space="preserve">. m. </w:t>
      </w:r>
      <w:r w:rsidR="00F81E15">
        <w:t>liepos</w:t>
      </w:r>
      <w:r w:rsidR="00DA66A9">
        <w:t xml:space="preserve"> 2</w:t>
      </w:r>
      <w:r w:rsidR="00F81E15">
        <w:t>0</w:t>
      </w:r>
      <w:r w:rsidRPr="007046E6">
        <w:t xml:space="preserve"> d. vyksiančio ES Tarybos (žemės ūkis ir žuvininkystė) posėdžio (toliau – ES Tarybos posėdis) preliminarioje darbotvarkėje numatyta svarstyti šiuos klausimus:</w:t>
      </w:r>
    </w:p>
    <w:p w14:paraId="67AD0BD9" w14:textId="77777777" w:rsidR="00D72B5F" w:rsidRPr="009372F3" w:rsidRDefault="00D72B5F" w:rsidP="00D72B5F">
      <w:pPr>
        <w:pStyle w:val="Default"/>
        <w:rPr>
          <w:u w:val="single"/>
        </w:rPr>
      </w:pPr>
    </w:p>
    <w:p w14:paraId="74AC841B" w14:textId="08342C83" w:rsidR="00D72B5F" w:rsidRDefault="00C05A9C" w:rsidP="00C05A9C">
      <w:pPr>
        <w:pStyle w:val="Default"/>
        <w:rPr>
          <w:bCs/>
        </w:rPr>
      </w:pPr>
      <w:r w:rsidRPr="00C05A9C">
        <w:rPr>
          <w:bCs/>
        </w:rPr>
        <w:t>1.</w:t>
      </w:r>
      <w:r>
        <w:rPr>
          <w:bCs/>
        </w:rPr>
        <w:t xml:space="preserve"> </w:t>
      </w:r>
      <w:r w:rsidR="00DA66A9">
        <w:rPr>
          <w:bCs/>
        </w:rPr>
        <w:t>Pirmininkaujančios valstybės narės darbo programa</w:t>
      </w:r>
    </w:p>
    <w:p w14:paraId="1043AE02" w14:textId="0ACAD744" w:rsidR="00216E58" w:rsidRDefault="00216E58" w:rsidP="00216E58">
      <w:pPr>
        <w:pStyle w:val="Default"/>
        <w:rPr>
          <w:bCs/>
        </w:rPr>
      </w:pPr>
    </w:p>
    <w:p w14:paraId="46A2985A" w14:textId="77777777" w:rsidR="00F81E15" w:rsidRDefault="00C05A9C" w:rsidP="00F81E15">
      <w:pPr>
        <w:pStyle w:val="Default"/>
      </w:pPr>
      <w:r w:rsidRPr="00C05A9C">
        <w:t xml:space="preserve">2. </w:t>
      </w:r>
      <w:r w:rsidR="00F81E15">
        <w:t>BŽŪP reformos dokumentų rinkinys</w:t>
      </w:r>
    </w:p>
    <w:p w14:paraId="66BB9D25" w14:textId="77777777" w:rsidR="00F81E15" w:rsidRDefault="00F81E15" w:rsidP="00F81E15">
      <w:pPr>
        <w:pStyle w:val="Default"/>
      </w:pPr>
      <w:r>
        <w:t>a) Reglamentas dėl BŽŪP strateginių planų</w:t>
      </w:r>
    </w:p>
    <w:p w14:paraId="46887639" w14:textId="77777777" w:rsidR="00F81E15" w:rsidRDefault="00F81E15" w:rsidP="00F81E15">
      <w:pPr>
        <w:pStyle w:val="Default"/>
      </w:pPr>
      <w:r>
        <w:t>b) Reglamentas dėl BŽŪP finansavimo, valdymo ir stebėsenos</w:t>
      </w:r>
    </w:p>
    <w:p w14:paraId="276D07DA" w14:textId="7C2C441E" w:rsidR="00147E7C" w:rsidRDefault="00F81E15" w:rsidP="00F81E15">
      <w:pPr>
        <w:pStyle w:val="Default"/>
      </w:pPr>
      <w:r>
        <w:t>c) Reglamentas dėl bendro žemės ūkio produktų rinkos organizavimo (BRO)</w:t>
      </w:r>
    </w:p>
    <w:p w14:paraId="37448EB2" w14:textId="77777777" w:rsidR="004F70E5" w:rsidRDefault="004F70E5" w:rsidP="00C05A9C">
      <w:pPr>
        <w:pStyle w:val="Default"/>
      </w:pPr>
    </w:p>
    <w:p w14:paraId="163B108C" w14:textId="6EC3317D" w:rsidR="004F70E5" w:rsidRDefault="004F70E5" w:rsidP="00C05A9C">
      <w:pPr>
        <w:pStyle w:val="Default"/>
      </w:pPr>
      <w:r>
        <w:t>3.</w:t>
      </w:r>
      <w:r w:rsidR="0082481F" w:rsidRPr="0082481F">
        <w:t xml:space="preserve"> </w:t>
      </w:r>
      <w:bookmarkStart w:id="0" w:name="_Hlk29889993"/>
      <w:r w:rsidR="00F81E15">
        <w:t>Strategija „</w:t>
      </w:r>
      <w:r w:rsidR="009F26D6">
        <w:t>N</w:t>
      </w:r>
      <w:r w:rsidR="00F81E15">
        <w:t>uo ūkio iki stalo“</w:t>
      </w:r>
    </w:p>
    <w:bookmarkEnd w:id="0"/>
    <w:p w14:paraId="36418222" w14:textId="1580B47B" w:rsidR="00216E58" w:rsidRDefault="00216E58" w:rsidP="00C05A9C">
      <w:pPr>
        <w:pStyle w:val="Default"/>
      </w:pPr>
    </w:p>
    <w:p w14:paraId="059893BA" w14:textId="0B874F8E" w:rsidR="00F81E15" w:rsidRDefault="00F81E15" w:rsidP="00C05A9C">
      <w:pPr>
        <w:pStyle w:val="Default"/>
      </w:pPr>
      <w:r>
        <w:t xml:space="preserve">4. </w:t>
      </w:r>
      <w:r w:rsidR="009F26D6">
        <w:t xml:space="preserve">Padėtis </w:t>
      </w:r>
      <w:r>
        <w:t>žemės ūkio rinkose</w:t>
      </w:r>
    </w:p>
    <w:p w14:paraId="0A4E3B6A" w14:textId="77777777" w:rsidR="00216E58" w:rsidRPr="009372F3" w:rsidRDefault="00216E58" w:rsidP="00345667">
      <w:pPr>
        <w:rPr>
          <w:b/>
          <w:bCs/>
          <w:sz w:val="28"/>
          <w:szCs w:val="28"/>
        </w:rPr>
      </w:pPr>
    </w:p>
    <w:p w14:paraId="64DF202F" w14:textId="77777777" w:rsidR="006D5593" w:rsidRDefault="007046E6" w:rsidP="007046E6">
      <w:pPr>
        <w:spacing w:line="360" w:lineRule="auto"/>
      </w:pPr>
      <w:r w:rsidRPr="007046E6">
        <w:t>Teikiame preliminarias Lietuvos Respublikos pozicijas ES Tarybos posėdžiui:</w:t>
      </w:r>
    </w:p>
    <w:p w14:paraId="59D81E93" w14:textId="69A91E60" w:rsidR="00DA66A9" w:rsidRPr="00573E6A" w:rsidRDefault="004821A0" w:rsidP="00DA66A9">
      <w:pPr>
        <w:spacing w:before="120"/>
        <w:rPr>
          <w:b/>
          <w:bCs/>
        </w:rPr>
      </w:pPr>
      <w:r w:rsidRPr="004821A0">
        <w:rPr>
          <w:b/>
        </w:rPr>
        <w:t xml:space="preserve">1. </w:t>
      </w:r>
      <w:r w:rsidR="00DA66A9" w:rsidRPr="00DA66A9">
        <w:rPr>
          <w:b/>
        </w:rPr>
        <w:t>Pirmininkaujančios valstybės narės darbo programa</w:t>
      </w:r>
    </w:p>
    <w:p w14:paraId="24DB3E06" w14:textId="21553BA8" w:rsidR="00504910" w:rsidRDefault="00504910" w:rsidP="00DA66A9">
      <w:pPr>
        <w:ind w:firstLine="426"/>
        <w:rPr>
          <w:bCs/>
          <w:i/>
          <w:iCs/>
        </w:rPr>
      </w:pPr>
      <w:r w:rsidRPr="004F1E3C">
        <w:rPr>
          <w:bCs/>
          <w:i/>
          <w:iCs/>
        </w:rPr>
        <w:t>- P</w:t>
      </w:r>
      <w:r w:rsidR="00DA66A9">
        <w:rPr>
          <w:bCs/>
          <w:i/>
          <w:iCs/>
        </w:rPr>
        <w:t xml:space="preserve">irmininkaujančios valstybės narės </w:t>
      </w:r>
      <w:r w:rsidR="00F74BCF">
        <w:rPr>
          <w:bCs/>
          <w:i/>
          <w:iCs/>
        </w:rPr>
        <w:t>pranešimas</w:t>
      </w:r>
    </w:p>
    <w:p w14:paraId="0369156C" w14:textId="77777777" w:rsidR="00E3354B" w:rsidRDefault="00E3354B" w:rsidP="00E3354B">
      <w:pPr>
        <w:spacing w:line="360" w:lineRule="auto"/>
        <w:ind w:firstLine="426"/>
        <w:jc w:val="both"/>
        <w:rPr>
          <w:rFonts w:eastAsia="Calibri"/>
          <w:szCs w:val="22"/>
        </w:rPr>
      </w:pPr>
    </w:p>
    <w:p w14:paraId="7074CC43" w14:textId="573C6280" w:rsidR="007721E1" w:rsidRDefault="007721E1" w:rsidP="007721E1">
      <w:pPr>
        <w:spacing w:line="360" w:lineRule="auto"/>
        <w:ind w:firstLine="426"/>
        <w:jc w:val="both"/>
        <w:rPr>
          <w:bCs/>
        </w:rPr>
      </w:pPr>
      <w:r w:rsidRPr="007721E1">
        <w:rPr>
          <w:bCs/>
        </w:rPr>
        <w:t>Žemės ūkio ir žuvininkystės tarybos kompetencijos srities klausimai patenka į Vokietijos pirmininkavimo programos IV skyrių „Tvari Europa“. Vokietija kelia tikslą įveikti COVID-19 pandemijos ekonominius ir socialinius padarinius ir padėti formuoti perėjimą prie tvarios ekonomikos. Jos prioritetai yra ambicinga klimato, aplinkos ir biologinės įvairovės politika, dėmesys Jungtinių Tautų Tvarios plėtros darbotvarkei iki 2030 m. ir tvariam žemės ūkiui.</w:t>
      </w:r>
    </w:p>
    <w:p w14:paraId="5FBABB42" w14:textId="7ADFA2C8" w:rsidR="007721E1" w:rsidRPr="007721E1" w:rsidRDefault="007721E1" w:rsidP="007721E1">
      <w:pPr>
        <w:spacing w:line="360" w:lineRule="auto"/>
        <w:ind w:firstLine="426"/>
        <w:jc w:val="both"/>
        <w:rPr>
          <w:bCs/>
        </w:rPr>
      </w:pPr>
      <w:r w:rsidRPr="007721E1">
        <w:rPr>
          <w:bCs/>
        </w:rPr>
        <w:t>Pirmininkavimo programos dalyje, skirtoje Europos atsakui į COVID-19 pandemiją, pabrėžiamas jos siekis sustiprinti žemės ūkio ir maisto pramonės, kaip esminio sektoriaus, pajėgumus užtikrinant žemės ūkio ir maisto produktų tiekimą Europos gyventojams.</w:t>
      </w:r>
    </w:p>
    <w:p w14:paraId="2F6E1216" w14:textId="77777777" w:rsidR="007721E1" w:rsidRPr="00ED4101" w:rsidRDefault="007721E1" w:rsidP="007721E1">
      <w:pPr>
        <w:spacing w:line="360" w:lineRule="auto"/>
        <w:ind w:firstLine="426"/>
        <w:jc w:val="both"/>
        <w:rPr>
          <w:bCs/>
          <w:u w:val="single"/>
        </w:rPr>
      </w:pPr>
      <w:r w:rsidRPr="00ED4101">
        <w:rPr>
          <w:bCs/>
          <w:u w:val="single"/>
        </w:rPr>
        <w:t>„Tvari žemės ūkio ir žvejybos plėtra ir tvarios kaimo vietovės“</w:t>
      </w:r>
    </w:p>
    <w:p w14:paraId="2CB8AD6F" w14:textId="0A0EBF7D" w:rsidR="007721E1" w:rsidRPr="007721E1" w:rsidRDefault="007721E1" w:rsidP="007721E1">
      <w:pPr>
        <w:spacing w:line="360" w:lineRule="auto"/>
        <w:ind w:firstLine="426"/>
        <w:jc w:val="both"/>
        <w:rPr>
          <w:bCs/>
        </w:rPr>
      </w:pPr>
      <w:r w:rsidRPr="007721E1">
        <w:rPr>
          <w:bCs/>
        </w:rPr>
        <w:t xml:space="preserve">Vokietija pabrėžia </w:t>
      </w:r>
      <w:r w:rsidR="005E5FC3">
        <w:rPr>
          <w:bCs/>
        </w:rPr>
        <w:t xml:space="preserve">dėl </w:t>
      </w:r>
      <w:r w:rsidRPr="007721E1">
        <w:rPr>
          <w:bCs/>
        </w:rPr>
        <w:t xml:space="preserve">COVID-19 pandemijos </w:t>
      </w:r>
      <w:r w:rsidR="005E5FC3">
        <w:rPr>
          <w:bCs/>
        </w:rPr>
        <w:t>padidėjusią</w:t>
      </w:r>
      <w:r w:rsidRPr="007721E1">
        <w:rPr>
          <w:bCs/>
        </w:rPr>
        <w:t xml:space="preserve"> regioninio apsirūpinimo maistu svarbą, todėl skirs dėmesį tvariam maisto grandinių įgyvendinimui krizių metu, gyvūnų gerovės užtikrinimui ir kad vartotojus pasiektų saugūs, kokybiški ir įperkami maisto produktai.</w:t>
      </w:r>
    </w:p>
    <w:p w14:paraId="09E7444D" w14:textId="3893D3F0" w:rsidR="00504910" w:rsidRDefault="007721E1" w:rsidP="007721E1">
      <w:pPr>
        <w:spacing w:line="360" w:lineRule="auto"/>
        <w:ind w:firstLine="426"/>
        <w:jc w:val="both"/>
        <w:rPr>
          <w:bCs/>
        </w:rPr>
      </w:pPr>
      <w:r w:rsidRPr="007721E1">
        <w:rPr>
          <w:bCs/>
        </w:rPr>
        <w:t xml:space="preserve">Pirmininkavimo metu ji sieks įgyvendinti </w:t>
      </w:r>
      <w:r w:rsidR="001444F2">
        <w:rPr>
          <w:bCs/>
        </w:rPr>
        <w:t>d</w:t>
      </w:r>
      <w:r w:rsidRPr="007721E1">
        <w:rPr>
          <w:bCs/>
        </w:rPr>
        <w:t xml:space="preserve">arnaus vystymosi tikslus per šiuolaikiškus ir tvarius žemės ūkio ir žvejybos sektorius, ypač </w:t>
      </w:r>
      <w:r w:rsidR="001444F2">
        <w:rPr>
          <w:bCs/>
        </w:rPr>
        <w:t>pa</w:t>
      </w:r>
      <w:r w:rsidRPr="007721E1">
        <w:rPr>
          <w:bCs/>
        </w:rPr>
        <w:t xml:space="preserve">naudojant skaitmeninių technologijų teikiamas galimybes. Derybose dėl </w:t>
      </w:r>
      <w:r w:rsidR="001444F2">
        <w:rPr>
          <w:bCs/>
        </w:rPr>
        <w:t>b</w:t>
      </w:r>
      <w:r w:rsidRPr="007721E1">
        <w:rPr>
          <w:bCs/>
        </w:rPr>
        <w:t>endros</w:t>
      </w:r>
      <w:r w:rsidR="00CF6663">
        <w:rPr>
          <w:bCs/>
        </w:rPr>
        <w:t>ios</w:t>
      </w:r>
      <w:r w:rsidRPr="007721E1">
        <w:rPr>
          <w:bCs/>
        </w:rPr>
        <w:t xml:space="preserve"> žemės ūkio politikos (BŽŪP) po 2020 m. Vokietija sieks Tarybos bendrojo požiūrio. Bus siekiama patvirtinti Tarybos išvadas dėl strategijos „Nuo ūkio iki stalo“, taip pat pateikti Tarybos išvadas dėl gyvūnų gerovės ir maisto ženklinimo. Žuvininkystės srityje, greta kitų darbų, bus deramasi dėl žvejybos galimybių 2021 metams. Pirm</w:t>
      </w:r>
      <w:r w:rsidR="001444F2">
        <w:rPr>
          <w:bCs/>
        </w:rPr>
        <w:t>ininkavimo</w:t>
      </w:r>
      <w:r w:rsidRPr="007721E1">
        <w:rPr>
          <w:bCs/>
        </w:rPr>
        <w:t xml:space="preserve"> programoje akcentuojama kaimo vietovių ateities užtikrinimo, jų plėtros potencialo atskleidimo ir paramos joms svarba.</w:t>
      </w:r>
    </w:p>
    <w:p w14:paraId="61D023C9" w14:textId="6D2CD1AF" w:rsidR="007721E1" w:rsidRDefault="007721E1" w:rsidP="007721E1">
      <w:pPr>
        <w:spacing w:line="360" w:lineRule="auto"/>
        <w:ind w:firstLine="426"/>
        <w:rPr>
          <w:bCs/>
        </w:rPr>
      </w:pPr>
    </w:p>
    <w:p w14:paraId="6B751877" w14:textId="77777777" w:rsidR="00576B82" w:rsidRPr="004F1E3C" w:rsidRDefault="00576B82" w:rsidP="007721E1">
      <w:pPr>
        <w:spacing w:line="360" w:lineRule="auto"/>
        <w:ind w:firstLine="426"/>
        <w:rPr>
          <w:bCs/>
        </w:rPr>
      </w:pPr>
    </w:p>
    <w:p w14:paraId="6490393F" w14:textId="60A6C084" w:rsidR="0082481F" w:rsidRPr="00AF4F9D" w:rsidRDefault="0082481F" w:rsidP="00B370E0">
      <w:pPr>
        <w:spacing w:line="360" w:lineRule="auto"/>
        <w:ind w:firstLine="426"/>
        <w:jc w:val="both"/>
        <w:rPr>
          <w:b/>
          <w:u w:val="single"/>
        </w:rPr>
      </w:pPr>
      <w:r w:rsidRPr="00AF4F9D">
        <w:rPr>
          <w:b/>
          <w:u w:val="single"/>
        </w:rPr>
        <w:lastRenderedPageBreak/>
        <w:t>Lietuvos pozicija</w:t>
      </w:r>
    </w:p>
    <w:p w14:paraId="19954C87" w14:textId="5243CC4C" w:rsidR="004C0C5C" w:rsidRDefault="00E3354B" w:rsidP="008B3631">
      <w:pPr>
        <w:spacing w:line="360" w:lineRule="auto"/>
        <w:ind w:firstLine="426"/>
        <w:jc w:val="both"/>
        <w:rPr>
          <w:rFonts w:eastAsia="Calibri"/>
          <w:szCs w:val="22"/>
        </w:rPr>
      </w:pPr>
      <w:r w:rsidRPr="00E3354B">
        <w:rPr>
          <w:rFonts w:eastAsia="Calibri"/>
          <w:szCs w:val="22"/>
        </w:rPr>
        <w:t xml:space="preserve">Lietuva palaiko ES Tarybai pirmininkaujančios </w:t>
      </w:r>
      <w:r w:rsidR="007721E1">
        <w:rPr>
          <w:rFonts w:eastAsia="Calibri"/>
          <w:szCs w:val="22"/>
        </w:rPr>
        <w:t>Vokietijo</w:t>
      </w:r>
      <w:r w:rsidRPr="00E3354B">
        <w:rPr>
          <w:rFonts w:eastAsia="Calibri"/>
          <w:szCs w:val="22"/>
        </w:rPr>
        <w:t>s darbo programą ir ketina aktyviai dalyvauti svarstant konkrečius klausimus</w:t>
      </w:r>
      <w:r w:rsidR="004C0C5C">
        <w:rPr>
          <w:rFonts w:eastAsia="Calibri"/>
          <w:szCs w:val="22"/>
        </w:rPr>
        <w:t>, ypač susijusius su BŽŪP po 2020 m.</w:t>
      </w:r>
      <w:r w:rsidRPr="00E3354B">
        <w:rPr>
          <w:rFonts w:eastAsia="Calibri"/>
          <w:szCs w:val="22"/>
        </w:rPr>
        <w:t xml:space="preserve"> </w:t>
      </w:r>
    </w:p>
    <w:p w14:paraId="7A76D7CA" w14:textId="067F5CC5" w:rsidR="00E3354B" w:rsidRPr="00E3354B" w:rsidRDefault="00E3354B" w:rsidP="00893A05">
      <w:pPr>
        <w:spacing w:line="360" w:lineRule="auto"/>
        <w:ind w:firstLine="426"/>
        <w:jc w:val="both"/>
        <w:rPr>
          <w:rFonts w:eastAsia="Calibri"/>
          <w:szCs w:val="22"/>
        </w:rPr>
      </w:pPr>
      <w:r w:rsidRPr="00E3354B">
        <w:rPr>
          <w:rFonts w:eastAsia="Calibri"/>
          <w:szCs w:val="22"/>
        </w:rPr>
        <w:t>ES Tarybos</w:t>
      </w:r>
      <w:r w:rsidR="003413FE">
        <w:rPr>
          <w:rFonts w:eastAsia="Calibri"/>
          <w:szCs w:val="22"/>
        </w:rPr>
        <w:t xml:space="preserve"> posėdžio</w:t>
      </w:r>
      <w:r w:rsidRPr="00E3354B">
        <w:rPr>
          <w:rFonts w:eastAsia="Calibri"/>
          <w:szCs w:val="22"/>
        </w:rPr>
        <w:t xml:space="preserve"> metu Lietuva išklausys pirmininkaujančios valstybės narės informaciją.</w:t>
      </w:r>
    </w:p>
    <w:p w14:paraId="50F1C9D6" w14:textId="77777777" w:rsidR="00C26086" w:rsidRDefault="00C26086" w:rsidP="00C26086">
      <w:pPr>
        <w:spacing w:line="360" w:lineRule="auto"/>
        <w:jc w:val="both"/>
        <w:rPr>
          <w:color w:val="000000"/>
        </w:rPr>
      </w:pPr>
    </w:p>
    <w:p w14:paraId="2137357E" w14:textId="71F144C6" w:rsidR="00482F90" w:rsidRPr="005E5FC3" w:rsidRDefault="004B4CBD" w:rsidP="005E5FC3">
      <w:pPr>
        <w:jc w:val="both"/>
        <w:rPr>
          <w:rFonts w:eastAsia="Calibri"/>
          <w:b/>
          <w:bCs/>
        </w:rPr>
      </w:pPr>
      <w:r>
        <w:rPr>
          <w:b/>
        </w:rPr>
        <w:t xml:space="preserve">2. </w:t>
      </w:r>
      <w:r w:rsidR="00482F90" w:rsidRPr="00482F90">
        <w:rPr>
          <w:rFonts w:eastAsia="Calibri"/>
          <w:b/>
          <w:bCs/>
        </w:rPr>
        <w:t xml:space="preserve"> </w:t>
      </w:r>
      <w:r w:rsidR="00EE3856" w:rsidRPr="00EE3856">
        <w:rPr>
          <w:rFonts w:eastAsia="Calibri"/>
          <w:b/>
          <w:bCs/>
        </w:rPr>
        <w:t>BŽŪP reformos dokumentų rinkinys</w:t>
      </w:r>
    </w:p>
    <w:p w14:paraId="5F312EDE" w14:textId="110DBCFA" w:rsidR="00EE3856" w:rsidRPr="00EE3856" w:rsidRDefault="00EE3856" w:rsidP="00EE3856">
      <w:pPr>
        <w:ind w:firstLine="284"/>
        <w:rPr>
          <w:rFonts w:eastAsia="Calibri"/>
          <w:i/>
          <w:iCs/>
        </w:rPr>
      </w:pPr>
      <w:r>
        <w:rPr>
          <w:rFonts w:eastAsia="Calibri"/>
          <w:i/>
          <w:iCs/>
        </w:rPr>
        <w:t xml:space="preserve">- </w:t>
      </w:r>
      <w:r w:rsidR="005E5FC3">
        <w:rPr>
          <w:rFonts w:eastAsia="Calibri"/>
          <w:i/>
          <w:iCs/>
        </w:rPr>
        <w:t>Pa</w:t>
      </w:r>
      <w:r>
        <w:rPr>
          <w:rFonts w:eastAsia="Calibri"/>
          <w:i/>
          <w:iCs/>
        </w:rPr>
        <w:t>sikeitimas nuomonėmis</w:t>
      </w:r>
    </w:p>
    <w:p w14:paraId="0C699301" w14:textId="77777777" w:rsidR="00D00FEA" w:rsidRPr="00D00FEA" w:rsidRDefault="00D00FEA" w:rsidP="00D00FEA">
      <w:pPr>
        <w:spacing w:line="360" w:lineRule="auto"/>
        <w:rPr>
          <w:rFonts w:eastAsia="Calibri"/>
        </w:rPr>
      </w:pPr>
    </w:p>
    <w:p w14:paraId="49393CA5" w14:textId="1A3671F6" w:rsidR="00D00FEA" w:rsidRPr="00D00FEA" w:rsidRDefault="00D00FEA" w:rsidP="00D00FEA">
      <w:pPr>
        <w:spacing w:line="360" w:lineRule="auto"/>
        <w:ind w:firstLine="426"/>
        <w:jc w:val="both"/>
        <w:rPr>
          <w:rFonts w:eastAsia="Calibri"/>
        </w:rPr>
      </w:pPr>
      <w:r w:rsidRPr="00D00FEA">
        <w:rPr>
          <w:rFonts w:eastAsia="Calibri"/>
        </w:rPr>
        <w:t>Vienas iš svarbiausių BŽŪP reformos prioritetų yra stiprinti aplinkos apsaugos ir klimato srities veiksmus ir padėti pasiekti ambicingesnius su aplinka ir klimatu susijusius Europos Sąjungos tikslus. Todėl laikotarpiui po 2020 m. siūloma naujos struktūros BŽŪP „žalioji architektūra“ (kuria siekiama platesnio užmojo veiksmų aplinkos ir klimato kaitos srityje), kuri apima būtinas sustiprintas sąlygas paramai gauti (</w:t>
      </w:r>
      <w:proofErr w:type="spellStart"/>
      <w:r w:rsidRPr="00D57DA0">
        <w:rPr>
          <w:rFonts w:eastAsia="Calibri"/>
          <w:i/>
          <w:iCs/>
        </w:rPr>
        <w:t>enhanced</w:t>
      </w:r>
      <w:proofErr w:type="spellEnd"/>
      <w:r w:rsidRPr="00D57DA0">
        <w:rPr>
          <w:rFonts w:eastAsia="Calibri"/>
          <w:i/>
          <w:iCs/>
        </w:rPr>
        <w:t xml:space="preserve"> </w:t>
      </w:r>
      <w:proofErr w:type="spellStart"/>
      <w:r w:rsidRPr="00D57DA0">
        <w:rPr>
          <w:rFonts w:eastAsia="Calibri"/>
          <w:i/>
          <w:iCs/>
        </w:rPr>
        <w:t>conditionality</w:t>
      </w:r>
      <w:proofErr w:type="spellEnd"/>
      <w:r w:rsidRPr="00D00FEA">
        <w:rPr>
          <w:rFonts w:eastAsia="Calibri"/>
        </w:rPr>
        <w:t xml:space="preserve">), ekologines schemas pagal I ramstį (tiesioginės išmokos), kovos su klimato kaita ir aplinkosaugos priemones pagal II ramstį (kaimo plėtra) </w:t>
      </w:r>
      <w:r w:rsidR="005B4F55">
        <w:rPr>
          <w:rFonts w:eastAsia="Calibri"/>
        </w:rPr>
        <w:t>–</w:t>
      </w:r>
      <w:r w:rsidR="005B4F55" w:rsidRPr="00D00FEA">
        <w:rPr>
          <w:rFonts w:eastAsia="Calibri"/>
        </w:rPr>
        <w:t xml:space="preserve"> </w:t>
      </w:r>
      <w:r w:rsidRPr="00D00FEA">
        <w:rPr>
          <w:rFonts w:eastAsia="Calibri"/>
        </w:rPr>
        <w:t>agrarinės aplinkosaugos, miškininkystės, investicinės priemonės.</w:t>
      </w:r>
      <w:r w:rsidR="0051123A">
        <w:rPr>
          <w:rFonts w:eastAsia="Calibri"/>
        </w:rPr>
        <w:t xml:space="preserve"> Būtent „žaliosios architektūros“ klausimais numatoma diskutuoti š. m. liepos 20 d. ES Tarybos posėdyje.</w:t>
      </w:r>
    </w:p>
    <w:p w14:paraId="33D85105" w14:textId="35BEA0B1" w:rsidR="00D00FEA" w:rsidRPr="00D00FEA" w:rsidRDefault="00D00FEA" w:rsidP="00D00FEA">
      <w:pPr>
        <w:spacing w:line="360" w:lineRule="auto"/>
        <w:ind w:firstLine="426"/>
        <w:jc w:val="both"/>
        <w:rPr>
          <w:rFonts w:eastAsia="Calibri"/>
        </w:rPr>
      </w:pPr>
      <w:r w:rsidRPr="00D00FEA">
        <w:rPr>
          <w:rFonts w:eastAsia="Calibri"/>
        </w:rPr>
        <w:t>Siekdama padėti pasiekti aukštesnį aplinkos ir klimato užmojų lygį, lygin</w:t>
      </w:r>
      <w:r w:rsidR="00B900BB">
        <w:rPr>
          <w:rFonts w:eastAsia="Calibri"/>
        </w:rPr>
        <w:t>ant</w:t>
      </w:r>
      <w:r w:rsidRPr="00D00FEA">
        <w:rPr>
          <w:rFonts w:eastAsia="Calibri"/>
        </w:rPr>
        <w:t xml:space="preserve"> su dabartine padėtimi, 2019 m. II pusmetį Tarybai pirmininkavusi Suomija pasiūlė nustatyti vieną, abiem BŽŪP ramsčiams bendrą, procentą, privalomą skirti su aplinka ir klimatu susijusiems tikslams pasiekti, kuris būtų vienodai taikomas visoms valstybėms narėms. Diskusijos šiuo klausimu toliau vyko ir Kroatijos pirmininkavimo metu. Tačiau, kaip ir buvo</w:t>
      </w:r>
      <w:r w:rsidR="00B900BB">
        <w:rPr>
          <w:rFonts w:eastAsia="Calibri"/>
        </w:rPr>
        <w:t xml:space="preserve"> konstatuota </w:t>
      </w:r>
      <w:r w:rsidRPr="00D00FEA">
        <w:rPr>
          <w:rFonts w:eastAsia="Calibri"/>
        </w:rPr>
        <w:t>BŽŪP pažangos ataskaitoje, pirmininkaujanti Kroatija nematė pakankamos valstybių narių paramos šio požiūrio įgyvendinimui</w:t>
      </w:r>
      <w:r w:rsidR="00B900BB">
        <w:rPr>
          <w:rFonts w:eastAsia="Calibri"/>
        </w:rPr>
        <w:t>,</w:t>
      </w:r>
      <w:r w:rsidRPr="00D00FEA">
        <w:rPr>
          <w:rFonts w:eastAsia="Calibri"/>
        </w:rPr>
        <w:t xml:space="preserve"> dėl </w:t>
      </w:r>
      <w:r w:rsidR="00B17D66">
        <w:rPr>
          <w:rFonts w:eastAsia="Calibri"/>
        </w:rPr>
        <w:t>išsiskyrusių</w:t>
      </w:r>
      <w:r w:rsidRPr="00D00FEA">
        <w:rPr>
          <w:rFonts w:eastAsia="Calibri"/>
        </w:rPr>
        <w:t xml:space="preserve"> jų nuomonių šiuo klausimu. Nepaisant to, </w:t>
      </w:r>
      <w:r w:rsidR="00C332E8">
        <w:rPr>
          <w:rFonts w:eastAsia="Calibri"/>
        </w:rPr>
        <w:t xml:space="preserve">š. m. </w:t>
      </w:r>
      <w:r w:rsidRPr="00D00FEA">
        <w:rPr>
          <w:rFonts w:eastAsia="Calibri"/>
        </w:rPr>
        <w:t xml:space="preserve">liepos 6 d. Specialaus žemės ūkio komiteto posėdyje </w:t>
      </w:r>
      <w:r w:rsidR="00B900BB">
        <w:rPr>
          <w:rFonts w:eastAsia="Calibri"/>
        </w:rPr>
        <w:t xml:space="preserve">kai kurios </w:t>
      </w:r>
      <w:r w:rsidRPr="00D00FEA">
        <w:rPr>
          <w:rFonts w:eastAsia="Calibri"/>
        </w:rPr>
        <w:t xml:space="preserve">valstybės </w:t>
      </w:r>
      <w:r w:rsidR="00B900BB">
        <w:rPr>
          <w:rFonts w:eastAsia="Calibri"/>
        </w:rPr>
        <w:t>pasisakė</w:t>
      </w:r>
      <w:r w:rsidRPr="00D00FEA">
        <w:rPr>
          <w:rFonts w:eastAsia="Calibri"/>
        </w:rPr>
        <w:t>, kad visgi verta atkreipti dėmesį į pasiūlymą dėl abiejų BŽŪP ramsčių indėlio su aplinkosauga ir klimatu susijusiems tikslams įgyvendinti nustatymo ir, jų nuomone, šis aspektas galėtų būti toliau nagrinėjamas.</w:t>
      </w:r>
    </w:p>
    <w:p w14:paraId="0CA906CF" w14:textId="6D277439" w:rsidR="00D00FEA" w:rsidRPr="00D00FEA" w:rsidRDefault="00D00FEA" w:rsidP="00B17D66">
      <w:pPr>
        <w:spacing w:line="360" w:lineRule="auto"/>
        <w:ind w:firstLine="426"/>
        <w:jc w:val="both"/>
        <w:rPr>
          <w:rFonts w:eastAsia="Calibri"/>
        </w:rPr>
      </w:pPr>
      <w:r w:rsidRPr="00D00FEA">
        <w:rPr>
          <w:rFonts w:eastAsia="Calibri"/>
        </w:rPr>
        <w:t xml:space="preserve">Vienas iš naujų būsimos BŽŪP elementų, kuris turėtų aktyviai prisidėti siekiant didesnių aplinkosaugos ir klimato kaitos srities užmojų, yra ekologinės schemos – tai schemos, susijusios su klimatui ir aplinkai naudingomis veiklomis, finansuojamos pagal BŽŪP I ramstį. Pagal Europos Komisijos pasiūlymą schema privaloma taikyti valstybės narės lygiu, tačiau laisvai pasirenkama (neprivaloma) paramos gavėjui. Pažymėtina, kad valstybių narių nuomonės dėl privalomo ar savanoriško ekologinių schemų taikymo vis dar išsiskiria. Pasisakantys už savanorišką požiūrį teigė, kad ekologinės schemos yra nauja priemonė, jų populiarumą </w:t>
      </w:r>
      <w:r w:rsidR="005B4F55">
        <w:rPr>
          <w:rFonts w:eastAsia="Calibri"/>
        </w:rPr>
        <w:t xml:space="preserve">tarp </w:t>
      </w:r>
      <w:r w:rsidRPr="00D00FEA">
        <w:rPr>
          <w:rFonts w:eastAsia="Calibri"/>
        </w:rPr>
        <w:t>ūkininkų ir atitinkamai panaudojimo intensyvumą gali būti sunku numatyti, todėl reikėtų daugiau finansinio lankstumo dėl jų taikymo.</w:t>
      </w:r>
    </w:p>
    <w:p w14:paraId="4B76EC72" w14:textId="1DA2AB51" w:rsidR="00D00FEA" w:rsidRPr="00D00FEA" w:rsidRDefault="00D00FEA" w:rsidP="00D00FEA">
      <w:pPr>
        <w:spacing w:line="360" w:lineRule="auto"/>
        <w:ind w:firstLine="426"/>
        <w:jc w:val="both"/>
        <w:rPr>
          <w:rFonts w:eastAsia="Calibri"/>
        </w:rPr>
      </w:pPr>
      <w:r w:rsidRPr="00D00FEA">
        <w:rPr>
          <w:rFonts w:eastAsia="Calibri"/>
        </w:rPr>
        <w:t xml:space="preserve">Europos Komisija savo darbiniame dokumente „BŽŪP reformos ir Europos </w:t>
      </w:r>
      <w:r w:rsidR="005B4F55">
        <w:rPr>
          <w:rFonts w:eastAsia="Calibri"/>
        </w:rPr>
        <w:t>ž</w:t>
      </w:r>
      <w:r w:rsidRPr="00D00FEA">
        <w:rPr>
          <w:rFonts w:eastAsia="Calibri"/>
        </w:rPr>
        <w:t>aliojo kurso sąsajų analizė“, paskelbtame 2020 m. gegužės mėn., siūlo numatyti tam tikrą procentą, privalomą skirti ekologinėms schemoms pagal pirmąjį BŽŪP ramstį (</w:t>
      </w:r>
      <w:proofErr w:type="spellStart"/>
      <w:r w:rsidRPr="00B17D66">
        <w:rPr>
          <w:rFonts w:eastAsia="Calibri"/>
          <w:i/>
          <w:iCs/>
        </w:rPr>
        <w:t>ring-fencing</w:t>
      </w:r>
      <w:proofErr w:type="spellEnd"/>
      <w:r w:rsidRPr="00D00FEA">
        <w:rPr>
          <w:rFonts w:eastAsia="Calibri"/>
        </w:rPr>
        <w:t xml:space="preserve">). Valstybių narių nuomonės šiuo </w:t>
      </w:r>
      <w:r w:rsidRPr="00D00FEA">
        <w:rPr>
          <w:rFonts w:eastAsia="Calibri"/>
        </w:rPr>
        <w:lastRenderedPageBreak/>
        <w:t>klausimu išsiskyrė. Kai kurių valstybių narių nuomone, be pakankamo finansinio lankstumo užtikrinimo, dėl galimo nepakankamo šių priemonių panaudojimo gali būti prarandamos turimos lėšos.</w:t>
      </w:r>
    </w:p>
    <w:p w14:paraId="5E0BE8AE" w14:textId="0334CAAA" w:rsidR="00482F90" w:rsidRDefault="00D00FEA" w:rsidP="003306B2">
      <w:pPr>
        <w:spacing w:line="360" w:lineRule="auto"/>
        <w:ind w:firstLine="426"/>
        <w:jc w:val="both"/>
        <w:rPr>
          <w:rFonts w:eastAsia="Calibri"/>
        </w:rPr>
      </w:pPr>
      <w:r w:rsidRPr="00D00FEA">
        <w:rPr>
          <w:rFonts w:eastAsia="Calibri"/>
        </w:rPr>
        <w:t>Nuo š.</w:t>
      </w:r>
      <w:r w:rsidR="00B17D66">
        <w:rPr>
          <w:rFonts w:eastAsia="Calibri"/>
        </w:rPr>
        <w:t xml:space="preserve"> </w:t>
      </w:r>
      <w:r w:rsidRPr="00D00FEA">
        <w:rPr>
          <w:rFonts w:eastAsia="Calibri"/>
        </w:rPr>
        <w:t>m. liepos 1 d. pirmininkavimą ES Tarybai pradėjusios Vokietijos požiūriu, su aplinkosauga ir klimatu susijusių išlaidų atskyrimo (</w:t>
      </w:r>
      <w:proofErr w:type="spellStart"/>
      <w:r w:rsidRPr="00B17D66">
        <w:rPr>
          <w:rFonts w:eastAsia="Calibri"/>
          <w:i/>
          <w:iCs/>
        </w:rPr>
        <w:t>ring-fencing</w:t>
      </w:r>
      <w:proofErr w:type="spellEnd"/>
      <w:r w:rsidRPr="00D00FEA">
        <w:rPr>
          <w:rFonts w:eastAsia="Calibri"/>
        </w:rPr>
        <w:t xml:space="preserve">) klausimas ir su tuo susijęs ekologinių schemų taikymo lankstumo poreikis yra vienas svarbiausių atvirų klausimų diskutuojant dėl „žaliosios architektūros“, todėl ES Tarybos </w:t>
      </w:r>
      <w:r w:rsidR="00B17D66" w:rsidRPr="00D00FEA">
        <w:rPr>
          <w:rFonts w:eastAsia="Calibri"/>
        </w:rPr>
        <w:t>posėdyje</w:t>
      </w:r>
      <w:r w:rsidRPr="00D00FEA">
        <w:rPr>
          <w:rFonts w:eastAsia="Calibri"/>
        </w:rPr>
        <w:t xml:space="preserve"> numatomas pasikeitimas nuomonėmis minėtais aktualiais aspektais. ES Taryb</w:t>
      </w:r>
      <w:r>
        <w:rPr>
          <w:rFonts w:eastAsia="Calibri"/>
        </w:rPr>
        <w:t xml:space="preserve">os posėdžiui </w:t>
      </w:r>
      <w:r w:rsidRPr="00D00FEA">
        <w:rPr>
          <w:rFonts w:eastAsia="Calibri"/>
        </w:rPr>
        <w:t>skirtas dokumentas negautas.</w:t>
      </w:r>
    </w:p>
    <w:p w14:paraId="5E6AC464" w14:textId="77777777" w:rsidR="00421EE2" w:rsidRDefault="00421EE2" w:rsidP="00482F90">
      <w:pPr>
        <w:spacing w:line="360" w:lineRule="auto"/>
        <w:ind w:firstLine="426"/>
        <w:rPr>
          <w:rFonts w:eastAsia="Calibri"/>
          <w:b/>
          <w:bCs/>
        </w:rPr>
      </w:pPr>
    </w:p>
    <w:p w14:paraId="1F95D79D" w14:textId="4B8C3F72" w:rsidR="00482F90" w:rsidRPr="00482F90" w:rsidRDefault="00482F90" w:rsidP="00482F90">
      <w:pPr>
        <w:spacing w:line="360" w:lineRule="auto"/>
        <w:ind w:firstLine="426"/>
        <w:rPr>
          <w:rFonts w:eastAsia="Calibri"/>
          <w:b/>
          <w:bCs/>
        </w:rPr>
      </w:pPr>
      <w:bookmarkStart w:id="1" w:name="_Hlk30167016"/>
      <w:r w:rsidRPr="00482F90">
        <w:rPr>
          <w:rFonts w:eastAsia="Calibri"/>
          <w:b/>
          <w:bCs/>
        </w:rPr>
        <w:t>Lietuvos pozicija:</w:t>
      </w:r>
    </w:p>
    <w:p w14:paraId="77C2B410" w14:textId="1494F3AA" w:rsidR="00DF61BA" w:rsidRDefault="00DF61BA" w:rsidP="00DF61BA">
      <w:pPr>
        <w:spacing w:line="360" w:lineRule="auto"/>
        <w:ind w:firstLine="426"/>
        <w:jc w:val="both"/>
      </w:pPr>
      <w:r>
        <w:t>Lietuva pritaria ambicingiems siekiams aplinkosaugos ir klimato srityje, tačiau kartu akcentuoja tiesioginę sąsają tarp aukštesnės aplinkosauginės ir klimato ambicijos ir pakankamo BŽŪP finansavimo užtikrinimo šiems ambicingiems tikslams siekti. Manome, kad neišspręsti klausimai dėl būsimo BŽŪP finansavimo derybų</w:t>
      </w:r>
      <w:r w:rsidR="00281562">
        <w:t>, susijusių su</w:t>
      </w:r>
      <w:r>
        <w:t xml:space="preserve"> daugiamet</w:t>
      </w:r>
      <w:r w:rsidR="00281562">
        <w:t>e</w:t>
      </w:r>
      <w:r>
        <w:t xml:space="preserve"> finansin</w:t>
      </w:r>
      <w:r w:rsidR="00281562">
        <w:t>e</w:t>
      </w:r>
      <w:r>
        <w:t xml:space="preserve"> program</w:t>
      </w:r>
      <w:r w:rsidR="00281562">
        <w:t>a</w:t>
      </w:r>
      <w:r>
        <w:t xml:space="preserve"> (DFP)</w:t>
      </w:r>
      <w:r w:rsidR="00281562">
        <w:t>,</w:t>
      </w:r>
      <w:r>
        <w:t xml:space="preserve"> riboja ir esminių sprendimų priėmimą dėl klausimų, susijusių su BŽŪP reforma, įskaitant ir klausimus, susijusius su </w:t>
      </w:r>
      <w:r w:rsidR="00281562">
        <w:t>„</w:t>
      </w:r>
      <w:r>
        <w:t>žaliąja architektūra</w:t>
      </w:r>
      <w:r w:rsidR="00281562">
        <w:t>“</w:t>
      </w:r>
      <w:r>
        <w:t>.</w:t>
      </w:r>
    </w:p>
    <w:p w14:paraId="0382B7BC" w14:textId="123DB97A" w:rsidR="00DF61BA" w:rsidRDefault="00DF61BA" w:rsidP="00DF61BA">
      <w:pPr>
        <w:spacing w:line="360" w:lineRule="auto"/>
        <w:ind w:firstLine="426"/>
        <w:jc w:val="both"/>
      </w:pPr>
      <w:r>
        <w:t xml:space="preserve">Todėl, visų pirma, reikalingas Europos </w:t>
      </w:r>
      <w:r w:rsidR="00281562">
        <w:t>v</w:t>
      </w:r>
      <w:r>
        <w:t>adovų tarybos sprendimas tiek dėl biudžeto apimties,  tiek ir visų galimų įpareigojimų, įskaitant aplinkosauginės ambicijos BŽŪP lygį. Tik išsprendus šiuos klausimus galima toliau dėlioti pačius „žaliosios architektūros“ elementu</w:t>
      </w:r>
      <w:r w:rsidR="00192034">
        <w:t>s</w:t>
      </w:r>
      <w:r>
        <w:t xml:space="preserve">, įskaitant ir tolesnius sprendimus dėl </w:t>
      </w:r>
      <w:proofErr w:type="spellStart"/>
      <w:r>
        <w:t>ekoschemų</w:t>
      </w:r>
      <w:proofErr w:type="spellEnd"/>
      <w:r>
        <w:t xml:space="preserve"> taikymo. </w:t>
      </w:r>
    </w:p>
    <w:p w14:paraId="76F80E57" w14:textId="1F0AFFE0" w:rsidR="00C94B30" w:rsidRDefault="00DF61BA" w:rsidP="00DF61BA">
      <w:pPr>
        <w:spacing w:line="360" w:lineRule="auto"/>
        <w:ind w:firstLine="426"/>
        <w:jc w:val="both"/>
      </w:pPr>
      <w:r>
        <w:t xml:space="preserve">Iš esmės pasisakome už kuo lankstesnę „žaliosios architektūros“ sistemą, įskaitant ir </w:t>
      </w:r>
      <w:proofErr w:type="spellStart"/>
      <w:r>
        <w:t>ekoschemas</w:t>
      </w:r>
      <w:proofErr w:type="spellEnd"/>
      <w:r>
        <w:t xml:space="preserve">. Iki šiol vykusių diskusijų eigoje nebuvome įtikinti, kad privalomas </w:t>
      </w:r>
      <w:proofErr w:type="spellStart"/>
      <w:r>
        <w:t>ekoschemos</w:t>
      </w:r>
      <w:proofErr w:type="spellEnd"/>
      <w:r>
        <w:t xml:space="preserve"> taikymas I ramstyje yra tinkama kryptis. Taigi tuo labiau nemanome, kad privalomas konkretaus procento skyrimas (</w:t>
      </w:r>
      <w:proofErr w:type="spellStart"/>
      <w:r w:rsidRPr="0051123A">
        <w:rPr>
          <w:i/>
          <w:iCs/>
        </w:rPr>
        <w:t>ring-fencing</w:t>
      </w:r>
      <w:proofErr w:type="spellEnd"/>
      <w:r>
        <w:t xml:space="preserve">) </w:t>
      </w:r>
      <w:proofErr w:type="spellStart"/>
      <w:r>
        <w:t>ekoschemoms</w:t>
      </w:r>
      <w:proofErr w:type="spellEnd"/>
      <w:r>
        <w:t xml:space="preserve"> finansuoti būtų tinkamas sprendimas. Visų pirma, įžvelgiame nepanaudotų lėšų ir jų praradimo riziką. Vieningo procento abiem BŽŪP ramsčiams (</w:t>
      </w:r>
      <w:proofErr w:type="spellStart"/>
      <w:r w:rsidRPr="0051123A">
        <w:rPr>
          <w:i/>
          <w:iCs/>
        </w:rPr>
        <w:t>single</w:t>
      </w:r>
      <w:proofErr w:type="spellEnd"/>
      <w:r w:rsidRPr="0051123A">
        <w:rPr>
          <w:i/>
          <w:iCs/>
        </w:rPr>
        <w:t xml:space="preserve"> </w:t>
      </w:r>
      <w:proofErr w:type="spellStart"/>
      <w:r w:rsidRPr="0051123A">
        <w:rPr>
          <w:i/>
          <w:iCs/>
        </w:rPr>
        <w:t>percentage</w:t>
      </w:r>
      <w:proofErr w:type="spellEnd"/>
      <w:r>
        <w:t>) idėja atrodytų labiau tinkama ir toliau diskutuotina, suteikianti daugiau lankstumo valstybėms narėms skiriant BŽŪP lėšas aplinkosaugos ir klimato kaitos tikslų įgyvendinimui.</w:t>
      </w:r>
    </w:p>
    <w:p w14:paraId="6340BE61" w14:textId="6A5A7070" w:rsidR="00B17D66" w:rsidRDefault="00B17D66" w:rsidP="00DF61BA">
      <w:pPr>
        <w:spacing w:line="360" w:lineRule="auto"/>
        <w:ind w:firstLine="426"/>
        <w:jc w:val="both"/>
      </w:pPr>
      <w:r w:rsidRPr="00B17D66">
        <w:t>Galutinė Lietuvos pozicija bus parengta gavus ES Tarybos posėdžiui skirtą dokumentą.</w:t>
      </w:r>
    </w:p>
    <w:bookmarkEnd w:id="1"/>
    <w:p w14:paraId="4B7A4185" w14:textId="77777777" w:rsidR="004A5EC2" w:rsidRDefault="004A5EC2" w:rsidP="004A5EC2">
      <w:pPr>
        <w:jc w:val="both"/>
        <w:rPr>
          <w:rFonts w:eastAsia="Calibri"/>
          <w:b/>
          <w:bCs/>
        </w:rPr>
      </w:pPr>
    </w:p>
    <w:p w14:paraId="2921538D" w14:textId="62D57DFD" w:rsidR="004A5EC2" w:rsidRPr="00EE3856" w:rsidRDefault="004A5EC2" w:rsidP="004A5EC2">
      <w:pPr>
        <w:jc w:val="both"/>
        <w:rPr>
          <w:rFonts w:eastAsia="Calibri"/>
          <w:b/>
          <w:bCs/>
        </w:rPr>
      </w:pPr>
      <w:r w:rsidRPr="00EE3856">
        <w:rPr>
          <w:rFonts w:eastAsia="Calibri"/>
          <w:b/>
          <w:bCs/>
        </w:rPr>
        <w:t>3.</w:t>
      </w:r>
      <w:r w:rsidR="00DA66A9" w:rsidRPr="00EE3856">
        <w:rPr>
          <w:b/>
          <w:bCs/>
        </w:rPr>
        <w:t xml:space="preserve"> </w:t>
      </w:r>
      <w:r w:rsidR="00051B2F" w:rsidRPr="00EE3856">
        <w:rPr>
          <w:b/>
          <w:bCs/>
        </w:rPr>
        <w:t>Strategija „</w:t>
      </w:r>
      <w:r w:rsidR="005A4628">
        <w:rPr>
          <w:b/>
          <w:bCs/>
        </w:rPr>
        <w:t>N</w:t>
      </w:r>
      <w:r w:rsidR="00051B2F" w:rsidRPr="00EE3856">
        <w:rPr>
          <w:b/>
          <w:bCs/>
        </w:rPr>
        <w:t>uo ūkio iki stalo“</w:t>
      </w:r>
    </w:p>
    <w:p w14:paraId="7E8F1D6A" w14:textId="3996F55F" w:rsidR="004A5EC2" w:rsidRPr="004A5EC2" w:rsidRDefault="00EE3856" w:rsidP="004A5EC2">
      <w:pPr>
        <w:ind w:firstLine="284"/>
        <w:rPr>
          <w:rFonts w:eastAsia="Calibri"/>
          <w:i/>
          <w:iCs/>
        </w:rPr>
      </w:pPr>
      <w:r>
        <w:rPr>
          <w:rFonts w:eastAsia="Calibri"/>
          <w:i/>
          <w:iCs/>
        </w:rPr>
        <w:t>-</w:t>
      </w:r>
      <w:r w:rsidR="004A5EC2" w:rsidRPr="004A5EC2">
        <w:rPr>
          <w:rFonts w:eastAsia="Calibri"/>
          <w:i/>
          <w:iCs/>
        </w:rPr>
        <w:t> </w:t>
      </w:r>
      <w:r w:rsidR="00DA66A9">
        <w:rPr>
          <w:rFonts w:eastAsia="Calibri"/>
          <w:i/>
          <w:iCs/>
        </w:rPr>
        <w:t>Pasikeitimas nuomonėmis</w:t>
      </w:r>
    </w:p>
    <w:p w14:paraId="53685980" w14:textId="77777777" w:rsidR="004A5EC2" w:rsidRPr="004A5EC2" w:rsidRDefault="004A5EC2" w:rsidP="004A5EC2">
      <w:pPr>
        <w:ind w:firstLine="426"/>
        <w:rPr>
          <w:rFonts w:eastAsia="Calibri"/>
        </w:rPr>
      </w:pPr>
    </w:p>
    <w:p w14:paraId="3D93BCB0" w14:textId="438DA67D" w:rsidR="00051B2F" w:rsidRPr="00051B2F" w:rsidRDefault="00051B2F" w:rsidP="00051B2F">
      <w:pPr>
        <w:spacing w:line="360" w:lineRule="auto"/>
        <w:ind w:firstLine="426"/>
        <w:jc w:val="both"/>
        <w:rPr>
          <w:rFonts w:eastAsia="Calibri"/>
        </w:rPr>
      </w:pPr>
      <w:r w:rsidRPr="00051B2F">
        <w:rPr>
          <w:rFonts w:eastAsia="Calibri"/>
        </w:rPr>
        <w:t xml:space="preserve">Š. m. gegužės 20 d. Europos Komisija (EK) paskelbė naujas strategijas: „Nuo ūkio iki stalo“, kurios tikslas – tvari, patikima bei aplinkai palanki maisto sistema (planuojama pertvarkyti iki 2030 m.), ir „Biologinės įvairovės“, kurios tikslas </w:t>
      </w:r>
      <w:r w:rsidR="00281562">
        <w:rPr>
          <w:rFonts w:eastAsia="Calibri"/>
        </w:rPr>
        <w:t xml:space="preserve">– </w:t>
      </w:r>
      <w:r w:rsidRPr="00051B2F">
        <w:rPr>
          <w:rFonts w:eastAsia="Calibri"/>
        </w:rPr>
        <w:t>gamtos saugojimas bei atkūrimas</w:t>
      </w:r>
      <w:r w:rsidR="005A4628">
        <w:rPr>
          <w:rFonts w:eastAsia="Calibri"/>
        </w:rPr>
        <w:t>.</w:t>
      </w:r>
    </w:p>
    <w:p w14:paraId="67BA8A32" w14:textId="028DF79C" w:rsidR="00051B2F" w:rsidRPr="00051B2F" w:rsidRDefault="005A4628" w:rsidP="00051B2F">
      <w:pPr>
        <w:spacing w:line="360" w:lineRule="auto"/>
        <w:ind w:firstLine="426"/>
        <w:jc w:val="both"/>
        <w:rPr>
          <w:rFonts w:eastAsia="Calibri"/>
        </w:rPr>
      </w:pPr>
      <w:r>
        <w:rPr>
          <w:rFonts w:eastAsia="Calibri"/>
        </w:rPr>
        <w:t>Š. m. b</w:t>
      </w:r>
      <w:r w:rsidR="00051B2F" w:rsidRPr="00051B2F">
        <w:rPr>
          <w:rFonts w:eastAsia="Calibri"/>
        </w:rPr>
        <w:t>irželio 8 d. vykusios vaizdo konferencijos metu EK pristatė minėtas strategijas žemės ūkio kontekste, o ministrai apsikeitė nuomonėmis bei pirminėmis reakcijomis.</w:t>
      </w:r>
    </w:p>
    <w:p w14:paraId="7A548D55" w14:textId="501D3E71" w:rsidR="00051B2F" w:rsidRPr="00051B2F" w:rsidRDefault="00051B2F" w:rsidP="00051B2F">
      <w:pPr>
        <w:spacing w:line="360" w:lineRule="auto"/>
        <w:ind w:firstLine="426"/>
        <w:jc w:val="both"/>
        <w:rPr>
          <w:rFonts w:eastAsia="Calibri"/>
        </w:rPr>
      </w:pPr>
      <w:r w:rsidRPr="00051B2F">
        <w:rPr>
          <w:rFonts w:eastAsia="Calibri"/>
        </w:rPr>
        <w:t xml:space="preserve">Pagrindiniai strategijoje </w:t>
      </w:r>
      <w:r w:rsidR="00281562">
        <w:rPr>
          <w:rFonts w:eastAsia="Calibri"/>
        </w:rPr>
        <w:t>„</w:t>
      </w:r>
      <w:r w:rsidRPr="00051B2F">
        <w:rPr>
          <w:rFonts w:eastAsia="Calibri"/>
        </w:rPr>
        <w:t xml:space="preserve">Nuo ūkio iki stalo“ akcentuojami aspektai yra susiję su: pesticidų, trąšų naudojimo sumažinimu; naudojamų antimikrobinių medžiagų pardavimo sumažinimu; žemės ūkio </w:t>
      </w:r>
      <w:r w:rsidRPr="00051B2F">
        <w:rPr>
          <w:rFonts w:eastAsia="Calibri"/>
        </w:rPr>
        <w:lastRenderedPageBreak/>
        <w:t xml:space="preserve">paskirties žemės plotų, naudojamų ekologiniam ūkininkavimui, padidinimu; tvarių maisto produktų ženklinimo sistemos sukūrimu; teisiškai privalomų maisto švaistymo mažinimo visoje ES tikslų nustatymu ir </w:t>
      </w:r>
      <w:r w:rsidR="00281562">
        <w:rPr>
          <w:rFonts w:eastAsia="Calibri"/>
        </w:rPr>
        <w:t>daug</w:t>
      </w:r>
      <w:r w:rsidRPr="00051B2F">
        <w:rPr>
          <w:rFonts w:eastAsia="Calibri"/>
        </w:rPr>
        <w:t xml:space="preserve"> kitų aspektų. Antra vertus, pažymima, kad </w:t>
      </w:r>
      <w:r w:rsidR="003F7142">
        <w:rPr>
          <w:rFonts w:eastAsia="Calibri"/>
        </w:rPr>
        <w:t>b</w:t>
      </w:r>
      <w:r w:rsidRPr="00051B2F">
        <w:rPr>
          <w:rFonts w:eastAsia="Calibri"/>
        </w:rPr>
        <w:t xml:space="preserve">endroji žemės ūkio politika (BŽŪP) ir </w:t>
      </w:r>
      <w:r w:rsidR="003F7142">
        <w:rPr>
          <w:rFonts w:eastAsia="Calibri"/>
        </w:rPr>
        <w:t>b</w:t>
      </w:r>
      <w:r w:rsidRPr="00051B2F">
        <w:rPr>
          <w:rFonts w:eastAsia="Calibri"/>
        </w:rPr>
        <w:t xml:space="preserve">endroji žuvininkystės politika (BŽP) ir toliau bus pagrindinės priemonės, kuriomis bus remiamas perėjimas prie tvarių maisto sistemų, kartu užtikrinant deramą gyvenimo lygį ūkininkams, žvejams ir jų šeimoms. </w:t>
      </w:r>
    </w:p>
    <w:p w14:paraId="18BEE8AC" w14:textId="23F2E9E5" w:rsidR="00051B2F" w:rsidRPr="00051B2F" w:rsidRDefault="00051B2F" w:rsidP="00051B2F">
      <w:pPr>
        <w:spacing w:line="360" w:lineRule="auto"/>
        <w:ind w:firstLine="426"/>
        <w:jc w:val="both"/>
        <w:rPr>
          <w:rFonts w:eastAsia="Calibri"/>
        </w:rPr>
      </w:pPr>
      <w:r w:rsidRPr="00051B2F">
        <w:rPr>
          <w:rFonts w:eastAsia="Calibri"/>
        </w:rPr>
        <w:t>Strategija siekiama atlyginti ūkininkams, pereinantiems ar jau perėjusiems prie tvarios praktikos. Ūkininkavimo praktika, kurią taikant CO</w:t>
      </w:r>
      <w:r w:rsidRPr="00CD4925">
        <w:rPr>
          <w:rFonts w:eastAsia="Calibri"/>
          <w:vertAlign w:val="subscript"/>
        </w:rPr>
        <w:t>2</w:t>
      </w:r>
      <w:r w:rsidRPr="00051B2F">
        <w:rPr>
          <w:rFonts w:eastAsia="Calibri"/>
        </w:rPr>
        <w:t xml:space="preserve"> pašalinamas iš atmosferos, padeda siekti neutralaus poveikio klimatui tikslo ir už ją turėtų būti atlyginama pagal BŽŪP arba pagal kitas viešąsias ar privačias iniciatyvas. </w:t>
      </w:r>
    </w:p>
    <w:p w14:paraId="4AD89D0A" w14:textId="17DB9CB5" w:rsidR="00E44695" w:rsidRDefault="00051B2F" w:rsidP="00051B2F">
      <w:pPr>
        <w:spacing w:line="360" w:lineRule="auto"/>
        <w:ind w:firstLine="426"/>
        <w:jc w:val="both"/>
        <w:rPr>
          <w:rFonts w:eastAsia="Calibri"/>
        </w:rPr>
      </w:pPr>
      <w:r w:rsidRPr="00051B2F">
        <w:rPr>
          <w:rFonts w:eastAsia="Calibri"/>
        </w:rPr>
        <w:t>Strategijoje numatyta, kad siek</w:t>
      </w:r>
      <w:r w:rsidR="003F7142">
        <w:rPr>
          <w:rFonts w:eastAsia="Calibri"/>
        </w:rPr>
        <w:t>dama</w:t>
      </w:r>
      <w:r w:rsidRPr="00051B2F">
        <w:rPr>
          <w:rFonts w:eastAsia="Calibri"/>
        </w:rPr>
        <w:t xml:space="preserve"> užtikrinti aprūpinimą maistu, EK imsis aktyviau koordinuoti bendrą Europos atsaką į maisto sistemas veikiančias krizes, kad būtų užtikrintas aprūpinimas maistu ir jo sauga, pagerėtų visuomenės sveikata ir sušvelnėtų tų krizių socialinis bei ekonominis poveikis ES. Remdamasi įgyta patirtimi, Komisija įvertins maisto sistemos atsparumą (atsižvelg</w:t>
      </w:r>
      <w:r w:rsidR="003F7142">
        <w:rPr>
          <w:rFonts w:eastAsia="Calibri"/>
        </w:rPr>
        <w:t>dama</w:t>
      </w:r>
      <w:r w:rsidRPr="00051B2F">
        <w:rPr>
          <w:rFonts w:eastAsia="Calibri"/>
        </w:rPr>
        <w:t xml:space="preserve"> ir į aktualijas</w:t>
      </w:r>
      <w:r w:rsidR="003F7142">
        <w:rPr>
          <w:rFonts w:eastAsia="Calibri"/>
        </w:rPr>
        <w:t>,</w:t>
      </w:r>
      <w:r w:rsidRPr="00051B2F">
        <w:rPr>
          <w:rFonts w:eastAsia="Calibri"/>
        </w:rPr>
        <w:t xml:space="preserve"> susijusias su COVID-19) bei parengs nenumatytų atvejų planą, skirtą užtikrinti maisto tiekimą ir aprūpinimą maistu krizės atveju. Be krizės metu aktyvuojamų rizikos vertinimo ir valdymo priemonių, plane bus nustatytas Komisijos koordinuojamas valstybių narių reagavimo į maisto krizes mechanizmas. Priklausomai nuo krizės pobūdžio, jis apims įvairius sektorius (žemės ūkio, žuvininkystės, maisto saugos, darbo jėgos, sveikatos ir transporto).</w:t>
      </w:r>
      <w:r w:rsidR="00DF61BA">
        <w:rPr>
          <w:rFonts w:eastAsia="Calibri"/>
        </w:rPr>
        <w:t xml:space="preserve"> </w:t>
      </w:r>
    </w:p>
    <w:p w14:paraId="38EF64E2" w14:textId="0606B84A" w:rsidR="004A5EC2" w:rsidRPr="004A5EC2" w:rsidRDefault="00DF61BA" w:rsidP="00051B2F">
      <w:pPr>
        <w:spacing w:line="360" w:lineRule="auto"/>
        <w:ind w:firstLine="426"/>
        <w:jc w:val="both"/>
        <w:rPr>
          <w:rFonts w:eastAsia="Calibri"/>
        </w:rPr>
      </w:pPr>
      <w:r w:rsidRPr="00DF61BA">
        <w:rPr>
          <w:rFonts w:eastAsia="Calibri"/>
        </w:rPr>
        <w:t>ES Tarybos posėdžiui skirtas dokumentas negautas.</w:t>
      </w:r>
    </w:p>
    <w:p w14:paraId="5CC7526A" w14:textId="77777777" w:rsidR="00691F85" w:rsidRDefault="00691F85" w:rsidP="00DF61BA">
      <w:pPr>
        <w:spacing w:line="360" w:lineRule="auto"/>
        <w:jc w:val="both"/>
        <w:rPr>
          <w:rFonts w:eastAsia="Calibri"/>
          <w:b/>
          <w:bCs/>
        </w:rPr>
      </w:pPr>
    </w:p>
    <w:p w14:paraId="52FE099E" w14:textId="4EBC07B1" w:rsidR="004A5EC2" w:rsidRDefault="004A5EC2" w:rsidP="004A5EC2">
      <w:pPr>
        <w:spacing w:line="360" w:lineRule="auto"/>
        <w:ind w:firstLine="426"/>
        <w:jc w:val="both"/>
        <w:rPr>
          <w:rFonts w:eastAsia="Calibri"/>
          <w:b/>
          <w:bCs/>
        </w:rPr>
      </w:pPr>
      <w:r w:rsidRPr="004A5EC2">
        <w:rPr>
          <w:rFonts w:eastAsia="Calibri"/>
          <w:b/>
          <w:bCs/>
        </w:rPr>
        <w:t>Lietuvos pozicija:</w:t>
      </w:r>
    </w:p>
    <w:p w14:paraId="182CFF0A" w14:textId="5F177EB4" w:rsidR="00051B2F" w:rsidRPr="006B3D9C" w:rsidRDefault="00051B2F" w:rsidP="00051B2F">
      <w:pPr>
        <w:spacing w:line="360" w:lineRule="auto"/>
        <w:ind w:firstLine="426"/>
        <w:jc w:val="both"/>
      </w:pPr>
      <w:r w:rsidRPr="00051B2F">
        <w:rPr>
          <w:rFonts w:eastAsia="Calibri"/>
          <w:szCs w:val="22"/>
        </w:rPr>
        <w:t>Lietuva</w:t>
      </w:r>
      <w:r>
        <w:rPr>
          <w:rFonts w:eastAsia="Calibri"/>
          <w:b/>
          <w:bCs/>
          <w:szCs w:val="22"/>
        </w:rPr>
        <w:t xml:space="preserve"> </w:t>
      </w:r>
      <w:r w:rsidRPr="00A35FDE">
        <w:rPr>
          <w:rFonts w:eastAsia="Calibri"/>
          <w:szCs w:val="22"/>
        </w:rPr>
        <w:t>p</w:t>
      </w:r>
      <w:r w:rsidRPr="006B3D9C">
        <w:t>ritar</w:t>
      </w:r>
      <w:r>
        <w:t>ia</w:t>
      </w:r>
      <w:r w:rsidRPr="006B3D9C">
        <w:t xml:space="preserve"> siekiui užtikrinti, kad europiečiai turėtų sveikų, įperkamų ir tvariai gaminamų maisto produktų</w:t>
      </w:r>
      <w:r>
        <w:t xml:space="preserve">, </w:t>
      </w:r>
      <w:r w:rsidR="003F7142">
        <w:t>kartu</w:t>
      </w:r>
      <w:r>
        <w:t xml:space="preserve"> sprendžiant </w:t>
      </w:r>
      <w:r w:rsidRPr="006B3D9C">
        <w:t>klimato kaitos klausimus, saug</w:t>
      </w:r>
      <w:r>
        <w:t>ant</w:t>
      </w:r>
      <w:r w:rsidRPr="006B3D9C">
        <w:t xml:space="preserve"> aplinką bei biologinę įvairovę. </w:t>
      </w:r>
    </w:p>
    <w:p w14:paraId="1140E3F9" w14:textId="0DCDF1AB" w:rsidR="00051B2F" w:rsidRPr="006B3D9C" w:rsidRDefault="00051B2F" w:rsidP="00051B2F">
      <w:pPr>
        <w:spacing w:line="360" w:lineRule="auto"/>
        <w:ind w:firstLine="426"/>
        <w:jc w:val="both"/>
        <w:rPr>
          <w:rFonts w:eastAsia="Calibri"/>
          <w:szCs w:val="22"/>
        </w:rPr>
      </w:pPr>
      <w:r w:rsidRPr="006B3D9C">
        <w:rPr>
          <w:rFonts w:eastAsia="Calibri"/>
          <w:szCs w:val="22"/>
        </w:rPr>
        <w:t>Suprantame aukštesnių aplinkosauginių standartų taikymo svarbą, tačiau</w:t>
      </w:r>
      <w:r w:rsidRPr="006B3D9C">
        <w:t xml:space="preserve"> </w:t>
      </w:r>
      <w:r w:rsidRPr="006B3D9C">
        <w:rPr>
          <w:rFonts w:eastAsia="Calibri"/>
          <w:szCs w:val="22"/>
        </w:rPr>
        <w:t>nerimą kelia kai kurių strategijose numatytų tikslų skaitinės išraiškos, galimas jų pasiekiamumas bei ekonominis ar socialinis poveikis žemės ūkio sektoriui, ypač atsižvelgiant į tai, kad išsamus poveikio vertinimas iki šiol nėra atliktas. Labai svarbu, kad vėliau nustatant konkrečius, individualius tikslus kiekvienai valstybei narei, būtų tinkamai atsižvelgta į skirtingas startines pozicijas ir iki tol darytą pažangą (valstybės</w:t>
      </w:r>
      <w:r w:rsidR="00945DC5">
        <w:rPr>
          <w:rFonts w:eastAsia="Calibri"/>
          <w:szCs w:val="22"/>
        </w:rPr>
        <w:t xml:space="preserve"> narės</w:t>
      </w:r>
      <w:r w:rsidRPr="006B3D9C">
        <w:rPr>
          <w:rFonts w:eastAsia="Calibri"/>
          <w:szCs w:val="22"/>
        </w:rPr>
        <w:t xml:space="preserve"> taiko skirtingo intensyvumo maisto gamybos sistemas, todėl startinė pozicija siekiant tikslų tarp valstybių</w:t>
      </w:r>
      <w:r w:rsidR="00945DC5">
        <w:rPr>
          <w:rFonts w:eastAsia="Calibri"/>
          <w:szCs w:val="22"/>
        </w:rPr>
        <w:t xml:space="preserve"> narių</w:t>
      </w:r>
      <w:r w:rsidRPr="006B3D9C">
        <w:rPr>
          <w:rFonts w:eastAsia="Calibri"/>
          <w:szCs w:val="22"/>
        </w:rPr>
        <w:t xml:space="preserve"> nėra vienoda).</w:t>
      </w:r>
    </w:p>
    <w:p w14:paraId="017689EC" w14:textId="77777777" w:rsidR="00051B2F" w:rsidRPr="006B3D9C" w:rsidRDefault="00051B2F" w:rsidP="00051B2F">
      <w:pPr>
        <w:spacing w:line="360" w:lineRule="auto"/>
        <w:ind w:firstLine="426"/>
        <w:jc w:val="both"/>
        <w:rPr>
          <w:rFonts w:eastAsia="Calibri"/>
          <w:szCs w:val="22"/>
        </w:rPr>
      </w:pPr>
      <w:r w:rsidRPr="006B3D9C">
        <w:rPr>
          <w:rFonts w:eastAsia="Calibri"/>
          <w:szCs w:val="22"/>
        </w:rPr>
        <w:t>Nustatant aukštus gamybinius standartus ES gamintojams, kai kuriais atvejais didės ir jų gamybos sąnaudos, todėl reikia ieškoti būdų, kaip ES ūkininkams užtikrinti lygias konkurencines sąlygas, konkuruojant su produkcija iš trečiųjų šalių, pagaminta nesilaikant adekvačių standartų.</w:t>
      </w:r>
    </w:p>
    <w:p w14:paraId="3B95DAA2" w14:textId="4B32384C" w:rsidR="00051B2F" w:rsidRDefault="00EE3856" w:rsidP="00051B2F">
      <w:pPr>
        <w:spacing w:line="360" w:lineRule="auto"/>
        <w:ind w:firstLine="426"/>
        <w:jc w:val="both"/>
        <w:rPr>
          <w:rFonts w:eastAsia="Calibri"/>
          <w:szCs w:val="22"/>
        </w:rPr>
      </w:pPr>
      <w:r>
        <w:rPr>
          <w:rFonts w:eastAsia="Calibri"/>
          <w:szCs w:val="22"/>
        </w:rPr>
        <w:t>S</w:t>
      </w:r>
      <w:r w:rsidR="00051B2F" w:rsidRPr="006B3D9C">
        <w:rPr>
          <w:rFonts w:eastAsia="Calibri"/>
          <w:szCs w:val="22"/>
        </w:rPr>
        <w:t>iekiant ambicingų strategijose keliamų tikslų</w:t>
      </w:r>
      <w:r w:rsidR="00E15529">
        <w:rPr>
          <w:rFonts w:eastAsia="Calibri"/>
          <w:szCs w:val="22"/>
        </w:rPr>
        <w:t>,</w:t>
      </w:r>
      <w:r w:rsidR="00051B2F" w:rsidRPr="006B3D9C">
        <w:rPr>
          <w:rFonts w:eastAsia="Calibri"/>
          <w:szCs w:val="22"/>
        </w:rPr>
        <w:t xml:space="preserve"> turi būti užtikrintas pakankamas BŽŪP finansavimas, ūkininkams turėtų būti deramai atlyginama už aplinkai ir klimatui palankų ūkininkavimą, turi būti užtikrinta išorinė tiesioginių išmokų konvergencija.</w:t>
      </w:r>
    </w:p>
    <w:p w14:paraId="3543216F" w14:textId="10EFF452" w:rsidR="00B17D66" w:rsidRPr="006B3D9C" w:rsidRDefault="00B17D66" w:rsidP="00051B2F">
      <w:pPr>
        <w:spacing w:line="360" w:lineRule="auto"/>
        <w:ind w:firstLine="426"/>
        <w:jc w:val="both"/>
        <w:rPr>
          <w:rFonts w:eastAsia="Calibri"/>
          <w:szCs w:val="22"/>
        </w:rPr>
      </w:pPr>
      <w:r w:rsidRPr="00B17D66">
        <w:rPr>
          <w:rFonts w:eastAsia="Calibri"/>
          <w:szCs w:val="22"/>
        </w:rPr>
        <w:lastRenderedPageBreak/>
        <w:t>Galutinė Lietuvos pozicija bus parengta gavus ES Tarybos posėdžiui skirtą dokumentą.</w:t>
      </w:r>
    </w:p>
    <w:p w14:paraId="68231885" w14:textId="25709F1A" w:rsidR="00101370" w:rsidRDefault="00101370" w:rsidP="00B049CB">
      <w:pPr>
        <w:spacing w:line="360" w:lineRule="auto"/>
        <w:jc w:val="both"/>
        <w:rPr>
          <w:rFonts w:eastAsia="Calibri"/>
          <w:b/>
          <w:bCs/>
        </w:rPr>
      </w:pPr>
    </w:p>
    <w:p w14:paraId="6C947ACA" w14:textId="0D5834D6" w:rsidR="00101370" w:rsidRDefault="00101370" w:rsidP="004A5EC2">
      <w:pPr>
        <w:spacing w:line="360" w:lineRule="auto"/>
        <w:ind w:firstLine="426"/>
        <w:jc w:val="both"/>
        <w:rPr>
          <w:rFonts w:eastAsia="Calibri"/>
          <w:b/>
          <w:bCs/>
        </w:rPr>
      </w:pPr>
      <w:r>
        <w:rPr>
          <w:rFonts w:eastAsia="Calibri"/>
          <w:b/>
          <w:bCs/>
        </w:rPr>
        <w:t xml:space="preserve">4. </w:t>
      </w:r>
      <w:r w:rsidRPr="00101370">
        <w:rPr>
          <w:rFonts w:eastAsia="Calibri"/>
          <w:b/>
          <w:bCs/>
        </w:rPr>
        <w:t>Situacija žemės ūkio rinkose</w:t>
      </w:r>
    </w:p>
    <w:p w14:paraId="0BEFBB21" w14:textId="6AE6348E" w:rsidR="00EE3856" w:rsidRPr="00EE3856" w:rsidRDefault="00EE3856" w:rsidP="004A5EC2">
      <w:pPr>
        <w:spacing w:line="360" w:lineRule="auto"/>
        <w:ind w:firstLine="426"/>
        <w:jc w:val="both"/>
        <w:rPr>
          <w:rFonts w:eastAsia="Calibri"/>
          <w:i/>
          <w:iCs/>
        </w:rPr>
      </w:pPr>
      <w:r w:rsidRPr="00EE3856">
        <w:rPr>
          <w:rFonts w:eastAsia="Calibri"/>
          <w:i/>
          <w:iCs/>
        </w:rPr>
        <w:t>- Europos Komisijos informacija</w:t>
      </w:r>
    </w:p>
    <w:p w14:paraId="47CAAC6C" w14:textId="77777777" w:rsidR="00101370" w:rsidRPr="004A5EC2" w:rsidRDefault="00101370" w:rsidP="00B049CB">
      <w:pPr>
        <w:ind w:firstLine="426"/>
        <w:jc w:val="both"/>
        <w:rPr>
          <w:rFonts w:eastAsia="Calibri"/>
          <w:b/>
          <w:bCs/>
        </w:rPr>
      </w:pPr>
    </w:p>
    <w:p w14:paraId="4EBB6BFA" w14:textId="0B97DBC8" w:rsidR="004A5EC2" w:rsidRDefault="00101370" w:rsidP="004A5EC2">
      <w:pPr>
        <w:spacing w:line="360" w:lineRule="auto"/>
        <w:ind w:firstLine="426"/>
        <w:jc w:val="both"/>
        <w:rPr>
          <w:rFonts w:eastAsia="Calibri"/>
        </w:rPr>
      </w:pPr>
      <w:r w:rsidRPr="00101370">
        <w:rPr>
          <w:rFonts w:eastAsia="Calibri"/>
        </w:rPr>
        <w:t>Europos Komisija periodiškai apžvelgia situaciją žemės ūkio sektoriuje bei</w:t>
      </w:r>
      <w:r w:rsidR="003144AE">
        <w:rPr>
          <w:rFonts w:eastAsia="Calibri"/>
        </w:rPr>
        <w:t>,</w:t>
      </w:r>
      <w:r w:rsidRPr="00101370">
        <w:rPr>
          <w:rFonts w:eastAsia="Calibri"/>
        </w:rPr>
        <w:t xml:space="preserve"> ES Tarybos ir Specialiojo žemės ūkio komiteto posėdžių metu</w:t>
      </w:r>
      <w:r w:rsidR="003144AE">
        <w:rPr>
          <w:rFonts w:eastAsia="Calibri"/>
        </w:rPr>
        <w:t>,</w:t>
      </w:r>
      <w:r w:rsidRPr="00101370">
        <w:rPr>
          <w:rFonts w:eastAsia="Calibri"/>
        </w:rPr>
        <w:t xml:space="preserve"> valstybių narių delegacijas informuoja apie  naujausius pokyčius, tendencijas bei patiriamus sunkumus. Šiame ES Tarybos posėdyje Europos Komisija pristatys ir su valstybėmis narėmis aptars naujausią informaciją apie situaciją pagrindinėse žemės ūkio rinkose (pieno, mėsos, grūdų, cukraus, vaisių ir daržovių).</w:t>
      </w:r>
    </w:p>
    <w:p w14:paraId="7F393748" w14:textId="2364AD03" w:rsidR="00455F00" w:rsidRDefault="00455F00" w:rsidP="00455F00">
      <w:pPr>
        <w:spacing w:line="360" w:lineRule="auto"/>
        <w:ind w:firstLine="426"/>
        <w:jc w:val="both"/>
        <w:rPr>
          <w:rFonts w:eastAsia="Calibri"/>
        </w:rPr>
      </w:pPr>
      <w:r w:rsidRPr="00455F00">
        <w:rPr>
          <w:rFonts w:eastAsia="Calibri"/>
        </w:rPr>
        <w:t>„C</w:t>
      </w:r>
      <w:r w:rsidR="00FC144D" w:rsidRPr="00455F00">
        <w:rPr>
          <w:rFonts w:eastAsia="Calibri"/>
        </w:rPr>
        <w:t xml:space="preserve">OVID </w:t>
      </w:r>
      <w:r w:rsidRPr="00455F00">
        <w:rPr>
          <w:rFonts w:eastAsia="Calibri"/>
        </w:rPr>
        <w:t>19“ protrūkis ir su juo susij</w:t>
      </w:r>
      <w:r w:rsidR="00FC144D">
        <w:rPr>
          <w:rFonts w:eastAsia="Calibri"/>
        </w:rPr>
        <w:t>ęs</w:t>
      </w:r>
      <w:r>
        <w:rPr>
          <w:rFonts w:eastAsia="Calibri"/>
        </w:rPr>
        <w:t xml:space="preserve"> </w:t>
      </w:r>
      <w:r w:rsidRPr="00455F00">
        <w:rPr>
          <w:rFonts w:eastAsia="Calibri"/>
        </w:rPr>
        <w:t>poveikis</w:t>
      </w:r>
      <w:r>
        <w:rPr>
          <w:rFonts w:eastAsia="Calibri"/>
        </w:rPr>
        <w:t xml:space="preserve"> ekonomikai</w:t>
      </w:r>
      <w:r w:rsidRPr="00455F00">
        <w:rPr>
          <w:rFonts w:eastAsia="Calibri"/>
        </w:rPr>
        <w:t xml:space="preserve"> išliko svarbiausiu veiksniu</w:t>
      </w:r>
      <w:r>
        <w:rPr>
          <w:rFonts w:eastAsia="Calibri"/>
        </w:rPr>
        <w:t xml:space="preserve"> kalbant apie situaciją rinkose. </w:t>
      </w:r>
      <w:r w:rsidR="00DF61BA">
        <w:rPr>
          <w:rFonts w:eastAsia="Calibri"/>
        </w:rPr>
        <w:t>EK nuomone, p</w:t>
      </w:r>
      <w:r w:rsidRPr="00455F00">
        <w:rPr>
          <w:rFonts w:eastAsia="Calibri"/>
        </w:rPr>
        <w:t xml:space="preserve">alaipsniui </w:t>
      </w:r>
      <w:r>
        <w:rPr>
          <w:rFonts w:eastAsia="Calibri"/>
        </w:rPr>
        <w:t>švelninant ribojimus</w:t>
      </w:r>
      <w:r w:rsidR="00DF61BA">
        <w:rPr>
          <w:rFonts w:eastAsia="Calibri"/>
        </w:rPr>
        <w:t>,</w:t>
      </w:r>
      <w:r>
        <w:rPr>
          <w:rFonts w:eastAsia="Calibri"/>
        </w:rPr>
        <w:t xml:space="preserve"> </w:t>
      </w:r>
      <w:r w:rsidRPr="00455F00">
        <w:rPr>
          <w:rFonts w:eastAsia="Calibri"/>
        </w:rPr>
        <w:t>maisto produktų paklausa turėtų grįžti į normalų lygį.</w:t>
      </w:r>
    </w:p>
    <w:p w14:paraId="2211DF65" w14:textId="4FFBBE30" w:rsidR="00455F00" w:rsidRDefault="00455F00" w:rsidP="00455F00">
      <w:pPr>
        <w:spacing w:line="360" w:lineRule="auto"/>
        <w:ind w:firstLine="426"/>
        <w:jc w:val="both"/>
        <w:rPr>
          <w:rFonts w:eastAsia="Calibri"/>
        </w:rPr>
      </w:pPr>
      <w:r>
        <w:rPr>
          <w:rFonts w:eastAsia="Calibri"/>
        </w:rPr>
        <w:t>ES Tarybos posėdžiui skirtas dokumentas negautas.</w:t>
      </w:r>
    </w:p>
    <w:p w14:paraId="6AE7EC98" w14:textId="5E6C7E66" w:rsidR="00101370" w:rsidRDefault="00101370" w:rsidP="004A5EC2">
      <w:pPr>
        <w:spacing w:line="360" w:lineRule="auto"/>
        <w:ind w:firstLine="426"/>
        <w:jc w:val="both"/>
        <w:rPr>
          <w:rFonts w:eastAsia="Calibri"/>
        </w:rPr>
      </w:pPr>
    </w:p>
    <w:p w14:paraId="0627EAC3" w14:textId="77777777" w:rsidR="00101370" w:rsidRDefault="00101370" w:rsidP="00101370">
      <w:pPr>
        <w:spacing w:line="360" w:lineRule="auto"/>
        <w:ind w:firstLine="426"/>
        <w:jc w:val="both"/>
        <w:rPr>
          <w:rFonts w:eastAsia="Calibri"/>
          <w:b/>
          <w:bCs/>
        </w:rPr>
      </w:pPr>
      <w:r w:rsidRPr="004A5EC2">
        <w:rPr>
          <w:rFonts w:eastAsia="Calibri"/>
          <w:b/>
          <w:bCs/>
        </w:rPr>
        <w:t>Lietuvos pozicija:</w:t>
      </w:r>
    </w:p>
    <w:p w14:paraId="033A0093" w14:textId="684E1BF6" w:rsidR="00101370" w:rsidRDefault="00C4322F" w:rsidP="004A5EC2">
      <w:pPr>
        <w:spacing w:line="360" w:lineRule="auto"/>
        <w:ind w:firstLine="426"/>
        <w:jc w:val="both"/>
        <w:rPr>
          <w:rFonts w:eastAsia="Calibri"/>
        </w:rPr>
      </w:pPr>
      <w:r>
        <w:rPr>
          <w:rFonts w:eastAsia="Calibri"/>
        </w:rPr>
        <w:t xml:space="preserve">Lietuva išklausys Europos </w:t>
      </w:r>
      <w:r w:rsidR="00FC144D">
        <w:rPr>
          <w:rFonts w:eastAsia="Calibri"/>
        </w:rPr>
        <w:t>K</w:t>
      </w:r>
      <w:r>
        <w:rPr>
          <w:rFonts w:eastAsia="Calibri"/>
        </w:rPr>
        <w:t xml:space="preserve">omisijos informaciją. </w:t>
      </w:r>
    </w:p>
    <w:p w14:paraId="5523F013" w14:textId="17939E56" w:rsidR="00C4322F" w:rsidRDefault="00C4322F" w:rsidP="004A5EC2">
      <w:pPr>
        <w:spacing w:line="360" w:lineRule="auto"/>
        <w:ind w:firstLine="426"/>
        <w:jc w:val="both"/>
        <w:rPr>
          <w:rFonts w:eastAsia="Calibri"/>
        </w:rPr>
      </w:pPr>
      <w:r>
        <w:rPr>
          <w:rFonts w:eastAsia="Calibri"/>
        </w:rPr>
        <w:t xml:space="preserve">Būtina atidžiai sekti situaciją rinkose ir užtikrinti, kad esant sutrikdymams būtų imtasi tinkamų efektyvių priemonių, ypač </w:t>
      </w:r>
      <w:r w:rsidR="00FC144D">
        <w:rPr>
          <w:rFonts w:eastAsia="Calibri"/>
        </w:rPr>
        <w:t xml:space="preserve">susijusių su </w:t>
      </w:r>
      <w:r>
        <w:rPr>
          <w:rFonts w:eastAsia="Calibri"/>
        </w:rPr>
        <w:t>COVID-19.</w:t>
      </w:r>
    </w:p>
    <w:p w14:paraId="56E085D7" w14:textId="6AE9F567" w:rsidR="003306B2" w:rsidRDefault="003306B2" w:rsidP="004A5EC2">
      <w:pPr>
        <w:spacing w:line="360" w:lineRule="auto"/>
        <w:ind w:firstLine="426"/>
        <w:jc w:val="both"/>
        <w:rPr>
          <w:rFonts w:eastAsia="Calibri"/>
        </w:rPr>
      </w:pPr>
      <w:r w:rsidRPr="003306B2">
        <w:rPr>
          <w:rFonts w:eastAsia="Calibri"/>
        </w:rPr>
        <w:t>Galutinė Lietuvos pozicija bus parengta gavus ES Tarybos posėdžiui skirtą dokumentą.</w:t>
      </w:r>
    </w:p>
    <w:sectPr w:rsidR="003306B2" w:rsidSect="009C3193">
      <w:headerReference w:type="default" r:id="rId8"/>
      <w:pgSz w:w="11906" w:h="16838"/>
      <w:pgMar w:top="426" w:right="707" w:bottom="567" w:left="1276"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59F8E" w14:textId="77777777" w:rsidR="00D45300" w:rsidRDefault="00D45300" w:rsidP="00653435">
      <w:r>
        <w:separator/>
      </w:r>
    </w:p>
  </w:endnote>
  <w:endnote w:type="continuationSeparator" w:id="0">
    <w:p w14:paraId="1D06DF39" w14:textId="77777777" w:rsidR="00D45300" w:rsidRDefault="00D45300"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7AAAB" w14:textId="77777777" w:rsidR="00D45300" w:rsidRDefault="00D45300" w:rsidP="00653435">
      <w:r>
        <w:separator/>
      </w:r>
    </w:p>
  </w:footnote>
  <w:footnote w:type="continuationSeparator" w:id="0">
    <w:p w14:paraId="4831446F" w14:textId="77777777" w:rsidR="00D45300" w:rsidRDefault="00D45300" w:rsidP="0065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081813"/>
      <w:docPartObj>
        <w:docPartGallery w:val="Page Numbers (Top of Page)"/>
        <w:docPartUnique/>
      </w:docPartObj>
    </w:sdtPr>
    <w:sdtEndPr/>
    <w:sdtContent>
      <w:p w14:paraId="1BA6ABCC"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64197298" w14:textId="77777777" w:rsidR="00653435" w:rsidRDefault="006534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E35AA"/>
    <w:multiLevelType w:val="hybridMultilevel"/>
    <w:tmpl w:val="13CA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lvl>
  </w:abstractNum>
  <w:abstractNum w:abstractNumId="3"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86791C"/>
    <w:multiLevelType w:val="hybridMultilevel"/>
    <w:tmpl w:val="80605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226C45"/>
    <w:multiLevelType w:val="hybridMultilevel"/>
    <w:tmpl w:val="AF4680E2"/>
    <w:lvl w:ilvl="0" w:tplc="04270001">
      <w:start w:val="1"/>
      <w:numFmt w:val="bullet"/>
      <w:lvlText w:val=""/>
      <w:lvlJc w:val="left"/>
      <w:pPr>
        <w:ind w:left="1295" w:hanging="87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6" w15:restartNumberingAfterBreak="0">
    <w:nsid w:val="0E6C7595"/>
    <w:multiLevelType w:val="hybridMultilevel"/>
    <w:tmpl w:val="664E397C"/>
    <w:lvl w:ilvl="0" w:tplc="DF648DAC">
      <w:numFmt w:val="bullet"/>
      <w:lvlText w:val="•"/>
      <w:lvlJc w:val="left"/>
      <w:pPr>
        <w:ind w:left="1295" w:hanging="87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7"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DD82FBB"/>
    <w:multiLevelType w:val="hybridMultilevel"/>
    <w:tmpl w:val="1826D0FA"/>
    <w:lvl w:ilvl="0" w:tplc="F82E906C">
      <w:start w:val="1"/>
      <w:numFmt w:val="lowerRoman"/>
      <w:lvlText w:val="%1)"/>
      <w:lvlJc w:val="left"/>
      <w:pPr>
        <w:ind w:left="1206" w:hanging="720"/>
      </w:pPr>
      <w:rPr>
        <w:rFonts w:hint="default"/>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9"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35C61FC2"/>
    <w:multiLevelType w:val="hybridMultilevel"/>
    <w:tmpl w:val="347CE6F4"/>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11" w15:restartNumberingAfterBreak="0">
    <w:nsid w:val="48C03EEC"/>
    <w:multiLevelType w:val="hybridMultilevel"/>
    <w:tmpl w:val="4E06B66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21E6615"/>
    <w:multiLevelType w:val="hybridMultilevel"/>
    <w:tmpl w:val="FA961032"/>
    <w:lvl w:ilvl="0" w:tplc="A12A4F70">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5" w15:restartNumberingAfterBreak="0">
    <w:nsid w:val="631B3D6C"/>
    <w:multiLevelType w:val="hybridMultilevel"/>
    <w:tmpl w:val="397466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3CD4F6F"/>
    <w:multiLevelType w:val="hybridMultilevel"/>
    <w:tmpl w:val="4036A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CA348EB"/>
    <w:multiLevelType w:val="hybridMultilevel"/>
    <w:tmpl w:val="F7202712"/>
    <w:lvl w:ilvl="0" w:tplc="1F64C974">
      <w:start w:val="2"/>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8" w15:restartNumberingAfterBreak="0">
    <w:nsid w:val="7D591FE5"/>
    <w:multiLevelType w:val="hybridMultilevel"/>
    <w:tmpl w:val="8B50F6A4"/>
    <w:lvl w:ilvl="0" w:tplc="F664E2F4">
      <w:start w:val="7"/>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19"/>
  </w:num>
  <w:num w:numId="5">
    <w:abstractNumId w:val="12"/>
  </w:num>
  <w:num w:numId="6">
    <w:abstractNumId w:val="13"/>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8"/>
  </w:num>
  <w:num w:numId="11">
    <w:abstractNumId w:val="15"/>
  </w:num>
  <w:num w:numId="12">
    <w:abstractNumId w:val="10"/>
  </w:num>
  <w:num w:numId="13">
    <w:abstractNumId w:val="16"/>
  </w:num>
  <w:num w:numId="14">
    <w:abstractNumId w:val="6"/>
  </w:num>
  <w:num w:numId="15">
    <w:abstractNumId w:val="5"/>
  </w:num>
  <w:num w:numId="16">
    <w:abstractNumId w:val="0"/>
  </w:num>
  <w:num w:numId="17">
    <w:abstractNumId w:val="11"/>
  </w:num>
  <w:num w:numId="18">
    <w:abstractNumId w:val="8"/>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689A"/>
    <w:rsid w:val="00006AF9"/>
    <w:rsid w:val="00010892"/>
    <w:rsid w:val="000159F7"/>
    <w:rsid w:val="00016197"/>
    <w:rsid w:val="000164C6"/>
    <w:rsid w:val="000225C9"/>
    <w:rsid w:val="00025A1E"/>
    <w:rsid w:val="00030C45"/>
    <w:rsid w:val="0004746E"/>
    <w:rsid w:val="000503B8"/>
    <w:rsid w:val="00051B2F"/>
    <w:rsid w:val="00057B92"/>
    <w:rsid w:val="00061754"/>
    <w:rsid w:val="00071D16"/>
    <w:rsid w:val="00076701"/>
    <w:rsid w:val="00077114"/>
    <w:rsid w:val="00093F21"/>
    <w:rsid w:val="000A0005"/>
    <w:rsid w:val="000B0394"/>
    <w:rsid w:val="000B2394"/>
    <w:rsid w:val="000D4346"/>
    <w:rsid w:val="000E3B63"/>
    <w:rsid w:val="000F735A"/>
    <w:rsid w:val="00101370"/>
    <w:rsid w:val="00114744"/>
    <w:rsid w:val="0011583B"/>
    <w:rsid w:val="001236B7"/>
    <w:rsid w:val="001444D2"/>
    <w:rsid w:val="001444F2"/>
    <w:rsid w:val="00147E7C"/>
    <w:rsid w:val="0015590F"/>
    <w:rsid w:val="00161A36"/>
    <w:rsid w:val="00163871"/>
    <w:rsid w:val="00181AEF"/>
    <w:rsid w:val="00192034"/>
    <w:rsid w:val="00194792"/>
    <w:rsid w:val="00195CB2"/>
    <w:rsid w:val="001B0555"/>
    <w:rsid w:val="001D07F7"/>
    <w:rsid w:val="001D0844"/>
    <w:rsid w:val="001D4D2A"/>
    <w:rsid w:val="001E1D83"/>
    <w:rsid w:val="001E5CC7"/>
    <w:rsid w:val="001F11D4"/>
    <w:rsid w:val="00215DAC"/>
    <w:rsid w:val="00216E58"/>
    <w:rsid w:val="002274D5"/>
    <w:rsid w:val="00236B5A"/>
    <w:rsid w:val="00280D90"/>
    <w:rsid w:val="00281562"/>
    <w:rsid w:val="00281E73"/>
    <w:rsid w:val="00282533"/>
    <w:rsid w:val="002B4729"/>
    <w:rsid w:val="002C6259"/>
    <w:rsid w:val="002D03B5"/>
    <w:rsid w:val="002D1510"/>
    <w:rsid w:val="002E3EE3"/>
    <w:rsid w:val="002E78D6"/>
    <w:rsid w:val="00310897"/>
    <w:rsid w:val="003144AE"/>
    <w:rsid w:val="00325ACE"/>
    <w:rsid w:val="00327744"/>
    <w:rsid w:val="003306B2"/>
    <w:rsid w:val="00337EC5"/>
    <w:rsid w:val="003413FE"/>
    <w:rsid w:val="00345667"/>
    <w:rsid w:val="00347A60"/>
    <w:rsid w:val="00353B20"/>
    <w:rsid w:val="00360F41"/>
    <w:rsid w:val="0036221A"/>
    <w:rsid w:val="003701AD"/>
    <w:rsid w:val="00373A7A"/>
    <w:rsid w:val="0038245B"/>
    <w:rsid w:val="00386BB3"/>
    <w:rsid w:val="00392F30"/>
    <w:rsid w:val="003B735C"/>
    <w:rsid w:val="003B7877"/>
    <w:rsid w:val="003D7045"/>
    <w:rsid w:val="003E06E2"/>
    <w:rsid w:val="003E2A52"/>
    <w:rsid w:val="003E2E04"/>
    <w:rsid w:val="003F7142"/>
    <w:rsid w:val="00400BB3"/>
    <w:rsid w:val="00421EE2"/>
    <w:rsid w:val="00424C39"/>
    <w:rsid w:val="00427332"/>
    <w:rsid w:val="004401CE"/>
    <w:rsid w:val="00450C20"/>
    <w:rsid w:val="0045208C"/>
    <w:rsid w:val="00455F00"/>
    <w:rsid w:val="00457F83"/>
    <w:rsid w:val="004669B6"/>
    <w:rsid w:val="004754FE"/>
    <w:rsid w:val="004821A0"/>
    <w:rsid w:val="00482F90"/>
    <w:rsid w:val="00492BDE"/>
    <w:rsid w:val="004A5EC2"/>
    <w:rsid w:val="004A7CD9"/>
    <w:rsid w:val="004B4CBD"/>
    <w:rsid w:val="004B7725"/>
    <w:rsid w:val="004C0C5C"/>
    <w:rsid w:val="004C4B00"/>
    <w:rsid w:val="004C58BB"/>
    <w:rsid w:val="004D1BD6"/>
    <w:rsid w:val="004D1E14"/>
    <w:rsid w:val="004D582F"/>
    <w:rsid w:val="004D7EBE"/>
    <w:rsid w:val="004E44C4"/>
    <w:rsid w:val="004F546A"/>
    <w:rsid w:val="004F70E5"/>
    <w:rsid w:val="005001CD"/>
    <w:rsid w:val="005008FC"/>
    <w:rsid w:val="00500AB6"/>
    <w:rsid w:val="00504910"/>
    <w:rsid w:val="00505E84"/>
    <w:rsid w:val="00507B15"/>
    <w:rsid w:val="0051123A"/>
    <w:rsid w:val="00512B57"/>
    <w:rsid w:val="00521BBF"/>
    <w:rsid w:val="005262AA"/>
    <w:rsid w:val="005362BF"/>
    <w:rsid w:val="00542F85"/>
    <w:rsid w:val="00543A7D"/>
    <w:rsid w:val="00552936"/>
    <w:rsid w:val="005538CA"/>
    <w:rsid w:val="00555FD6"/>
    <w:rsid w:val="0056579F"/>
    <w:rsid w:val="00576B82"/>
    <w:rsid w:val="00577205"/>
    <w:rsid w:val="00581D4E"/>
    <w:rsid w:val="005A0AF4"/>
    <w:rsid w:val="005A1708"/>
    <w:rsid w:val="005A4628"/>
    <w:rsid w:val="005B39AC"/>
    <w:rsid w:val="005B4B3C"/>
    <w:rsid w:val="005B4F55"/>
    <w:rsid w:val="005D2B79"/>
    <w:rsid w:val="005E1AE3"/>
    <w:rsid w:val="005E5FC3"/>
    <w:rsid w:val="005F1488"/>
    <w:rsid w:val="0060044F"/>
    <w:rsid w:val="006316EA"/>
    <w:rsid w:val="00634239"/>
    <w:rsid w:val="00635585"/>
    <w:rsid w:val="00653435"/>
    <w:rsid w:val="00655463"/>
    <w:rsid w:val="006569A9"/>
    <w:rsid w:val="00662744"/>
    <w:rsid w:val="006743CB"/>
    <w:rsid w:val="006868FD"/>
    <w:rsid w:val="00691F85"/>
    <w:rsid w:val="006A1B39"/>
    <w:rsid w:val="006A49E2"/>
    <w:rsid w:val="006C1E0C"/>
    <w:rsid w:val="006D5593"/>
    <w:rsid w:val="006E3E09"/>
    <w:rsid w:val="006F569E"/>
    <w:rsid w:val="007040BB"/>
    <w:rsid w:val="007046E6"/>
    <w:rsid w:val="00706F4A"/>
    <w:rsid w:val="007141E3"/>
    <w:rsid w:val="007173A1"/>
    <w:rsid w:val="00720D88"/>
    <w:rsid w:val="00735072"/>
    <w:rsid w:val="00744D89"/>
    <w:rsid w:val="00747474"/>
    <w:rsid w:val="00751B20"/>
    <w:rsid w:val="00757D1B"/>
    <w:rsid w:val="0076467E"/>
    <w:rsid w:val="007721E1"/>
    <w:rsid w:val="0077282F"/>
    <w:rsid w:val="00775E6E"/>
    <w:rsid w:val="007934A9"/>
    <w:rsid w:val="007A087C"/>
    <w:rsid w:val="007B12C3"/>
    <w:rsid w:val="007B64F2"/>
    <w:rsid w:val="007B7735"/>
    <w:rsid w:val="007C2218"/>
    <w:rsid w:val="007D2630"/>
    <w:rsid w:val="007D4906"/>
    <w:rsid w:val="007F07EE"/>
    <w:rsid w:val="00820C3A"/>
    <w:rsid w:val="0082481F"/>
    <w:rsid w:val="00831133"/>
    <w:rsid w:val="00834F12"/>
    <w:rsid w:val="00835988"/>
    <w:rsid w:val="00836E99"/>
    <w:rsid w:val="0084493D"/>
    <w:rsid w:val="00847439"/>
    <w:rsid w:val="00857B56"/>
    <w:rsid w:val="00857DE8"/>
    <w:rsid w:val="00861F65"/>
    <w:rsid w:val="008649E8"/>
    <w:rsid w:val="00893A05"/>
    <w:rsid w:val="008A0F32"/>
    <w:rsid w:val="008A5687"/>
    <w:rsid w:val="008A6F0C"/>
    <w:rsid w:val="008B1086"/>
    <w:rsid w:val="008B3631"/>
    <w:rsid w:val="008B3B02"/>
    <w:rsid w:val="008C3D42"/>
    <w:rsid w:val="008F3F81"/>
    <w:rsid w:val="008F4844"/>
    <w:rsid w:val="00903B66"/>
    <w:rsid w:val="00906FC1"/>
    <w:rsid w:val="00915033"/>
    <w:rsid w:val="00915597"/>
    <w:rsid w:val="00922988"/>
    <w:rsid w:val="009372F3"/>
    <w:rsid w:val="00943780"/>
    <w:rsid w:val="00943D9D"/>
    <w:rsid w:val="00945DC5"/>
    <w:rsid w:val="00954006"/>
    <w:rsid w:val="009572D7"/>
    <w:rsid w:val="0096696D"/>
    <w:rsid w:val="009677A6"/>
    <w:rsid w:val="00975669"/>
    <w:rsid w:val="009C043E"/>
    <w:rsid w:val="009C3193"/>
    <w:rsid w:val="009D1811"/>
    <w:rsid w:val="009E6E23"/>
    <w:rsid w:val="009F26D6"/>
    <w:rsid w:val="00A010B0"/>
    <w:rsid w:val="00A24A6B"/>
    <w:rsid w:val="00A24B83"/>
    <w:rsid w:val="00A34F9D"/>
    <w:rsid w:val="00A3698B"/>
    <w:rsid w:val="00A40ACC"/>
    <w:rsid w:val="00A40F1D"/>
    <w:rsid w:val="00A6317E"/>
    <w:rsid w:val="00A83A3B"/>
    <w:rsid w:val="00A90504"/>
    <w:rsid w:val="00A91C43"/>
    <w:rsid w:val="00AA31E0"/>
    <w:rsid w:val="00AA6D96"/>
    <w:rsid w:val="00AB4274"/>
    <w:rsid w:val="00AD7CCD"/>
    <w:rsid w:val="00AE7138"/>
    <w:rsid w:val="00B049CB"/>
    <w:rsid w:val="00B1123F"/>
    <w:rsid w:val="00B17D66"/>
    <w:rsid w:val="00B35A43"/>
    <w:rsid w:val="00B370E0"/>
    <w:rsid w:val="00B45249"/>
    <w:rsid w:val="00B629FB"/>
    <w:rsid w:val="00B67148"/>
    <w:rsid w:val="00B83B3A"/>
    <w:rsid w:val="00B900BB"/>
    <w:rsid w:val="00BA45EC"/>
    <w:rsid w:val="00BA6165"/>
    <w:rsid w:val="00BA7682"/>
    <w:rsid w:val="00BB2175"/>
    <w:rsid w:val="00BB3CC5"/>
    <w:rsid w:val="00BC782F"/>
    <w:rsid w:val="00BD413C"/>
    <w:rsid w:val="00BE3B39"/>
    <w:rsid w:val="00BF693A"/>
    <w:rsid w:val="00C0045E"/>
    <w:rsid w:val="00C05A9C"/>
    <w:rsid w:val="00C13238"/>
    <w:rsid w:val="00C13C37"/>
    <w:rsid w:val="00C21E84"/>
    <w:rsid w:val="00C26086"/>
    <w:rsid w:val="00C26F8F"/>
    <w:rsid w:val="00C332E8"/>
    <w:rsid w:val="00C360CE"/>
    <w:rsid w:val="00C4322F"/>
    <w:rsid w:val="00C72F91"/>
    <w:rsid w:val="00C76268"/>
    <w:rsid w:val="00C90180"/>
    <w:rsid w:val="00C94B30"/>
    <w:rsid w:val="00CA23F1"/>
    <w:rsid w:val="00CA7F5E"/>
    <w:rsid w:val="00CB4D87"/>
    <w:rsid w:val="00CB592A"/>
    <w:rsid w:val="00CB640F"/>
    <w:rsid w:val="00CC5C12"/>
    <w:rsid w:val="00CD4925"/>
    <w:rsid w:val="00CE0360"/>
    <w:rsid w:val="00CF5D8D"/>
    <w:rsid w:val="00CF6336"/>
    <w:rsid w:val="00CF6663"/>
    <w:rsid w:val="00D002FB"/>
    <w:rsid w:val="00D00FEA"/>
    <w:rsid w:val="00D148E0"/>
    <w:rsid w:val="00D315BA"/>
    <w:rsid w:val="00D32195"/>
    <w:rsid w:val="00D359D8"/>
    <w:rsid w:val="00D45300"/>
    <w:rsid w:val="00D51A0A"/>
    <w:rsid w:val="00D57DA0"/>
    <w:rsid w:val="00D72B5F"/>
    <w:rsid w:val="00D7548F"/>
    <w:rsid w:val="00D82DFA"/>
    <w:rsid w:val="00D9136A"/>
    <w:rsid w:val="00DA18AB"/>
    <w:rsid w:val="00DA3F35"/>
    <w:rsid w:val="00DA66A9"/>
    <w:rsid w:val="00DC6CB5"/>
    <w:rsid w:val="00DD0468"/>
    <w:rsid w:val="00DD1074"/>
    <w:rsid w:val="00DD1C9C"/>
    <w:rsid w:val="00DE1A4A"/>
    <w:rsid w:val="00DE3BA1"/>
    <w:rsid w:val="00DE6B92"/>
    <w:rsid w:val="00DF575F"/>
    <w:rsid w:val="00DF61BA"/>
    <w:rsid w:val="00E152D4"/>
    <w:rsid w:val="00E15529"/>
    <w:rsid w:val="00E15AAD"/>
    <w:rsid w:val="00E24BB4"/>
    <w:rsid w:val="00E267D6"/>
    <w:rsid w:val="00E3354B"/>
    <w:rsid w:val="00E44695"/>
    <w:rsid w:val="00E468BF"/>
    <w:rsid w:val="00E6312A"/>
    <w:rsid w:val="00E662D6"/>
    <w:rsid w:val="00E74F38"/>
    <w:rsid w:val="00E87BE2"/>
    <w:rsid w:val="00EA5C7A"/>
    <w:rsid w:val="00EB563F"/>
    <w:rsid w:val="00EC4A46"/>
    <w:rsid w:val="00ED4101"/>
    <w:rsid w:val="00EE3856"/>
    <w:rsid w:val="00EF42DB"/>
    <w:rsid w:val="00F01EA6"/>
    <w:rsid w:val="00F02B6A"/>
    <w:rsid w:val="00F05437"/>
    <w:rsid w:val="00F117E0"/>
    <w:rsid w:val="00F34BBF"/>
    <w:rsid w:val="00F45F77"/>
    <w:rsid w:val="00F705D4"/>
    <w:rsid w:val="00F73CB9"/>
    <w:rsid w:val="00F74BCF"/>
    <w:rsid w:val="00F8110F"/>
    <w:rsid w:val="00F81E15"/>
    <w:rsid w:val="00F834FA"/>
    <w:rsid w:val="00F91E9C"/>
    <w:rsid w:val="00F95DCD"/>
    <w:rsid w:val="00FA0A08"/>
    <w:rsid w:val="00FA2D29"/>
    <w:rsid w:val="00FA5015"/>
    <w:rsid w:val="00FB373F"/>
    <w:rsid w:val="00FB49D2"/>
    <w:rsid w:val="00FC144D"/>
    <w:rsid w:val="00FD5E4F"/>
    <w:rsid w:val="00FD68F2"/>
    <w:rsid w:val="00FE0B4A"/>
    <w:rsid w:val="00FF052E"/>
    <w:rsid w:val="00FF10E1"/>
    <w:rsid w:val="00FF1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375B7D"/>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1370"/>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abc">
    <w:name w:val="Point abc"/>
    <w:basedOn w:val="prastasis"/>
    <w:rsid w:val="00EF42DB"/>
    <w:pPr>
      <w:numPr>
        <w:ilvl w:val="1"/>
        <w:numId w:val="8"/>
      </w:numPr>
      <w:spacing w:before="120" w:after="120" w:line="360" w:lineRule="auto"/>
    </w:pPr>
    <w:rPr>
      <w:rFonts w:eastAsiaTheme="minorHAnsi"/>
      <w:szCs w:val="22"/>
    </w:rPr>
  </w:style>
  <w:style w:type="paragraph" w:customStyle="1" w:styleId="Pointabc1">
    <w:name w:val="Point abc (1)"/>
    <w:basedOn w:val="prastasis"/>
    <w:rsid w:val="00EF42DB"/>
    <w:pPr>
      <w:numPr>
        <w:ilvl w:val="3"/>
        <w:numId w:val="8"/>
      </w:numPr>
      <w:spacing w:before="120" w:after="120" w:line="360" w:lineRule="auto"/>
    </w:pPr>
    <w:rPr>
      <w:rFonts w:eastAsiaTheme="minorHAnsi"/>
      <w:szCs w:val="22"/>
    </w:rPr>
  </w:style>
  <w:style w:type="paragraph" w:customStyle="1" w:styleId="Pointabc2">
    <w:name w:val="Point abc (2)"/>
    <w:basedOn w:val="prastasis"/>
    <w:rsid w:val="00EF42DB"/>
    <w:pPr>
      <w:numPr>
        <w:ilvl w:val="5"/>
        <w:numId w:val="8"/>
      </w:numPr>
      <w:spacing w:before="120" w:after="120" w:line="360" w:lineRule="auto"/>
    </w:pPr>
    <w:rPr>
      <w:rFonts w:eastAsiaTheme="minorHAnsi"/>
      <w:szCs w:val="22"/>
    </w:rPr>
  </w:style>
  <w:style w:type="paragraph" w:customStyle="1" w:styleId="Pointabc3">
    <w:name w:val="Point abc (3)"/>
    <w:basedOn w:val="prastasis"/>
    <w:rsid w:val="00EF42DB"/>
    <w:pPr>
      <w:numPr>
        <w:ilvl w:val="7"/>
        <w:numId w:val="8"/>
      </w:numPr>
      <w:spacing w:before="120" w:after="120" w:line="360" w:lineRule="auto"/>
    </w:pPr>
    <w:rPr>
      <w:rFonts w:eastAsiaTheme="minorHAnsi"/>
      <w:szCs w:val="22"/>
    </w:rPr>
  </w:style>
  <w:style w:type="paragraph" w:customStyle="1" w:styleId="Pointabc4">
    <w:name w:val="Point abc (4)"/>
    <w:basedOn w:val="prastasis"/>
    <w:rsid w:val="00EF42DB"/>
    <w:pPr>
      <w:numPr>
        <w:ilvl w:val="8"/>
        <w:numId w:val="8"/>
      </w:numPr>
      <w:spacing w:before="120" w:after="120" w:line="360" w:lineRule="auto"/>
    </w:pPr>
    <w:rPr>
      <w:rFonts w:eastAsiaTheme="minorHAnsi"/>
      <w:szCs w:val="22"/>
    </w:rPr>
  </w:style>
  <w:style w:type="paragraph" w:customStyle="1" w:styleId="Point123">
    <w:name w:val="Point 123"/>
    <w:basedOn w:val="prastasis"/>
    <w:rsid w:val="00EF42DB"/>
    <w:pPr>
      <w:numPr>
        <w:numId w:val="8"/>
      </w:numPr>
      <w:spacing w:before="120" w:after="120" w:line="360" w:lineRule="auto"/>
    </w:pPr>
    <w:rPr>
      <w:rFonts w:eastAsiaTheme="minorHAnsi"/>
      <w:szCs w:val="22"/>
    </w:rPr>
  </w:style>
  <w:style w:type="paragraph" w:customStyle="1" w:styleId="Point1231">
    <w:name w:val="Point 123 (1)"/>
    <w:basedOn w:val="prastasis"/>
    <w:rsid w:val="00EF42DB"/>
    <w:pPr>
      <w:numPr>
        <w:ilvl w:val="2"/>
        <w:numId w:val="8"/>
      </w:numPr>
      <w:spacing w:before="120" w:after="120" w:line="360" w:lineRule="auto"/>
    </w:pPr>
    <w:rPr>
      <w:rFonts w:eastAsiaTheme="minorHAnsi"/>
      <w:szCs w:val="22"/>
    </w:rPr>
  </w:style>
  <w:style w:type="paragraph" w:customStyle="1" w:styleId="Point1232">
    <w:name w:val="Point 123 (2)"/>
    <w:basedOn w:val="prastasis"/>
    <w:rsid w:val="00EF42DB"/>
    <w:pPr>
      <w:numPr>
        <w:ilvl w:val="4"/>
        <w:numId w:val="8"/>
      </w:numPr>
      <w:spacing w:before="120" w:after="120" w:line="360" w:lineRule="auto"/>
    </w:pPr>
    <w:rPr>
      <w:rFonts w:eastAsiaTheme="minorHAnsi"/>
      <w:szCs w:val="22"/>
    </w:rPr>
  </w:style>
  <w:style w:type="paragraph" w:customStyle="1" w:styleId="Point1233">
    <w:name w:val="Point 123 (3)"/>
    <w:basedOn w:val="prastasis"/>
    <w:rsid w:val="00EF42DB"/>
    <w:pPr>
      <w:numPr>
        <w:ilvl w:val="6"/>
        <w:numId w:val="8"/>
      </w:numPr>
      <w:spacing w:before="120" w:after="120" w:line="360" w:lineRule="auto"/>
    </w:pPr>
    <w:rPr>
      <w:rFonts w:eastAsiaTheme="minorHAnsi"/>
      <w:szCs w:val="22"/>
    </w:rPr>
  </w:style>
  <w:style w:type="character" w:styleId="Hipersaitas">
    <w:name w:val="Hyperlink"/>
    <w:basedOn w:val="Numatytasispastraiposriftas"/>
    <w:uiPriority w:val="99"/>
    <w:semiHidden/>
    <w:unhideWhenUsed/>
    <w:rsid w:val="00EF42DB"/>
    <w:rPr>
      <w:color w:val="0000FF"/>
      <w:u w:val="single"/>
    </w:rPr>
  </w:style>
  <w:style w:type="paragraph" w:customStyle="1" w:styleId="Dash1">
    <w:name w:val="Dash 1"/>
    <w:basedOn w:val="prastasis"/>
    <w:rsid w:val="00542F85"/>
    <w:pPr>
      <w:numPr>
        <w:numId w:val="9"/>
      </w:numPr>
      <w:spacing w:before="120" w:after="120" w:line="360" w:lineRule="auto"/>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266159">
      <w:bodyDiv w:val="1"/>
      <w:marLeft w:val="0"/>
      <w:marRight w:val="0"/>
      <w:marTop w:val="0"/>
      <w:marBottom w:val="0"/>
      <w:divBdr>
        <w:top w:val="none" w:sz="0" w:space="0" w:color="auto"/>
        <w:left w:val="none" w:sz="0" w:space="0" w:color="auto"/>
        <w:bottom w:val="none" w:sz="0" w:space="0" w:color="auto"/>
        <w:right w:val="none" w:sz="0" w:space="0" w:color="auto"/>
      </w:divBdr>
    </w:div>
    <w:div w:id="461270731">
      <w:bodyDiv w:val="1"/>
      <w:marLeft w:val="0"/>
      <w:marRight w:val="0"/>
      <w:marTop w:val="0"/>
      <w:marBottom w:val="0"/>
      <w:divBdr>
        <w:top w:val="none" w:sz="0" w:space="0" w:color="auto"/>
        <w:left w:val="none" w:sz="0" w:space="0" w:color="auto"/>
        <w:bottom w:val="none" w:sz="0" w:space="0" w:color="auto"/>
        <w:right w:val="none" w:sz="0" w:space="0" w:color="auto"/>
      </w:divBdr>
    </w:div>
    <w:div w:id="88888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10B37-0916-4B1F-BABC-3802B05FE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5</Pages>
  <Words>8151</Words>
  <Characters>4647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Savelijus Julius Zimanas</cp:lastModifiedBy>
  <cp:revision>42</cp:revision>
  <cp:lastPrinted>2020-07-09T12:39:00Z</cp:lastPrinted>
  <dcterms:created xsi:type="dcterms:W3CDTF">2020-07-08T11:15:00Z</dcterms:created>
  <dcterms:modified xsi:type="dcterms:W3CDTF">2020-07-10T06:11:00Z</dcterms:modified>
</cp:coreProperties>
</file>