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0F" w:rsidRPr="00EB583D" w:rsidRDefault="00F36C0F" w:rsidP="00BA72C3">
      <w:pPr>
        <w:ind w:left="426" w:hanging="142"/>
        <w:rPr>
          <w:b/>
          <w:caps/>
        </w:rPr>
      </w:pPr>
      <w:r w:rsidRPr="00EB583D">
        <w:rPr>
          <w:b/>
          <w:lang w:eastAsia="en-US"/>
        </w:rPr>
        <w:t xml:space="preserve">LIETUVOS RESPUBLIKOS </w:t>
      </w:r>
      <w:r w:rsidRPr="00EB583D">
        <w:rPr>
          <w:b/>
          <w:caps/>
        </w:rPr>
        <w:t>VyriausybėS nutarimO</w:t>
      </w:r>
    </w:p>
    <w:p w:rsidR="00F36C0F" w:rsidRPr="00DE6FA2" w:rsidRDefault="00F36C0F" w:rsidP="00BA72C3">
      <w:pPr>
        <w:tabs>
          <w:tab w:val="left" w:pos="284"/>
          <w:tab w:val="left" w:pos="426"/>
          <w:tab w:val="left" w:pos="709"/>
          <w:tab w:val="left" w:pos="993"/>
        </w:tabs>
        <w:ind w:left="426" w:hanging="142"/>
        <w:rPr>
          <w:b/>
        </w:rPr>
      </w:pPr>
      <w:r w:rsidRPr="00FC48C5">
        <w:rPr>
          <w:b/>
        </w:rPr>
        <w:t>„</w:t>
      </w:r>
      <w:r w:rsidRPr="00702A9E">
        <w:rPr>
          <w:b/>
        </w:rPr>
        <w:t>DĖL MOKYMO LĖŠŲ APSKAIČIAVIMO, PASKIRSTYMO IR PANAUDOJIMO TVARKOS APRAŠO PATVIRTINIMO</w:t>
      </w:r>
      <w:r w:rsidRPr="00FC48C5">
        <w:rPr>
          <w:b/>
        </w:rPr>
        <w:t>“ PROJEKTO</w:t>
      </w:r>
    </w:p>
    <w:p w:rsidR="00F36C0F" w:rsidRPr="00EB583D" w:rsidRDefault="00F36C0F" w:rsidP="00BA72C3">
      <w:pPr>
        <w:ind w:left="426" w:hanging="142"/>
        <w:rPr>
          <w:b/>
        </w:rPr>
      </w:pPr>
      <w:r w:rsidRPr="00EB583D">
        <w:rPr>
          <w:b/>
          <w:caps/>
        </w:rPr>
        <w:t>DERINIMO PAŽYMA</w:t>
      </w:r>
    </w:p>
    <w:p w:rsidR="00F36C0F" w:rsidRPr="00EB583D" w:rsidRDefault="00F36C0F" w:rsidP="00BA72C3">
      <w:pPr>
        <w:ind w:left="426" w:hanging="142"/>
        <w:jc w:val="left"/>
        <w:rPr>
          <w:b/>
          <w:caps/>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55"/>
        <w:gridCol w:w="7937"/>
      </w:tblGrid>
      <w:tr w:rsidR="00F36C0F" w:rsidRPr="00EB583D" w:rsidTr="001210F9">
        <w:trPr>
          <w:trHeight w:val="868"/>
          <w:tblHeader/>
          <w:jc w:val="center"/>
        </w:trPr>
        <w:tc>
          <w:tcPr>
            <w:tcW w:w="544" w:type="pct"/>
            <w:vAlign w:val="center"/>
          </w:tcPr>
          <w:p w:rsidR="00F36C0F" w:rsidRPr="00EB583D" w:rsidRDefault="00F36C0F" w:rsidP="00E56D62">
            <w:pPr>
              <w:rPr>
                <w:b/>
              </w:rPr>
            </w:pPr>
            <w:r>
              <w:rPr>
                <w:b/>
                <w:bCs/>
              </w:rPr>
              <w:t>Institucijos pavadinimas</w:t>
            </w:r>
            <w:r w:rsidRPr="00EB583D">
              <w:rPr>
                <w:b/>
                <w:bCs/>
              </w:rPr>
              <w:t>, rašto data ir numeris</w:t>
            </w:r>
          </w:p>
        </w:tc>
        <w:tc>
          <w:tcPr>
            <w:tcW w:w="1910" w:type="pct"/>
            <w:vAlign w:val="center"/>
          </w:tcPr>
          <w:p w:rsidR="00F36C0F" w:rsidRPr="00EB583D" w:rsidRDefault="00F36C0F" w:rsidP="00E56D62">
            <w:pPr>
              <w:rPr>
                <w:b/>
              </w:rPr>
            </w:pPr>
            <w:r w:rsidRPr="00EB583D">
              <w:rPr>
                <w:b/>
                <w:bCs/>
              </w:rPr>
              <w:t>Pastabos ir pasiūlymai</w:t>
            </w:r>
          </w:p>
        </w:tc>
        <w:tc>
          <w:tcPr>
            <w:tcW w:w="2546" w:type="pct"/>
            <w:vAlign w:val="center"/>
          </w:tcPr>
          <w:p w:rsidR="00F36C0F" w:rsidRPr="0049048C" w:rsidRDefault="00F36C0F" w:rsidP="00E56D62">
            <w:pPr>
              <w:rPr>
                <w:b/>
                <w:bCs/>
              </w:rPr>
            </w:pPr>
            <w:r w:rsidRPr="00EB583D">
              <w:rPr>
                <w:b/>
                <w:bCs/>
              </w:rPr>
              <w:t>Žyma apie pastabas ir pasiūlymus, į kuriuos neatsižvelgta</w:t>
            </w:r>
            <w:r>
              <w:rPr>
                <w:b/>
                <w:bCs/>
              </w:rPr>
              <w:t xml:space="preserve"> arba atsižvelgta iš dalies</w:t>
            </w:r>
          </w:p>
        </w:tc>
      </w:tr>
      <w:tr w:rsidR="00D519CF" w:rsidRPr="00EB583D" w:rsidTr="001210F9">
        <w:trPr>
          <w:trHeight w:val="701"/>
          <w:jc w:val="center"/>
        </w:trPr>
        <w:tc>
          <w:tcPr>
            <w:tcW w:w="544" w:type="pct"/>
          </w:tcPr>
          <w:p w:rsidR="00D519CF" w:rsidRPr="00EB583D" w:rsidRDefault="00D519CF" w:rsidP="00D519CF">
            <w:pPr>
              <w:jc w:val="left"/>
              <w:rPr>
                <w:bCs/>
              </w:rPr>
            </w:pPr>
            <w:r>
              <w:rPr>
                <w:bCs/>
              </w:rPr>
              <w:t>Vyriausybės kanceliarijos Teisės grupės išvada</w:t>
            </w:r>
          </w:p>
        </w:tc>
        <w:tc>
          <w:tcPr>
            <w:tcW w:w="1910" w:type="pct"/>
          </w:tcPr>
          <w:p w:rsidR="00D519CF" w:rsidRPr="00860A90" w:rsidRDefault="00CF31E1" w:rsidP="00860A90">
            <w:pPr>
              <w:jc w:val="both"/>
            </w:pPr>
            <w:r w:rsidRPr="008D33D3">
              <w:t xml:space="preserve">Keičiamo Aprašo 11 punkte nurodytos </w:t>
            </w:r>
            <w:r w:rsidRPr="008D33D3">
              <w:rPr>
                <w:i/>
                <w:iCs/>
                <w:u w:val="single"/>
              </w:rPr>
              <w:t>bendrojo ugdymo mokyklų išlyginamosios lietuvių kalbos klasės</w:t>
            </w:r>
            <w:r w:rsidRPr="008D33D3">
              <w:rPr>
                <w:i/>
                <w:iCs/>
              </w:rPr>
              <w:t xml:space="preserve"> </w:t>
            </w:r>
            <w:r w:rsidRPr="008D33D3">
              <w:t>(</w:t>
            </w:r>
            <w:r w:rsidRPr="00D176E7">
              <w:t xml:space="preserve">Klasių paskirčių klasifikatoriuje, patvirtintame </w:t>
            </w:r>
            <w:hyperlink r:id="rId8" w:history="1">
              <w:r w:rsidRPr="00D176E7">
                <w:t>Lietuvos Respublikos švietimo ir mokslo ministro 2013 m. rugsėjo 11 d. įsakym</w:t>
              </w:r>
            </w:hyperlink>
            <w:r w:rsidRPr="00D176E7">
              <w:t xml:space="preserve">u Nr. V-856, </w:t>
            </w:r>
            <w:r w:rsidRPr="008D33D3">
              <w:t xml:space="preserve">pateiktas </w:t>
            </w:r>
            <w:r>
              <w:t>toks šios klasės</w:t>
            </w:r>
            <w:r w:rsidRPr="008D33D3">
              <w:t xml:space="preserve"> apibūdinimas</w:t>
            </w:r>
            <w:r>
              <w:t xml:space="preserve"> – </w:t>
            </w:r>
            <w:r w:rsidRPr="00D176E7">
              <w:t>klasė, skirta užsieniečiams ir Lietuvos Respublikos piliečiams, atvykusiems ar grįžusiems gyventi ir dirbti Lietuvos Respublikoje, nemokantiems lietuvių kalbos ir neturintiems pradinio, pagrindinio ar vidurinio išsilavinimo, mokytis lietuvių kalbos, ir siekiantiems tęsti mokymąsi pagal bendrojo ugdymo programas</w:t>
            </w:r>
            <w:r w:rsidRPr="008D33D3">
              <w:t xml:space="preserve">). Tuo tarpu Aprašo 1 priedo 3 </w:t>
            </w:r>
            <w:r>
              <w:t>išnašoje</w:t>
            </w:r>
            <w:r w:rsidRPr="008D33D3">
              <w:t xml:space="preserve"> vartojama formuluotė </w:t>
            </w:r>
            <w:r w:rsidRPr="008D33D3">
              <w:rPr>
                <w:i/>
                <w:iCs/>
                <w:u w:val="single"/>
              </w:rPr>
              <w:t>bendrojo ugdymo klasė (migrantams)</w:t>
            </w:r>
            <w:r w:rsidRPr="008D33D3">
              <w:t xml:space="preserve">. Jeigu turima omenyje ta pati klasės paskirtis (rūšis), </w:t>
            </w:r>
            <w:r>
              <w:t xml:space="preserve">siūlytina </w:t>
            </w:r>
            <w:r w:rsidRPr="008D33D3">
              <w:t xml:space="preserve">formuluotes suvienodinti. </w:t>
            </w:r>
          </w:p>
          <w:p w:rsidR="00D519CF" w:rsidRDefault="00D519CF" w:rsidP="00860A90">
            <w:pPr>
              <w:pStyle w:val="Sraopastraipa"/>
              <w:tabs>
                <w:tab w:val="left" w:pos="880"/>
              </w:tabs>
              <w:ind w:left="0"/>
              <w:jc w:val="both"/>
              <w:rPr>
                <w:szCs w:val="24"/>
              </w:rPr>
            </w:pPr>
          </w:p>
        </w:tc>
        <w:tc>
          <w:tcPr>
            <w:tcW w:w="2546" w:type="pct"/>
            <w:shd w:val="clear" w:color="auto" w:fill="auto"/>
          </w:tcPr>
          <w:p w:rsidR="00950941" w:rsidRDefault="00D519CF" w:rsidP="00860A90">
            <w:pPr>
              <w:jc w:val="both"/>
            </w:pPr>
            <w:r>
              <w:rPr>
                <w:b/>
              </w:rPr>
              <w:t xml:space="preserve">Neatsižvelgta. </w:t>
            </w:r>
            <w:r w:rsidRPr="00F566AB">
              <w:t>Formuluočių</w:t>
            </w:r>
            <w:r>
              <w:t xml:space="preserve"> negalima suvienodinti, nes </w:t>
            </w:r>
            <w:r w:rsidR="00950941">
              <w:t xml:space="preserve">nurodytos nuostatos tarpusavyje nesusijusios ir jomis siekiama skirtingų tikslų: </w:t>
            </w:r>
          </w:p>
          <w:p w:rsidR="00D519CF" w:rsidRDefault="00950941" w:rsidP="00860A90">
            <w:pPr>
              <w:jc w:val="both"/>
            </w:pPr>
            <w:r>
              <w:t xml:space="preserve">1) </w:t>
            </w:r>
            <w:r w:rsidR="00D519CF" w:rsidRPr="00950941">
              <w:rPr>
                <w:b/>
              </w:rPr>
              <w:t xml:space="preserve">Aprašo </w:t>
            </w:r>
            <w:r w:rsidRPr="00950941">
              <w:rPr>
                <w:b/>
              </w:rPr>
              <w:t>11 punkte</w:t>
            </w:r>
            <w:r w:rsidR="00D519CF">
              <w:t xml:space="preserve"> siūloma </w:t>
            </w:r>
            <w:r w:rsidR="00763704">
              <w:t>į</w:t>
            </w:r>
            <w:r w:rsidR="001B336A">
              <w:t>r</w:t>
            </w:r>
            <w:r w:rsidR="00763704">
              <w:t>a</w:t>
            </w:r>
            <w:r w:rsidR="001B336A">
              <w:t>šyti</w:t>
            </w:r>
            <w:r w:rsidR="00D519CF">
              <w:t xml:space="preserve"> </w:t>
            </w:r>
            <w:r w:rsidR="00D519CF" w:rsidRPr="00B9278B">
              <w:rPr>
                <w:u w:val="single"/>
              </w:rPr>
              <w:t>b</w:t>
            </w:r>
            <w:r w:rsidR="00D519CF" w:rsidRPr="00F566AB">
              <w:rPr>
                <w:u w:val="single"/>
              </w:rPr>
              <w:t>endrojo ugdymo mokyklų išlyginam</w:t>
            </w:r>
            <w:r w:rsidR="00D519CF">
              <w:rPr>
                <w:u w:val="single"/>
              </w:rPr>
              <w:t>ąsias</w:t>
            </w:r>
            <w:r w:rsidR="00D519CF" w:rsidRPr="00F566AB">
              <w:rPr>
                <w:u w:val="single"/>
              </w:rPr>
              <w:t xml:space="preserve"> klas</w:t>
            </w:r>
            <w:r w:rsidR="00D519CF">
              <w:rPr>
                <w:u w:val="single"/>
              </w:rPr>
              <w:t xml:space="preserve">es lietuvių kalba </w:t>
            </w:r>
            <w:r w:rsidR="00D519CF" w:rsidRPr="00B9278B">
              <w:t>todėl, kad šiose klasėse mokosi mokiniai, kurie dažnai migruoja per visus mokslo metus (paprastai užsieniečiai pagal ES pabėgėlių</w:t>
            </w:r>
            <w:r w:rsidR="00D519CF" w:rsidRPr="00F566AB">
              <w:t xml:space="preserve"> perkėlimo programą</w:t>
            </w:r>
            <w:r w:rsidR="00D519CF">
              <w:t xml:space="preserve">) ir siūloma tokių klasių mokinių skaičių skaičiuoti ne rugsėjo 1 d., o </w:t>
            </w:r>
            <w:r w:rsidR="00D519CF" w:rsidRPr="00950941">
              <w:rPr>
                <w:b/>
              </w:rPr>
              <w:t>pagal vidutinį mokinių skaičių per visus mokslo metus</w:t>
            </w:r>
            <w:r w:rsidR="00D519CF">
              <w:t>.</w:t>
            </w:r>
          </w:p>
          <w:p w:rsidR="00D519CF" w:rsidRDefault="00950941" w:rsidP="00860A90">
            <w:pPr>
              <w:jc w:val="both"/>
            </w:pPr>
            <w:r>
              <w:t xml:space="preserve">2) </w:t>
            </w:r>
            <w:r w:rsidRPr="00950941">
              <w:rPr>
                <w:b/>
              </w:rPr>
              <w:t>Aprašo 1 priedo 3 išnašoje</w:t>
            </w:r>
            <w:r w:rsidRPr="008D33D3">
              <w:t xml:space="preserve"> </w:t>
            </w:r>
            <w:r w:rsidR="00D519CF">
              <w:t xml:space="preserve">nustatytoms </w:t>
            </w:r>
            <w:r w:rsidR="00D519CF" w:rsidRPr="00A32C4A">
              <w:rPr>
                <w:u w:val="single"/>
              </w:rPr>
              <w:t>bendrojo ugdymo (migrantų) klasė</w:t>
            </w:r>
            <w:r w:rsidR="00D519CF">
              <w:rPr>
                <w:u w:val="single"/>
              </w:rPr>
              <w:t>ms</w:t>
            </w:r>
            <w:r w:rsidR="00D519CF" w:rsidRPr="00F566AB">
              <w:t xml:space="preserve"> </w:t>
            </w:r>
            <w:r w:rsidR="00D519CF">
              <w:t>priskiriami visi užsieniečiai ar Lietuv</w:t>
            </w:r>
            <w:bookmarkStart w:id="0" w:name="_GoBack"/>
            <w:bookmarkEnd w:id="0"/>
            <w:r w:rsidR="00D519CF">
              <w:t>os Respublikos piliečiai, atvykę gyventi į Lietuvos Respubliką, kurie nemoka valstybinės kalbos (tame tarpe ir „</w:t>
            </w:r>
            <w:r w:rsidR="00D519CF" w:rsidRPr="00B9278B">
              <w:rPr>
                <w:u w:val="single"/>
              </w:rPr>
              <w:t>b</w:t>
            </w:r>
            <w:r w:rsidR="00D519CF" w:rsidRPr="00F566AB">
              <w:rPr>
                <w:u w:val="single"/>
              </w:rPr>
              <w:t>endrojo ugdymo mokyklų išlyginam</w:t>
            </w:r>
            <w:r w:rsidR="00D519CF">
              <w:rPr>
                <w:u w:val="single"/>
              </w:rPr>
              <w:t>ųjų</w:t>
            </w:r>
            <w:r w:rsidR="00D519CF" w:rsidRPr="00F566AB">
              <w:rPr>
                <w:u w:val="single"/>
              </w:rPr>
              <w:t xml:space="preserve"> klas</w:t>
            </w:r>
            <w:r w:rsidR="00D519CF">
              <w:rPr>
                <w:u w:val="single"/>
              </w:rPr>
              <w:t>ių lietuvių kalba“ mokiniai)</w:t>
            </w:r>
            <w:r w:rsidR="00D519CF">
              <w:t xml:space="preserve">. Šie mokiniai gali mokytis bet kurios paskirties klasėje. Minėta sąvoka skirta nustatyti koeficientą, reikalingą </w:t>
            </w:r>
            <w:r w:rsidR="00D519CF" w:rsidRPr="00950941">
              <w:rPr>
                <w:b/>
              </w:rPr>
              <w:t>apskaičiuoti mokymo lėšas, reikalingas papildomai tokių mokinių švietimo pagalbai</w:t>
            </w:r>
            <w:r w:rsidR="00D519CF">
              <w:t>. Šie koeficientai taikomi ir prieš tai minėtų „</w:t>
            </w:r>
            <w:r w:rsidR="00D519CF" w:rsidRPr="00B9278B">
              <w:rPr>
                <w:u w:val="single"/>
              </w:rPr>
              <w:t>b</w:t>
            </w:r>
            <w:r w:rsidR="00D519CF" w:rsidRPr="00F566AB">
              <w:rPr>
                <w:u w:val="single"/>
              </w:rPr>
              <w:t>endrojo ugdymo mokyklų išlyginam</w:t>
            </w:r>
            <w:r w:rsidR="00D519CF">
              <w:rPr>
                <w:u w:val="single"/>
              </w:rPr>
              <w:t>ųjų</w:t>
            </w:r>
            <w:r w:rsidR="00D519CF" w:rsidRPr="00F566AB">
              <w:rPr>
                <w:u w:val="single"/>
              </w:rPr>
              <w:t xml:space="preserve"> klas</w:t>
            </w:r>
            <w:r w:rsidR="00D519CF">
              <w:rPr>
                <w:u w:val="single"/>
              </w:rPr>
              <w:t xml:space="preserve">ių lietuvių kalba“ mokiniams. </w:t>
            </w:r>
          </w:p>
          <w:p w:rsidR="00D519CF" w:rsidRDefault="00D519CF" w:rsidP="00860A90">
            <w:pPr>
              <w:jc w:val="both"/>
              <w:rPr>
                <w:b/>
              </w:rPr>
            </w:pPr>
          </w:p>
        </w:tc>
      </w:tr>
      <w:tr w:rsidR="001210F9" w:rsidRPr="00EB583D" w:rsidTr="001210F9">
        <w:trPr>
          <w:trHeight w:val="3690"/>
          <w:jc w:val="center"/>
        </w:trPr>
        <w:tc>
          <w:tcPr>
            <w:tcW w:w="544" w:type="pct"/>
          </w:tcPr>
          <w:p w:rsidR="001210F9" w:rsidRPr="00EB583D" w:rsidRDefault="001210F9" w:rsidP="00A84C78">
            <w:pPr>
              <w:jc w:val="left"/>
              <w:rPr>
                <w:bCs/>
              </w:rPr>
            </w:pPr>
            <w:r w:rsidRPr="00EB583D">
              <w:rPr>
                <w:bCs/>
              </w:rPr>
              <w:t xml:space="preserve">Lietuvos </w:t>
            </w:r>
            <w:r>
              <w:rPr>
                <w:bCs/>
              </w:rPr>
              <w:t>savivaldybių asociacija 2018-12-13 raštas Nr. (13)-SD-735</w:t>
            </w:r>
          </w:p>
          <w:p w:rsidR="001210F9" w:rsidRPr="00EB583D" w:rsidRDefault="001210F9" w:rsidP="00A84C78">
            <w:pPr>
              <w:jc w:val="left"/>
              <w:rPr>
                <w:bCs/>
              </w:rPr>
            </w:pPr>
          </w:p>
        </w:tc>
        <w:tc>
          <w:tcPr>
            <w:tcW w:w="1910" w:type="pct"/>
          </w:tcPr>
          <w:p w:rsidR="001210F9" w:rsidRPr="001B368E" w:rsidRDefault="001210F9" w:rsidP="00860A90">
            <w:pPr>
              <w:pStyle w:val="Sraopastraipa"/>
              <w:tabs>
                <w:tab w:val="left" w:pos="0"/>
                <w:tab w:val="left" w:pos="888"/>
              </w:tabs>
              <w:ind w:left="0"/>
              <w:jc w:val="both"/>
            </w:pPr>
            <w:r>
              <w:t xml:space="preserve">2. </w:t>
            </w:r>
            <w:r w:rsidRPr="001B368E">
              <w:t>Siūlome pakeisti 1 priedo 1.2.3</w:t>
            </w:r>
            <w:r w:rsidRPr="00317F1D">
              <w:rPr>
                <w:vertAlign w:val="superscript"/>
              </w:rPr>
              <w:t xml:space="preserve">1 </w:t>
            </w:r>
            <w:r w:rsidRPr="001B368E">
              <w:t>papunkčio „</w:t>
            </w:r>
            <w:r w:rsidRPr="00317F1D">
              <w:rPr>
                <w:b/>
                <w:vertAlign w:val="superscript"/>
              </w:rPr>
              <w:t xml:space="preserve">1 </w:t>
            </w:r>
            <w:r w:rsidRPr="00317F1D">
              <w:rPr>
                <w:b/>
              </w:rPr>
              <w:t>“</w:t>
            </w:r>
            <w:r w:rsidRPr="00317F1D">
              <w:rPr>
                <w:vertAlign w:val="superscript"/>
              </w:rPr>
              <w:t xml:space="preserve"> </w:t>
            </w:r>
            <w:r w:rsidRPr="001B368E">
              <w:t xml:space="preserve">paaiškinimą išbraukiant žodžius </w:t>
            </w:r>
            <w:r w:rsidRPr="00317F1D">
              <w:rPr>
                <w:i/>
                <w:strike/>
              </w:rPr>
              <w:t>„išskyrus mokinius, turinčius kalbos ir komunikacijos sutrikimų“</w:t>
            </w:r>
            <w:r w:rsidRPr="00317F1D">
              <w:rPr>
                <w:i/>
              </w:rPr>
              <w:t>,</w:t>
            </w:r>
            <w:r w:rsidRPr="001B368E">
              <w:t xml:space="preserve"> nes neskiriant lėšų kalbėjimo, fonetinių, sklandaus kalbėjimo, balso sutrikimų turintiems nedidelių arba vidutinių specialiųjų ugdymosi poreikių mokiniams nebus galima išlaikyti švietimo pagalbos – logopedų specialistų pareigybių, kurios nustatytos </w:t>
            </w:r>
            <w:r w:rsidRPr="00317F1D">
              <w:rPr>
                <w:color w:val="000000"/>
              </w:rPr>
              <w:t>Lietuvos Respublikos švietimo ir mokslo ministro įsakymais.</w:t>
            </w:r>
          </w:p>
          <w:p w:rsidR="001210F9" w:rsidRDefault="001210F9" w:rsidP="00860A90">
            <w:pPr>
              <w:tabs>
                <w:tab w:val="left" w:pos="1051"/>
              </w:tabs>
              <w:jc w:val="both"/>
            </w:pPr>
            <w:r>
              <w:t>Atkreipiame dėmesį, kad ir padidinamos lėšos švietimo pagalbai, tačiau jų nepakanka esamiems švietimo pagalbos ir pedagoginių psichologinių tarnybų specialistams išlaikyti bei prevencinėms programos įgyvendinti.</w:t>
            </w:r>
          </w:p>
        </w:tc>
        <w:tc>
          <w:tcPr>
            <w:tcW w:w="2546" w:type="pct"/>
            <w:shd w:val="clear" w:color="auto" w:fill="auto"/>
          </w:tcPr>
          <w:p w:rsidR="001210F9" w:rsidRDefault="001210F9" w:rsidP="00860A90">
            <w:pPr>
              <w:jc w:val="both"/>
            </w:pPr>
            <w:r>
              <w:rPr>
                <w:b/>
              </w:rPr>
              <w:t xml:space="preserve">Neatsižvelgta. </w:t>
            </w:r>
            <w:r>
              <w:t>Atsisakius minėtos išnašos (kaip siūlo LSA), papildomai prireiktų daugiau nei 9 mln. Eur.</w:t>
            </w:r>
          </w:p>
          <w:p w:rsidR="001210F9" w:rsidRDefault="001210F9" w:rsidP="00860A90">
            <w:pPr>
              <w:jc w:val="both"/>
            </w:pPr>
            <w:r>
              <w:t>Pažymėtina, kad ši nuostata nėra nauja – ji buvo įrašyta ir į ankstesnę Mokinio krepšelio lėšų apskaičiavimo ir paskirstymo metodiką.</w:t>
            </w:r>
          </w:p>
          <w:p w:rsidR="001210F9" w:rsidRDefault="001210F9" w:rsidP="00860A90">
            <w:pPr>
              <w:jc w:val="both"/>
            </w:pPr>
            <w:r w:rsidRPr="00DE6A3D">
              <w:t xml:space="preserve">Aprašo projekte </w:t>
            </w:r>
            <w:r>
              <w:t>didesnės švietimo pagalbos lėšos skaičiuojamos daliai kalbos sutrikimų (kalbos sutrikimą, neišsivystymą, netekimą ir didelį arba labai didelį fonologinį sutrikimą) turinčių mokinių. Kitiems mokiniams, turintiems kalbos ir komunikacijos sutrikimų, švietimo pagalbai iki šiol buvo skiriama po 57 Eur. Siekiant geriau atliepti švietimo pagalbos poreikius Aprašo projekte siūloma didinti kiekvienam mokiniui skaičiuojamą lėšų sumą iki 70 Eur. Tai leis geriau patenkinti ir mokinių, turinčių kalbos ir komunikacijos sutrikimų, poreikius.</w:t>
            </w:r>
          </w:p>
          <w:p w:rsidR="001210F9" w:rsidRPr="00546C89" w:rsidRDefault="001210F9" w:rsidP="00860A90">
            <w:pPr>
              <w:jc w:val="both"/>
            </w:pPr>
          </w:p>
        </w:tc>
      </w:tr>
    </w:tbl>
    <w:p w:rsidR="0056717A" w:rsidRDefault="001210F9" w:rsidP="001210F9">
      <w:r>
        <w:t>_____________________________</w:t>
      </w:r>
    </w:p>
    <w:sectPr w:rsidR="0056717A" w:rsidSect="001210F9">
      <w:headerReference w:type="even" r:id="rId9"/>
      <w:headerReference w:type="default" r:id="rId10"/>
      <w:pgSz w:w="16838" w:h="11906" w:orient="landscape" w:code="9"/>
      <w:pgMar w:top="566" w:right="1134" w:bottom="142"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68" w:rsidRDefault="002A2268">
      <w:r>
        <w:separator/>
      </w:r>
    </w:p>
  </w:endnote>
  <w:endnote w:type="continuationSeparator" w:id="0">
    <w:p w:rsidR="002A2268" w:rsidRDefault="002A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68" w:rsidRDefault="002A2268">
      <w:r>
        <w:separator/>
      </w:r>
    </w:p>
  </w:footnote>
  <w:footnote w:type="continuationSeparator" w:id="0">
    <w:p w:rsidR="002A2268" w:rsidRDefault="002A22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E5" w:rsidRDefault="00F36C0F"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1BE5" w:rsidRDefault="002A226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12" w:rsidRDefault="00F36C0F">
    <w:pPr>
      <w:pStyle w:val="Antrats"/>
    </w:pPr>
    <w:r>
      <w:fldChar w:fldCharType="begin"/>
    </w:r>
    <w:r>
      <w:instrText>PAGE   \* MERGEFORMAT</w:instrText>
    </w:r>
    <w:r>
      <w:fldChar w:fldCharType="separate"/>
    </w:r>
    <w:r w:rsidR="001210F9" w:rsidRPr="001210F9">
      <w:rPr>
        <w:noProof/>
        <w:lang w:val="lt-LT"/>
      </w:rPr>
      <w:t>2</w:t>
    </w:r>
    <w:r>
      <w:fldChar w:fldCharType="end"/>
    </w:r>
  </w:p>
  <w:p w:rsidR="00251BE5" w:rsidRDefault="002A226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1A"/>
    <w:multiLevelType w:val="hybridMultilevel"/>
    <w:tmpl w:val="C870FB1C"/>
    <w:lvl w:ilvl="0" w:tplc="04270017">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6307D2"/>
    <w:multiLevelType w:val="hybridMultilevel"/>
    <w:tmpl w:val="2814D3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82591"/>
    <w:multiLevelType w:val="hybridMultilevel"/>
    <w:tmpl w:val="92C2BD54"/>
    <w:lvl w:ilvl="0" w:tplc="EFE0F968">
      <w:start w:val="1"/>
      <w:numFmt w:val="decimal"/>
      <w:lvlText w:val="%1."/>
      <w:lvlJc w:val="left"/>
      <w:pPr>
        <w:ind w:left="360" w:hanging="360"/>
      </w:pPr>
      <w:rPr>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36EE1173"/>
    <w:multiLevelType w:val="hybridMultilevel"/>
    <w:tmpl w:val="48C88236"/>
    <w:lvl w:ilvl="0" w:tplc="3CDA0056">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E254CF6"/>
    <w:multiLevelType w:val="hybridMultilevel"/>
    <w:tmpl w:val="6D445DCE"/>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5" w15:restartNumberingAfterBreak="0">
    <w:nsid w:val="482906C5"/>
    <w:multiLevelType w:val="hybridMultilevel"/>
    <w:tmpl w:val="2B84D43A"/>
    <w:lvl w:ilvl="0" w:tplc="E6A878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85E121A"/>
    <w:multiLevelType w:val="hybridMultilevel"/>
    <w:tmpl w:val="48C88236"/>
    <w:lvl w:ilvl="0" w:tplc="3CDA005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69D15273"/>
    <w:multiLevelType w:val="hybridMultilevel"/>
    <w:tmpl w:val="CA1C26B8"/>
    <w:lvl w:ilvl="0" w:tplc="ADCAC930">
      <w:start w:val="1"/>
      <w:numFmt w:val="decimal"/>
      <w:lvlText w:val="%1."/>
      <w:lvlJc w:val="left"/>
      <w:pPr>
        <w:ind w:left="1069" w:hanging="360"/>
      </w:pPr>
      <w:rPr>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7D155C81"/>
    <w:multiLevelType w:val="hybridMultilevel"/>
    <w:tmpl w:val="6F826E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5"/>
  </w:num>
  <w:num w:numId="6">
    <w:abstractNumId w:val="1"/>
  </w:num>
  <w:num w:numId="7">
    <w:abstractNumId w:val="8"/>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0F"/>
    <w:rsid w:val="0004389A"/>
    <w:rsid w:val="00062FE0"/>
    <w:rsid w:val="0011468E"/>
    <w:rsid w:val="001210F9"/>
    <w:rsid w:val="00150B66"/>
    <w:rsid w:val="00154224"/>
    <w:rsid w:val="00174FA0"/>
    <w:rsid w:val="00194F75"/>
    <w:rsid w:val="001B336A"/>
    <w:rsid w:val="001B368E"/>
    <w:rsid w:val="001F47FD"/>
    <w:rsid w:val="00270819"/>
    <w:rsid w:val="00274279"/>
    <w:rsid w:val="002A2268"/>
    <w:rsid w:val="002B6297"/>
    <w:rsid w:val="00317F1D"/>
    <w:rsid w:val="00327729"/>
    <w:rsid w:val="003416E6"/>
    <w:rsid w:val="00354643"/>
    <w:rsid w:val="00357802"/>
    <w:rsid w:val="00367D8F"/>
    <w:rsid w:val="0037584D"/>
    <w:rsid w:val="00384A3A"/>
    <w:rsid w:val="003C54FA"/>
    <w:rsid w:val="003C66CE"/>
    <w:rsid w:val="003C6BEC"/>
    <w:rsid w:val="003C7270"/>
    <w:rsid w:val="00435874"/>
    <w:rsid w:val="004565B6"/>
    <w:rsid w:val="00466226"/>
    <w:rsid w:val="00471404"/>
    <w:rsid w:val="004A6EB7"/>
    <w:rsid w:val="004F1C9D"/>
    <w:rsid w:val="004F24F1"/>
    <w:rsid w:val="00546C89"/>
    <w:rsid w:val="00560225"/>
    <w:rsid w:val="0056717A"/>
    <w:rsid w:val="005B0169"/>
    <w:rsid w:val="005B3111"/>
    <w:rsid w:val="005D3356"/>
    <w:rsid w:val="005D6008"/>
    <w:rsid w:val="006C2A88"/>
    <w:rsid w:val="006C6E4D"/>
    <w:rsid w:val="006D0B2C"/>
    <w:rsid w:val="0073340F"/>
    <w:rsid w:val="00763704"/>
    <w:rsid w:val="00774FFD"/>
    <w:rsid w:val="00783A83"/>
    <w:rsid w:val="007C7885"/>
    <w:rsid w:val="008401AD"/>
    <w:rsid w:val="00860A90"/>
    <w:rsid w:val="00876110"/>
    <w:rsid w:val="008E2FE8"/>
    <w:rsid w:val="008F1D0D"/>
    <w:rsid w:val="00950941"/>
    <w:rsid w:val="009562AD"/>
    <w:rsid w:val="00973CB1"/>
    <w:rsid w:val="00994198"/>
    <w:rsid w:val="009B1C94"/>
    <w:rsid w:val="009C4EF5"/>
    <w:rsid w:val="009D58CC"/>
    <w:rsid w:val="009D7B02"/>
    <w:rsid w:val="009E3C5D"/>
    <w:rsid w:val="00A07042"/>
    <w:rsid w:val="00A32C4A"/>
    <w:rsid w:val="00A84C78"/>
    <w:rsid w:val="00AC7F9B"/>
    <w:rsid w:val="00AD6C08"/>
    <w:rsid w:val="00B53B12"/>
    <w:rsid w:val="00B9278B"/>
    <w:rsid w:val="00B93F65"/>
    <w:rsid w:val="00BA72C3"/>
    <w:rsid w:val="00BE2A4A"/>
    <w:rsid w:val="00BF0B4B"/>
    <w:rsid w:val="00BF2530"/>
    <w:rsid w:val="00C072E4"/>
    <w:rsid w:val="00C07C77"/>
    <w:rsid w:val="00C54904"/>
    <w:rsid w:val="00C8706A"/>
    <w:rsid w:val="00CE12C5"/>
    <w:rsid w:val="00CF31E1"/>
    <w:rsid w:val="00D41E5B"/>
    <w:rsid w:val="00D519CF"/>
    <w:rsid w:val="00D77CAA"/>
    <w:rsid w:val="00DC2EF9"/>
    <w:rsid w:val="00DE6A3D"/>
    <w:rsid w:val="00E34FFD"/>
    <w:rsid w:val="00E770C0"/>
    <w:rsid w:val="00E9747F"/>
    <w:rsid w:val="00F166CC"/>
    <w:rsid w:val="00F36C0F"/>
    <w:rsid w:val="00F43CB0"/>
    <w:rsid w:val="00F566AB"/>
    <w:rsid w:val="00F7143D"/>
    <w:rsid w:val="00F84917"/>
    <w:rsid w:val="00F96151"/>
    <w:rsid w:val="00FD19F2"/>
    <w:rsid w:val="00FE2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A87D"/>
  <w15:chartTrackingRefBased/>
  <w15:docId w15:val="{F5BF1257-B9AE-41A7-9470-E4C377DB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C0F"/>
    <w:pPr>
      <w:spacing w:after="0" w:line="240" w:lineRule="auto"/>
      <w:jc w:val="center"/>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F36C0F"/>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F36C0F"/>
    <w:rPr>
      <w:rFonts w:ascii="Times New Roman" w:eastAsia="Times New Roman" w:hAnsi="Times New Roman" w:cs="Times New Roman"/>
      <w:sz w:val="24"/>
      <w:szCs w:val="24"/>
      <w:lang w:val="x-none" w:eastAsia="x-none"/>
    </w:rPr>
  </w:style>
  <w:style w:type="character" w:styleId="Puslapionumeris">
    <w:name w:val="page number"/>
    <w:uiPriority w:val="99"/>
    <w:rsid w:val="00F36C0F"/>
    <w:rPr>
      <w:rFonts w:cs="Times New Roman"/>
    </w:rPr>
  </w:style>
  <w:style w:type="paragraph" w:styleId="Sraopastraipa">
    <w:name w:val="List Paragraph"/>
    <w:basedOn w:val="prastasis"/>
    <w:uiPriority w:val="34"/>
    <w:qFormat/>
    <w:rsid w:val="00F36C0F"/>
    <w:pPr>
      <w:ind w:left="720"/>
      <w:contextualSpacing/>
      <w:jc w:val="left"/>
    </w:pPr>
    <w:rPr>
      <w:szCs w:val="20"/>
      <w:lang w:eastAsia="en-US"/>
    </w:rPr>
  </w:style>
  <w:style w:type="paragraph" w:styleId="Debesliotekstas">
    <w:name w:val="Balloon Text"/>
    <w:basedOn w:val="prastasis"/>
    <w:link w:val="DebesliotekstasDiagrama"/>
    <w:uiPriority w:val="99"/>
    <w:semiHidden/>
    <w:unhideWhenUsed/>
    <w:rsid w:val="008F1D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0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040831">
      <w:bodyDiv w:val="1"/>
      <w:marLeft w:val="0"/>
      <w:marRight w:val="0"/>
      <w:marTop w:val="0"/>
      <w:marBottom w:val="0"/>
      <w:divBdr>
        <w:top w:val="none" w:sz="0" w:space="0" w:color="auto"/>
        <w:left w:val="none" w:sz="0" w:space="0" w:color="auto"/>
        <w:bottom w:val="none" w:sz="0" w:space="0" w:color="auto"/>
        <w:right w:val="none" w:sz="0" w:space="0" w:color="auto"/>
      </w:divBdr>
    </w:div>
    <w:div w:id="1024862026">
      <w:bodyDiv w:val="1"/>
      <w:marLeft w:val="0"/>
      <w:marRight w:val="0"/>
      <w:marTop w:val="0"/>
      <w:marBottom w:val="0"/>
      <w:divBdr>
        <w:top w:val="none" w:sz="0" w:space="0" w:color="auto"/>
        <w:left w:val="none" w:sz="0" w:space="0" w:color="auto"/>
        <w:bottom w:val="none" w:sz="0" w:space="0" w:color="auto"/>
        <w:right w:val="none" w:sz="0" w:space="0" w:color="auto"/>
      </w:divBdr>
    </w:div>
    <w:div w:id="1416320575">
      <w:bodyDiv w:val="1"/>
      <w:marLeft w:val="0"/>
      <w:marRight w:val="0"/>
      <w:marTop w:val="0"/>
      <w:marBottom w:val="0"/>
      <w:divBdr>
        <w:top w:val="none" w:sz="0" w:space="0" w:color="auto"/>
        <w:left w:val="none" w:sz="0" w:space="0" w:color="auto"/>
        <w:bottom w:val="none" w:sz="0" w:space="0" w:color="auto"/>
        <w:right w:val="none" w:sz="0" w:space="0" w:color="auto"/>
      </w:divBdr>
    </w:div>
    <w:div w:id="1478037006">
      <w:bodyDiv w:val="1"/>
      <w:marLeft w:val="0"/>
      <w:marRight w:val="0"/>
      <w:marTop w:val="0"/>
      <w:marBottom w:val="0"/>
      <w:divBdr>
        <w:top w:val="none" w:sz="0" w:space="0" w:color="auto"/>
        <w:left w:val="none" w:sz="0" w:space="0" w:color="auto"/>
        <w:bottom w:val="none" w:sz="0" w:space="0" w:color="auto"/>
        <w:right w:val="none" w:sz="0" w:space="0" w:color="auto"/>
      </w:divBdr>
    </w:div>
    <w:div w:id="17498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280355"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9037C-20C9-4EC3-B20F-55C26DD09789}">
  <ds:schemaRefs>
    <ds:schemaRef ds:uri="http://schemas.openxmlformats.org/officeDocument/2006/bibliography"/>
  </ds:schemaRefs>
</ds:datastoreItem>
</file>

<file path=customXml/itemProps2.xml><?xml version="1.0" encoding="utf-8"?>
<ds:datastoreItem xmlns:ds="http://schemas.openxmlformats.org/officeDocument/2006/customXml" ds:itemID="{2E44C668-FA6F-49EC-A18A-500E75F1CF5D}"/>
</file>

<file path=customXml/itemProps3.xml><?xml version="1.0" encoding="utf-8"?>
<ds:datastoreItem xmlns:ds="http://schemas.openxmlformats.org/officeDocument/2006/customXml" ds:itemID="{57761F95-A349-43A3-8C9E-B3E20121B4CC}"/>
</file>

<file path=customXml/itemProps4.xml><?xml version="1.0" encoding="utf-8"?>
<ds:datastoreItem xmlns:ds="http://schemas.openxmlformats.org/officeDocument/2006/customXml" ds:itemID="{D62B9CF0-F880-49BA-92CF-DD8F9F06D47C}"/>
</file>

<file path=docProps/app.xml><?xml version="1.0" encoding="utf-8"?>
<Properties xmlns="http://schemas.openxmlformats.org/officeDocument/2006/extended-properties" xmlns:vt="http://schemas.openxmlformats.org/officeDocument/2006/docPropsVTypes">
  <Template>Normal</Template>
  <TotalTime>6</TotalTime>
  <Pages>1</Pages>
  <Words>2465</Words>
  <Characters>1406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4be76ce9-dd26-46f3-9d22-959fd51d7db5</dc:title>
  <dc:subject/>
  <dc:creator>Bužinskienė Danutė</dc:creator>
  <cp:keywords/>
  <dc:description/>
  <cp:lastModifiedBy>Mackevičienė Jolita</cp:lastModifiedBy>
  <cp:revision>6</cp:revision>
  <cp:lastPrinted>2018-12-20T14:05:00Z</cp:lastPrinted>
  <dcterms:created xsi:type="dcterms:W3CDTF">2018-12-20T14:37:00Z</dcterms:created>
  <dcterms:modified xsi:type="dcterms:W3CDTF">2018-12-21T08:43:00Z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