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C46" w:rsidRPr="002F602E" w:rsidRDefault="00523C46" w:rsidP="00523C46">
      <w:pPr>
        <w:spacing w:after="0" w:line="240" w:lineRule="auto"/>
        <w:jc w:val="center"/>
        <w:rPr>
          <w:rFonts w:eastAsia="Calibri" w:cs="Times New Roman"/>
          <w:b/>
          <w:sz w:val="26"/>
          <w:szCs w:val="26"/>
        </w:rPr>
      </w:pPr>
      <w:r w:rsidRPr="002F602E">
        <w:rPr>
          <w:rFonts w:eastAsia="Calibri" w:cs="Times New Roman"/>
          <w:b/>
          <w:sz w:val="26"/>
          <w:szCs w:val="26"/>
        </w:rPr>
        <w:t>PAŽYMA</w:t>
      </w:r>
    </w:p>
    <w:p w:rsidR="00523C46" w:rsidRPr="002F602E" w:rsidRDefault="00523C46" w:rsidP="00523C46">
      <w:pPr>
        <w:spacing w:after="0" w:line="240" w:lineRule="auto"/>
        <w:ind w:firstLine="720"/>
        <w:jc w:val="center"/>
        <w:rPr>
          <w:rFonts w:eastAsia="Calibri" w:cs="Times New Roman"/>
          <w:b/>
          <w:sz w:val="26"/>
          <w:szCs w:val="26"/>
        </w:rPr>
      </w:pPr>
      <w:r w:rsidRPr="002F602E">
        <w:rPr>
          <w:rFonts w:eastAsia="Calibri" w:cs="Times New Roman"/>
          <w:b/>
          <w:sz w:val="26"/>
          <w:szCs w:val="26"/>
        </w:rPr>
        <w:t xml:space="preserve">Dėl š. m. </w:t>
      </w:r>
      <w:r w:rsidR="00343558">
        <w:rPr>
          <w:rFonts w:eastAsia="Calibri" w:cs="Times New Roman"/>
          <w:b/>
          <w:sz w:val="26"/>
          <w:szCs w:val="26"/>
        </w:rPr>
        <w:t>spalio 10</w:t>
      </w:r>
      <w:r w:rsidRPr="002F602E">
        <w:rPr>
          <w:rFonts w:eastAsia="Calibri" w:cs="Times New Roman"/>
          <w:b/>
          <w:sz w:val="26"/>
          <w:szCs w:val="26"/>
        </w:rPr>
        <w:t xml:space="preserve"> d. Ekonomikos ir finansų reikalų (ECOFIN) taryboje svarstomų klausimų</w:t>
      </w:r>
    </w:p>
    <w:p w:rsidR="00DD2365" w:rsidRPr="002F602E" w:rsidRDefault="00DD2365" w:rsidP="00523C46">
      <w:pPr>
        <w:spacing w:after="0" w:line="240" w:lineRule="auto"/>
        <w:ind w:firstLine="720"/>
        <w:jc w:val="both"/>
        <w:rPr>
          <w:rFonts w:eastAsia="Calibri" w:cs="Times New Roman"/>
          <w:szCs w:val="24"/>
        </w:rPr>
      </w:pPr>
    </w:p>
    <w:p w:rsidR="00D876C0" w:rsidRDefault="00D876C0" w:rsidP="005B54DC">
      <w:pPr>
        <w:spacing w:after="0" w:line="240" w:lineRule="auto"/>
        <w:jc w:val="both"/>
        <w:rPr>
          <w:b/>
          <w:szCs w:val="24"/>
        </w:rPr>
      </w:pPr>
    </w:p>
    <w:p w:rsidR="0084520E" w:rsidRPr="002F602E" w:rsidRDefault="00EB5451" w:rsidP="005C3976">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iCs/>
          <w:szCs w:val="24"/>
        </w:rPr>
      </w:pPr>
      <w:r>
        <w:rPr>
          <w:rFonts w:cs="Times New Roman"/>
          <w:b/>
          <w:szCs w:val="24"/>
        </w:rPr>
        <w:t xml:space="preserve">Europos Audito Rūmų 2018 m. metinės ataskaitos pristatymas </w:t>
      </w:r>
      <w:r>
        <w:rPr>
          <w:rFonts w:cs="Times New Roman"/>
          <w:i/>
          <w:szCs w:val="24"/>
        </w:rPr>
        <w:t>(P</w:t>
      </w:r>
      <w:r w:rsidRPr="00EB5451">
        <w:rPr>
          <w:rFonts w:cs="Times New Roman"/>
          <w:i/>
          <w:szCs w:val="24"/>
        </w:rPr>
        <w:t>rezentacija)</w:t>
      </w:r>
    </w:p>
    <w:p w:rsidR="00EB5451" w:rsidRDefault="00EB5451" w:rsidP="00827E85">
      <w:pPr>
        <w:spacing w:after="0" w:line="240" w:lineRule="auto"/>
        <w:jc w:val="both"/>
        <w:rPr>
          <w:rFonts w:eastAsia="Calibri" w:cs="Times New Roman"/>
          <w:b/>
          <w:noProof/>
          <w:szCs w:val="24"/>
          <w:u w:val="single"/>
          <w:lang w:bidi="lt-LT"/>
        </w:rPr>
      </w:pPr>
    </w:p>
    <w:p w:rsidR="00EB5451" w:rsidRPr="00BF0B01" w:rsidRDefault="00EB5451" w:rsidP="00EB5451">
      <w:pPr>
        <w:autoSpaceDE w:val="0"/>
        <w:autoSpaceDN w:val="0"/>
        <w:adjustRightInd w:val="0"/>
        <w:spacing w:after="0" w:line="240" w:lineRule="auto"/>
        <w:jc w:val="both"/>
        <w:rPr>
          <w:rFonts w:cs="Times New Roman"/>
          <w:szCs w:val="24"/>
        </w:rPr>
      </w:pPr>
      <w:r w:rsidRPr="00B84B05">
        <w:rPr>
          <w:rFonts w:cs="Times New Roman"/>
          <w:b/>
          <w:szCs w:val="24"/>
          <w:u w:val="single"/>
          <w:lang w:bidi="lt-LT"/>
        </w:rPr>
        <w:t>Klausimo esmė:</w:t>
      </w:r>
      <w:r w:rsidRPr="00B84B05">
        <w:rPr>
          <w:rFonts w:cs="Times New Roman"/>
          <w:szCs w:val="24"/>
          <w:lang w:bidi="lt-LT"/>
        </w:rPr>
        <w:t xml:space="preserve"> </w:t>
      </w:r>
      <w:r w:rsidRPr="00BF0B01">
        <w:rPr>
          <w:rFonts w:cs="Times New Roman"/>
          <w:szCs w:val="24"/>
          <w:lang w:bidi="lt-LT"/>
        </w:rPr>
        <w:t xml:space="preserve">ECOFIN metu Europos Audito Rūmai </w:t>
      </w:r>
      <w:r w:rsidRPr="00BF0B01">
        <w:rPr>
          <w:rFonts w:cs="Times New Roman"/>
          <w:color w:val="000000"/>
          <w:szCs w:val="24"/>
        </w:rPr>
        <w:t xml:space="preserve">(toliau – EAR) </w:t>
      </w:r>
      <w:r w:rsidRPr="00BF0B01">
        <w:rPr>
          <w:rFonts w:cs="Times New Roman"/>
          <w:szCs w:val="24"/>
          <w:lang w:bidi="lt-LT"/>
        </w:rPr>
        <w:t xml:space="preserve">pristatys metinę ataskaitą dėl 2018 m. finansinių metų ES biudžeto įgyvendinimo. </w:t>
      </w:r>
      <w:r w:rsidRPr="00BF0B01">
        <w:rPr>
          <w:rFonts w:cs="Times New Roman"/>
          <w:szCs w:val="24"/>
        </w:rPr>
        <w:t xml:space="preserve">EAR kasmet pateikiamą praėjusių finansinių metų ES biudžeto vykdymo ataskaitą šiais metais </w:t>
      </w:r>
      <w:r w:rsidRPr="00BF0B01">
        <w:rPr>
          <w:rFonts w:cs="Times New Roman"/>
          <w:szCs w:val="24"/>
          <w:u w:val="single"/>
        </w:rPr>
        <w:t>planuojama išplatinti spalio 8 d.</w:t>
      </w:r>
      <w:r w:rsidRPr="00BF0B01">
        <w:rPr>
          <w:rFonts w:cs="Times New Roman"/>
          <w:szCs w:val="24"/>
        </w:rPr>
        <w:t xml:space="preserve"> Šiuo dokumentu remiamasi atliekant ES biudžeto įvykdymo patvirtinimo procedūrą (angl. </w:t>
      </w:r>
      <w:proofErr w:type="spellStart"/>
      <w:r w:rsidRPr="00BF0B01">
        <w:rPr>
          <w:rFonts w:cs="Times New Roman"/>
          <w:i/>
          <w:szCs w:val="24"/>
        </w:rPr>
        <w:t>discharge</w:t>
      </w:r>
      <w:proofErr w:type="spellEnd"/>
      <w:r w:rsidRPr="00BF0B01">
        <w:rPr>
          <w:rFonts w:cs="Times New Roman"/>
          <w:szCs w:val="24"/>
        </w:rPr>
        <w:t xml:space="preserve">), kuria yra užbaigiamas metinio biudžeto vykdymo procesas. Svarbiausioji šios ataskaitos dalis - EAR patikinimo pareiškimas dėl ES metinių finansinių ataskaitų patikimumo ir </w:t>
      </w:r>
      <w:r w:rsidRPr="00BF0B01">
        <w:rPr>
          <w:szCs w:val="24"/>
        </w:rPr>
        <w:t xml:space="preserve">finansinėse ataskaitose atspindimų </w:t>
      </w:r>
      <w:r w:rsidRPr="00BF0B01">
        <w:rPr>
          <w:rFonts w:cs="Times New Roman"/>
          <w:szCs w:val="24"/>
        </w:rPr>
        <w:t xml:space="preserve">operacijų teisėtumo ir tvarkingumo. </w:t>
      </w:r>
    </w:p>
    <w:p w:rsidR="00EB5451" w:rsidRPr="00B84B05" w:rsidRDefault="00EB5451" w:rsidP="00EB5451">
      <w:pPr>
        <w:autoSpaceDE w:val="0"/>
        <w:autoSpaceDN w:val="0"/>
        <w:adjustRightInd w:val="0"/>
        <w:spacing w:after="0" w:line="240" w:lineRule="auto"/>
        <w:jc w:val="both"/>
        <w:rPr>
          <w:rFonts w:cs="Times New Roman"/>
          <w:szCs w:val="24"/>
        </w:rPr>
      </w:pPr>
      <w:r w:rsidRPr="00B84B05">
        <w:rPr>
          <w:rFonts w:cs="Times New Roman"/>
          <w:b/>
          <w:szCs w:val="24"/>
          <w:u w:val="single"/>
          <w:lang w:eastAsia="lt-LT"/>
        </w:rPr>
        <w:t xml:space="preserve">Lietuvos </w:t>
      </w:r>
      <w:r w:rsidR="00D876C0">
        <w:rPr>
          <w:rFonts w:cs="Times New Roman"/>
          <w:b/>
          <w:szCs w:val="24"/>
          <w:u w:val="single"/>
          <w:lang w:eastAsia="lt-LT"/>
        </w:rPr>
        <w:t>pozicija.</w:t>
      </w:r>
      <w:r w:rsidRPr="00B84B05">
        <w:rPr>
          <w:rFonts w:cs="Times New Roman"/>
          <w:szCs w:val="24"/>
        </w:rPr>
        <w:t xml:space="preserve"> </w:t>
      </w:r>
      <w:r>
        <w:rPr>
          <w:rFonts w:cs="Times New Roman"/>
          <w:color w:val="000000"/>
          <w:szCs w:val="24"/>
        </w:rPr>
        <w:t>Išklausyti EAR 2018</w:t>
      </w:r>
      <w:r w:rsidRPr="00B84B05">
        <w:rPr>
          <w:rFonts w:cs="Times New Roman"/>
          <w:color w:val="000000"/>
          <w:szCs w:val="24"/>
        </w:rPr>
        <w:t xml:space="preserve"> finansinių metų metinės ataskaitos pristatymą.</w:t>
      </w:r>
    </w:p>
    <w:p w:rsidR="00EB5451" w:rsidRPr="00BF0B01" w:rsidRDefault="00EB5451" w:rsidP="00827E85">
      <w:pPr>
        <w:spacing w:after="0" w:line="240" w:lineRule="auto"/>
        <w:jc w:val="both"/>
        <w:rPr>
          <w:rFonts w:eastAsia="Calibri" w:cs="Times New Roman"/>
          <w:noProof/>
          <w:szCs w:val="24"/>
          <w:u w:val="single"/>
          <w:lang w:bidi="lt-LT"/>
        </w:rPr>
      </w:pPr>
    </w:p>
    <w:p w:rsidR="00D876C0" w:rsidRPr="00BF0B01" w:rsidRDefault="00D876C0" w:rsidP="00827E85">
      <w:pPr>
        <w:spacing w:after="0" w:line="240" w:lineRule="auto"/>
        <w:jc w:val="both"/>
        <w:rPr>
          <w:rFonts w:eastAsia="Calibri" w:cs="Times New Roman"/>
          <w:noProof/>
          <w:szCs w:val="24"/>
          <w:u w:val="single"/>
          <w:lang w:bidi="lt-LT"/>
        </w:rPr>
      </w:pPr>
    </w:p>
    <w:p w:rsidR="000E0FF2" w:rsidRPr="00EB5451" w:rsidRDefault="00EB5451" w:rsidP="000E0FF2">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szCs w:val="24"/>
        </w:rPr>
      </w:pPr>
      <w:r>
        <w:rPr>
          <w:rFonts w:cs="Times New Roman"/>
          <w:b/>
          <w:szCs w:val="24"/>
        </w:rPr>
        <w:t xml:space="preserve">Aukšto lygio </w:t>
      </w:r>
      <w:r w:rsidR="00A442E5">
        <w:rPr>
          <w:rFonts w:cs="Times New Roman"/>
          <w:b/>
          <w:szCs w:val="24"/>
        </w:rPr>
        <w:t xml:space="preserve">ekspertų darbo </w:t>
      </w:r>
      <w:r>
        <w:rPr>
          <w:rFonts w:cs="Times New Roman"/>
          <w:b/>
          <w:szCs w:val="24"/>
        </w:rPr>
        <w:t>grupė Europos vystymosi fina</w:t>
      </w:r>
      <w:r w:rsidR="00A442E5">
        <w:rPr>
          <w:rFonts w:cs="Times New Roman"/>
          <w:b/>
          <w:szCs w:val="24"/>
        </w:rPr>
        <w:t>nsavimo architektūros klausimams</w:t>
      </w:r>
      <w:r>
        <w:rPr>
          <w:rFonts w:cs="Times New Roman"/>
          <w:b/>
          <w:szCs w:val="24"/>
        </w:rPr>
        <w:t xml:space="preserve"> </w:t>
      </w:r>
      <w:r>
        <w:rPr>
          <w:rFonts w:cs="Times New Roman"/>
          <w:i/>
          <w:szCs w:val="24"/>
        </w:rPr>
        <w:t>(raporto pristatymas ir nuomonių apsikeitimas)</w:t>
      </w:r>
    </w:p>
    <w:p w:rsidR="00827E85" w:rsidRPr="002F602E" w:rsidRDefault="00827E85" w:rsidP="00827E85">
      <w:pPr>
        <w:pStyle w:val="Text1"/>
        <w:tabs>
          <w:tab w:val="left" w:pos="5295"/>
        </w:tabs>
        <w:ind w:left="0" w:right="31"/>
        <w:jc w:val="both"/>
        <w:rPr>
          <w:rFonts w:eastAsiaTheme="minorHAnsi"/>
          <w:szCs w:val="24"/>
          <w:lang w:val="lt-LT"/>
        </w:rPr>
      </w:pPr>
    </w:p>
    <w:p w:rsidR="00357088" w:rsidRPr="00357088" w:rsidRDefault="007168A7" w:rsidP="00357088">
      <w:pPr>
        <w:tabs>
          <w:tab w:val="left" w:pos="567"/>
        </w:tabs>
        <w:autoSpaceDE w:val="0"/>
        <w:autoSpaceDN w:val="0"/>
        <w:adjustRightInd w:val="0"/>
        <w:spacing w:after="0" w:line="240" w:lineRule="auto"/>
        <w:jc w:val="both"/>
        <w:rPr>
          <w:rFonts w:cs="Times New Roman"/>
          <w:color w:val="000000"/>
          <w:szCs w:val="24"/>
        </w:rPr>
      </w:pPr>
      <w:r w:rsidRPr="00357088">
        <w:rPr>
          <w:rFonts w:eastAsia="Calibri" w:cs="Times New Roman"/>
          <w:b/>
          <w:noProof/>
          <w:szCs w:val="24"/>
          <w:u w:val="single"/>
          <w:lang w:bidi="lt-LT"/>
        </w:rPr>
        <w:t>Klausimo esmė.</w:t>
      </w:r>
      <w:r w:rsidRPr="00357088">
        <w:rPr>
          <w:rFonts w:eastAsia="Calibri" w:cs="Times New Roman"/>
          <w:noProof/>
          <w:szCs w:val="24"/>
          <w:lang w:bidi="lt-LT"/>
        </w:rPr>
        <w:t xml:space="preserve"> </w:t>
      </w:r>
      <w:r w:rsidR="00357088" w:rsidRPr="00357088">
        <w:rPr>
          <w:rFonts w:cs="Times New Roman"/>
          <w:color w:val="000000"/>
          <w:szCs w:val="24"/>
        </w:rPr>
        <w:t>2019 m. balandžio 9 d. buvo sukurta Ekspertų darbo grupė (</w:t>
      </w:r>
      <w:r w:rsidR="00357088" w:rsidRPr="00357088">
        <w:rPr>
          <w:rFonts w:cs="Times New Roman"/>
          <w:i/>
          <w:iCs/>
          <w:color w:val="000000"/>
          <w:szCs w:val="24"/>
        </w:rPr>
        <w:t xml:space="preserve">angl. </w:t>
      </w:r>
      <w:proofErr w:type="spellStart"/>
      <w:r w:rsidR="00357088" w:rsidRPr="00357088">
        <w:rPr>
          <w:rFonts w:cs="Times New Roman"/>
          <w:i/>
          <w:iCs/>
          <w:color w:val="000000"/>
          <w:szCs w:val="24"/>
        </w:rPr>
        <w:t>Wise</w:t>
      </w:r>
      <w:proofErr w:type="spellEnd"/>
      <w:r w:rsidR="00357088" w:rsidRPr="00357088">
        <w:rPr>
          <w:rFonts w:cs="Times New Roman"/>
          <w:i/>
          <w:iCs/>
          <w:color w:val="000000"/>
          <w:szCs w:val="24"/>
        </w:rPr>
        <w:t xml:space="preserve"> </w:t>
      </w:r>
      <w:proofErr w:type="spellStart"/>
      <w:r w:rsidR="00357088" w:rsidRPr="00357088">
        <w:rPr>
          <w:rFonts w:cs="Times New Roman"/>
          <w:i/>
          <w:iCs/>
          <w:color w:val="000000"/>
          <w:szCs w:val="24"/>
        </w:rPr>
        <w:t>Persons</w:t>
      </w:r>
      <w:proofErr w:type="spellEnd"/>
      <w:r w:rsidR="00357088" w:rsidRPr="00357088">
        <w:rPr>
          <w:rFonts w:cs="Times New Roman"/>
          <w:i/>
          <w:iCs/>
          <w:color w:val="000000"/>
          <w:szCs w:val="24"/>
        </w:rPr>
        <w:t xml:space="preserve"> </w:t>
      </w:r>
      <w:proofErr w:type="spellStart"/>
      <w:r w:rsidR="00357088" w:rsidRPr="00357088">
        <w:rPr>
          <w:rFonts w:cs="Times New Roman"/>
          <w:i/>
          <w:iCs/>
          <w:color w:val="000000"/>
          <w:szCs w:val="24"/>
        </w:rPr>
        <w:t>Group</w:t>
      </w:r>
      <w:proofErr w:type="spellEnd"/>
      <w:r w:rsidR="00357088" w:rsidRPr="00357088">
        <w:rPr>
          <w:rFonts w:cs="Times New Roman"/>
          <w:color w:val="000000"/>
          <w:szCs w:val="24"/>
        </w:rPr>
        <w:t xml:space="preserve">) Europos vystymosi finansavimo architektūros klausimams, sudaryta iš pirmininko </w:t>
      </w:r>
      <w:proofErr w:type="spellStart"/>
      <w:r w:rsidR="00357088" w:rsidRPr="00357088">
        <w:rPr>
          <w:rFonts w:cs="Times New Roman"/>
          <w:color w:val="000000"/>
          <w:szCs w:val="24"/>
        </w:rPr>
        <w:t>Thomas</w:t>
      </w:r>
      <w:proofErr w:type="spellEnd"/>
      <w:r w:rsidR="00357088" w:rsidRPr="00357088">
        <w:rPr>
          <w:rFonts w:cs="Times New Roman"/>
          <w:color w:val="000000"/>
          <w:szCs w:val="24"/>
        </w:rPr>
        <w:t xml:space="preserve"> </w:t>
      </w:r>
      <w:proofErr w:type="spellStart"/>
      <w:r w:rsidR="00357088" w:rsidRPr="00357088">
        <w:rPr>
          <w:rFonts w:cs="Times New Roman"/>
          <w:color w:val="000000"/>
          <w:szCs w:val="24"/>
        </w:rPr>
        <w:t>Wieser</w:t>
      </w:r>
      <w:proofErr w:type="spellEnd"/>
      <w:r w:rsidR="00357088" w:rsidRPr="00357088">
        <w:rPr>
          <w:rFonts w:cs="Times New Roman"/>
          <w:color w:val="000000"/>
          <w:szCs w:val="24"/>
        </w:rPr>
        <w:t xml:space="preserve"> ir 8 jo atrinktų ekspertų, bei patvirtinti Ekspertų darbo grupės įgaliojimai. Š. m. liepos mėn. darbo grupė pristatė pasiektą pažangą ir informavo, kad svarsto skirtingų institucinių variantų dėl Europos vystymosi finansavimo architektūros tobulinimo galimybes.  </w:t>
      </w:r>
    </w:p>
    <w:p w:rsidR="00357088" w:rsidRPr="00357088" w:rsidRDefault="00357088" w:rsidP="00357088">
      <w:pPr>
        <w:tabs>
          <w:tab w:val="left" w:pos="567"/>
        </w:tabs>
        <w:autoSpaceDE w:val="0"/>
        <w:autoSpaceDN w:val="0"/>
        <w:adjustRightInd w:val="0"/>
        <w:spacing w:after="0" w:line="240" w:lineRule="auto"/>
        <w:jc w:val="both"/>
        <w:rPr>
          <w:rFonts w:cs="Times New Roman"/>
          <w:color w:val="000000"/>
          <w:szCs w:val="24"/>
        </w:rPr>
      </w:pPr>
      <w:r w:rsidRPr="00357088">
        <w:rPr>
          <w:rFonts w:cs="Times New Roman"/>
          <w:color w:val="000000"/>
          <w:szCs w:val="24"/>
        </w:rPr>
        <w:t xml:space="preserve">Galutinė darbo grupės ataskaita bus pateikta spalio 7 d., o ECOFIN posėdžio š. m. spalio 10 d. metu numatomas ataskaitos pristatymas ir apsikeitimas nuomonėmis. Diskusijos pagrindu bus rengiamos išvados, kurias patvirtinti ECOFIN tikimasi š. m. gruodžio mėn. </w:t>
      </w:r>
    </w:p>
    <w:p w:rsidR="00357088" w:rsidRPr="00357088" w:rsidRDefault="00357088" w:rsidP="00D876C0">
      <w:pPr>
        <w:spacing w:after="0" w:line="240" w:lineRule="auto"/>
        <w:contextualSpacing/>
        <w:jc w:val="both"/>
        <w:rPr>
          <w:rFonts w:cs="Times New Roman"/>
          <w:color w:val="000000"/>
          <w:szCs w:val="24"/>
        </w:rPr>
      </w:pPr>
      <w:r w:rsidRPr="00357088">
        <w:rPr>
          <w:rFonts w:cs="Times New Roman"/>
          <w:b/>
          <w:szCs w:val="24"/>
          <w:u w:val="single"/>
        </w:rPr>
        <w:t>Lietuvos pozicija</w:t>
      </w:r>
      <w:r w:rsidRPr="00357088">
        <w:rPr>
          <w:rFonts w:cs="Times New Roman"/>
          <w:b/>
          <w:szCs w:val="24"/>
        </w:rPr>
        <w:t>.</w:t>
      </w:r>
      <w:r w:rsidRPr="00357088">
        <w:rPr>
          <w:rFonts w:cs="Times New Roman"/>
          <w:color w:val="000000"/>
          <w:szCs w:val="24"/>
        </w:rPr>
        <w:t xml:space="preserve"> Manome, kad darbo grupės ataskaita bus naudinga siekiant Europos vystymosi finansavimo architektūros sistemos tobulinimo ir prisidės prie vykstančių diskusijų. Svarstant galimus esamos sistemos tobulinimo variantus turi būti siekiama papildomumo, vengiama dubliavimosi, institucijų konkuravimo ar rinkos iškreipimo, siekiama geriausiai išnaudoti įvairių partnerių patirtį ir jų stipriąsias puses – turėtume sukurti institucinį bendradarbiavimą, o ne </w:t>
      </w:r>
      <w:proofErr w:type="spellStart"/>
      <w:r w:rsidRPr="00357088">
        <w:rPr>
          <w:rFonts w:cs="Times New Roman"/>
          <w:color w:val="000000"/>
          <w:szCs w:val="24"/>
        </w:rPr>
        <w:t>tarpinstitucinį</w:t>
      </w:r>
      <w:proofErr w:type="spellEnd"/>
      <w:r w:rsidRPr="00357088">
        <w:rPr>
          <w:rFonts w:cs="Times New Roman"/>
          <w:color w:val="000000"/>
          <w:szCs w:val="24"/>
        </w:rPr>
        <w:t xml:space="preserve"> varžymąsi. Svarbiausia, kad nenukryptume nuo ES išorės tikslų pasiekimo.</w:t>
      </w:r>
    </w:p>
    <w:p w:rsidR="00EB073D" w:rsidRPr="00BF0B01" w:rsidRDefault="00EB073D" w:rsidP="00EB073D">
      <w:pPr>
        <w:autoSpaceDE w:val="0"/>
        <w:autoSpaceDN w:val="0"/>
        <w:adjustRightInd w:val="0"/>
        <w:spacing w:after="0" w:line="240" w:lineRule="auto"/>
        <w:rPr>
          <w:rFonts w:cs="Times New Roman"/>
          <w:color w:val="000000"/>
          <w:szCs w:val="24"/>
        </w:rPr>
      </w:pPr>
    </w:p>
    <w:p w:rsidR="00C57A83" w:rsidRPr="00BF0B01" w:rsidRDefault="00C57A83" w:rsidP="00C57A83">
      <w:pPr>
        <w:pStyle w:val="Text1"/>
        <w:tabs>
          <w:tab w:val="left" w:pos="5295"/>
        </w:tabs>
        <w:ind w:left="0" w:right="31"/>
        <w:contextualSpacing/>
        <w:jc w:val="both"/>
        <w:rPr>
          <w:rFonts w:eastAsiaTheme="minorHAnsi"/>
          <w:szCs w:val="24"/>
          <w:lang w:val="lt-LT"/>
        </w:rPr>
      </w:pPr>
    </w:p>
    <w:p w:rsidR="008618AA" w:rsidRPr="00EB5451" w:rsidRDefault="00EB5451" w:rsidP="008618AA">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szCs w:val="24"/>
        </w:rPr>
      </w:pPr>
      <w:r>
        <w:rPr>
          <w:rFonts w:cs="Times New Roman"/>
          <w:b/>
          <w:szCs w:val="24"/>
        </w:rPr>
        <w:t>Kovos su Pinigų plovimo prevencija įgyvendinimo priemonių planas</w:t>
      </w:r>
      <w:r w:rsidRPr="00EB5451">
        <w:rPr>
          <w:rFonts w:cs="Times New Roman"/>
          <w:b/>
          <w:szCs w:val="24"/>
        </w:rPr>
        <w:t xml:space="preserve"> </w:t>
      </w:r>
      <w:r>
        <w:rPr>
          <w:rFonts w:cs="Times New Roman"/>
          <w:i/>
          <w:szCs w:val="24"/>
        </w:rPr>
        <w:t>(esama padėtis/nuomonių apsikeitimas)</w:t>
      </w:r>
    </w:p>
    <w:p w:rsidR="00EB5451" w:rsidRDefault="00EB5451" w:rsidP="007168A7">
      <w:pPr>
        <w:spacing w:after="0" w:line="240" w:lineRule="auto"/>
        <w:jc w:val="both"/>
        <w:rPr>
          <w:rFonts w:eastAsia="Calibri"/>
          <w:b/>
          <w:noProof/>
          <w:szCs w:val="24"/>
          <w:u w:val="single"/>
          <w:lang w:bidi="lt-LT"/>
        </w:rPr>
      </w:pPr>
    </w:p>
    <w:p w:rsidR="00DD1D02" w:rsidRPr="00DD1D02" w:rsidRDefault="00EB5451" w:rsidP="00DD1D02">
      <w:pPr>
        <w:spacing w:after="0" w:line="240" w:lineRule="auto"/>
        <w:jc w:val="both"/>
        <w:rPr>
          <w:szCs w:val="24"/>
          <w:lang w:val="en-GB"/>
        </w:rPr>
      </w:pPr>
      <w:r w:rsidRPr="00DD1D02">
        <w:rPr>
          <w:rFonts w:eastAsia="Calibri"/>
          <w:b/>
          <w:noProof/>
          <w:szCs w:val="24"/>
          <w:u w:val="single"/>
          <w:lang w:bidi="lt-LT"/>
        </w:rPr>
        <w:t>Klausimo esmė.</w:t>
      </w:r>
      <w:r w:rsidRPr="00DD1D02">
        <w:rPr>
          <w:rFonts w:eastAsia="Calibri"/>
          <w:b/>
          <w:noProof/>
          <w:szCs w:val="24"/>
          <w:lang w:bidi="lt-LT"/>
        </w:rPr>
        <w:t xml:space="preserve"> </w:t>
      </w:r>
      <w:proofErr w:type="gramStart"/>
      <w:r w:rsidR="00DD1D02" w:rsidRPr="00DD1D02">
        <w:rPr>
          <w:szCs w:val="24"/>
          <w:lang w:val="en-GB"/>
        </w:rPr>
        <w:t xml:space="preserve">2018 m. </w:t>
      </w:r>
      <w:proofErr w:type="spellStart"/>
      <w:r w:rsidR="00DD1D02" w:rsidRPr="00DD1D02">
        <w:rPr>
          <w:szCs w:val="24"/>
          <w:lang w:val="en-GB"/>
        </w:rPr>
        <w:t>gruodžio</w:t>
      </w:r>
      <w:proofErr w:type="spellEnd"/>
      <w:r w:rsidR="00DD1D02" w:rsidRPr="00DD1D02">
        <w:rPr>
          <w:szCs w:val="24"/>
          <w:lang w:val="en-GB"/>
        </w:rPr>
        <w:t xml:space="preserve"> </w:t>
      </w:r>
      <w:proofErr w:type="spellStart"/>
      <w:r w:rsidR="00DD1D02" w:rsidRPr="00DD1D02">
        <w:rPr>
          <w:szCs w:val="24"/>
          <w:lang w:val="en-GB"/>
        </w:rPr>
        <w:t>mėn</w:t>
      </w:r>
      <w:proofErr w:type="spellEnd"/>
      <w:r w:rsidR="00DD1D02" w:rsidRPr="00DD1D02">
        <w:rPr>
          <w:szCs w:val="24"/>
          <w:lang w:val="en-GB"/>
        </w:rPr>
        <w:t>.</w:t>
      </w:r>
      <w:proofErr w:type="gramEnd"/>
      <w:r w:rsidR="00DD1D02" w:rsidRPr="00DD1D02">
        <w:rPr>
          <w:szCs w:val="24"/>
          <w:lang w:val="en-GB"/>
        </w:rPr>
        <w:t xml:space="preserve"> </w:t>
      </w:r>
      <w:proofErr w:type="gramStart"/>
      <w:r w:rsidR="00DD1D02" w:rsidRPr="00DD1D02">
        <w:rPr>
          <w:szCs w:val="24"/>
          <w:lang w:val="en-GB"/>
        </w:rPr>
        <w:t xml:space="preserve">EK </w:t>
      </w:r>
      <w:proofErr w:type="spellStart"/>
      <w:r w:rsidR="00DD1D02" w:rsidRPr="00DD1D02">
        <w:rPr>
          <w:szCs w:val="24"/>
          <w:lang w:val="en-GB"/>
        </w:rPr>
        <w:t>paskelbė</w:t>
      </w:r>
      <w:proofErr w:type="spellEnd"/>
      <w:r w:rsidR="00DD1D02" w:rsidRPr="00DD1D02">
        <w:rPr>
          <w:szCs w:val="24"/>
          <w:lang w:val="en-GB"/>
        </w:rPr>
        <w:t xml:space="preserve"> </w:t>
      </w:r>
      <w:proofErr w:type="spellStart"/>
      <w:r w:rsidR="00DD1D02" w:rsidRPr="00DD1D02">
        <w:rPr>
          <w:szCs w:val="24"/>
          <w:lang w:val="en-GB"/>
        </w:rPr>
        <w:t>trumpalaikių</w:t>
      </w:r>
      <w:proofErr w:type="spellEnd"/>
      <w:r w:rsidR="00DD1D02" w:rsidRPr="00DD1D02">
        <w:rPr>
          <w:szCs w:val="24"/>
          <w:lang w:val="en-GB"/>
        </w:rPr>
        <w:t xml:space="preserve"> ne </w:t>
      </w:r>
      <w:proofErr w:type="spellStart"/>
      <w:r w:rsidR="00DD1D02" w:rsidRPr="00DD1D02">
        <w:rPr>
          <w:szCs w:val="24"/>
          <w:lang w:val="en-GB"/>
        </w:rPr>
        <w:t>teisinių</w:t>
      </w:r>
      <w:proofErr w:type="spellEnd"/>
      <w:r w:rsidR="00DD1D02" w:rsidRPr="00DD1D02">
        <w:rPr>
          <w:szCs w:val="24"/>
          <w:lang w:val="en-GB"/>
        </w:rPr>
        <w:t xml:space="preserve"> AML </w:t>
      </w:r>
      <w:proofErr w:type="spellStart"/>
      <w:r w:rsidR="00DD1D02" w:rsidRPr="00DD1D02">
        <w:rPr>
          <w:szCs w:val="24"/>
          <w:lang w:val="en-GB"/>
        </w:rPr>
        <w:t>veiksmų</w:t>
      </w:r>
      <w:proofErr w:type="spellEnd"/>
      <w:r w:rsidR="00DD1D02" w:rsidRPr="00DD1D02">
        <w:rPr>
          <w:szCs w:val="24"/>
          <w:lang w:val="en-GB"/>
        </w:rPr>
        <w:t xml:space="preserve"> </w:t>
      </w:r>
      <w:proofErr w:type="spellStart"/>
      <w:r w:rsidR="00DD1D02" w:rsidRPr="00DD1D02">
        <w:rPr>
          <w:szCs w:val="24"/>
          <w:lang w:val="en-GB"/>
        </w:rPr>
        <w:t>planą</w:t>
      </w:r>
      <w:proofErr w:type="spellEnd"/>
      <w:r w:rsidR="00DD1D02" w:rsidRPr="00DD1D02">
        <w:rPr>
          <w:szCs w:val="24"/>
          <w:lang w:val="en-GB"/>
        </w:rPr>
        <w:t xml:space="preserve">, </w:t>
      </w:r>
      <w:proofErr w:type="spellStart"/>
      <w:r w:rsidR="00DD1D02" w:rsidRPr="00DD1D02">
        <w:rPr>
          <w:szCs w:val="24"/>
          <w:lang w:val="en-GB"/>
        </w:rPr>
        <w:t>apie</w:t>
      </w:r>
      <w:proofErr w:type="spellEnd"/>
      <w:r w:rsidR="00DD1D02" w:rsidRPr="00DD1D02">
        <w:rPr>
          <w:szCs w:val="24"/>
          <w:lang w:val="en-GB"/>
        </w:rPr>
        <w:t xml:space="preserve"> </w:t>
      </w:r>
      <w:proofErr w:type="spellStart"/>
      <w:r w:rsidR="00DD1D02" w:rsidRPr="00DD1D02">
        <w:rPr>
          <w:szCs w:val="24"/>
          <w:lang w:val="en-GB"/>
        </w:rPr>
        <w:t>kurio</w:t>
      </w:r>
      <w:proofErr w:type="spellEnd"/>
      <w:r w:rsidR="00DD1D02" w:rsidRPr="00DD1D02">
        <w:rPr>
          <w:szCs w:val="24"/>
          <w:lang w:val="en-GB"/>
        </w:rPr>
        <w:t xml:space="preserve"> </w:t>
      </w:r>
      <w:proofErr w:type="spellStart"/>
      <w:r w:rsidR="00DD1D02" w:rsidRPr="00DD1D02">
        <w:rPr>
          <w:szCs w:val="24"/>
          <w:lang w:val="en-GB"/>
        </w:rPr>
        <w:t>priemonių</w:t>
      </w:r>
      <w:proofErr w:type="spellEnd"/>
      <w:r w:rsidR="00DD1D02" w:rsidRPr="00DD1D02">
        <w:rPr>
          <w:szCs w:val="24"/>
          <w:lang w:val="en-GB"/>
        </w:rPr>
        <w:t xml:space="preserve"> </w:t>
      </w:r>
      <w:proofErr w:type="spellStart"/>
      <w:r w:rsidR="00DD1D02" w:rsidRPr="00DD1D02">
        <w:rPr>
          <w:szCs w:val="24"/>
          <w:lang w:val="en-GB"/>
        </w:rPr>
        <w:t>vykdymą</w:t>
      </w:r>
      <w:proofErr w:type="spellEnd"/>
      <w:r w:rsidR="00DD1D02" w:rsidRPr="00DD1D02">
        <w:rPr>
          <w:szCs w:val="24"/>
          <w:lang w:val="en-GB"/>
        </w:rPr>
        <w:t xml:space="preserve"> EK </w:t>
      </w:r>
      <w:proofErr w:type="spellStart"/>
      <w:r w:rsidR="00DD1D02" w:rsidRPr="00DD1D02">
        <w:rPr>
          <w:szCs w:val="24"/>
          <w:lang w:val="en-GB"/>
        </w:rPr>
        <w:t>reguliariai</w:t>
      </w:r>
      <w:proofErr w:type="spellEnd"/>
      <w:r w:rsidR="00DD1D02" w:rsidRPr="00DD1D02">
        <w:rPr>
          <w:szCs w:val="24"/>
          <w:lang w:val="en-GB"/>
        </w:rPr>
        <w:t xml:space="preserve"> (</w:t>
      </w:r>
      <w:proofErr w:type="spellStart"/>
      <w:r w:rsidR="00DD1D02" w:rsidRPr="00DD1D02">
        <w:rPr>
          <w:szCs w:val="24"/>
          <w:lang w:val="en-GB"/>
        </w:rPr>
        <w:t>kartą</w:t>
      </w:r>
      <w:proofErr w:type="spellEnd"/>
      <w:r w:rsidR="00DD1D02" w:rsidRPr="00DD1D02">
        <w:rPr>
          <w:szCs w:val="24"/>
          <w:lang w:val="en-GB"/>
        </w:rPr>
        <w:t xml:space="preserve"> per </w:t>
      </w:r>
      <w:proofErr w:type="spellStart"/>
      <w:r w:rsidR="00DD1D02" w:rsidRPr="00DD1D02">
        <w:rPr>
          <w:szCs w:val="24"/>
          <w:lang w:val="en-GB"/>
        </w:rPr>
        <w:t>pusmetį</w:t>
      </w:r>
      <w:proofErr w:type="spellEnd"/>
      <w:r w:rsidR="00DD1D02" w:rsidRPr="00DD1D02">
        <w:rPr>
          <w:szCs w:val="24"/>
          <w:lang w:val="en-GB"/>
        </w:rPr>
        <w:t xml:space="preserve">) </w:t>
      </w:r>
      <w:proofErr w:type="spellStart"/>
      <w:r w:rsidR="00DD1D02" w:rsidRPr="00DD1D02">
        <w:rPr>
          <w:szCs w:val="24"/>
          <w:lang w:val="en-GB"/>
        </w:rPr>
        <w:t>teikia</w:t>
      </w:r>
      <w:proofErr w:type="spellEnd"/>
      <w:r w:rsidR="00DD1D02" w:rsidRPr="00DD1D02">
        <w:rPr>
          <w:szCs w:val="24"/>
          <w:lang w:val="en-GB"/>
        </w:rPr>
        <w:t xml:space="preserve"> </w:t>
      </w:r>
      <w:proofErr w:type="spellStart"/>
      <w:r w:rsidR="00DD1D02" w:rsidRPr="00DD1D02">
        <w:rPr>
          <w:szCs w:val="24"/>
          <w:lang w:val="en-GB"/>
        </w:rPr>
        <w:t>ataskaitas</w:t>
      </w:r>
      <w:proofErr w:type="spellEnd"/>
      <w:r w:rsidR="00DD1D02" w:rsidRPr="00DD1D02">
        <w:rPr>
          <w:szCs w:val="24"/>
          <w:lang w:val="en-GB"/>
        </w:rPr>
        <w:t>.</w:t>
      </w:r>
      <w:proofErr w:type="gramEnd"/>
      <w:r w:rsidR="00DD1D02" w:rsidRPr="00DD1D02">
        <w:rPr>
          <w:szCs w:val="24"/>
          <w:lang w:val="en-GB"/>
        </w:rPr>
        <w:t xml:space="preserve"> </w:t>
      </w:r>
    </w:p>
    <w:p w:rsidR="00DD1D02" w:rsidRPr="00DD1D02" w:rsidRDefault="00DD1D02" w:rsidP="00DD1D02">
      <w:pPr>
        <w:spacing w:after="0" w:line="240" w:lineRule="auto"/>
        <w:contextualSpacing/>
        <w:jc w:val="both"/>
        <w:rPr>
          <w:szCs w:val="24"/>
        </w:rPr>
      </w:pPr>
      <w:r w:rsidRPr="00DD1D02">
        <w:rPr>
          <w:szCs w:val="24"/>
        </w:rPr>
        <w:t>2019 m. liepos 24 d. EK paskelbė komunikatą „Geresnio ES pinigų plovimo ir teroristų finansavimo prevencijos įgyvendinimo sistema“ ir 4 ataskaitas.</w:t>
      </w:r>
      <w:r w:rsidRPr="00DD1D02">
        <w:rPr>
          <w:szCs w:val="24"/>
          <w:lang w:eastAsia="lt-LT"/>
        </w:rPr>
        <w:t xml:space="preserve"> Tris ataskaitas įpareigojo pateikti AML direktyva, o </w:t>
      </w:r>
      <w:proofErr w:type="spellStart"/>
      <w:r w:rsidRPr="00DD1D02">
        <w:rPr>
          <w:szCs w:val="24"/>
          <w:lang w:eastAsia="lt-LT"/>
        </w:rPr>
        <w:t>post</w:t>
      </w:r>
      <w:proofErr w:type="spellEnd"/>
      <w:r w:rsidRPr="00DD1D02">
        <w:rPr>
          <w:szCs w:val="24"/>
          <w:lang w:eastAsia="lt-LT"/>
        </w:rPr>
        <w:t xml:space="preserve"> </w:t>
      </w:r>
      <w:proofErr w:type="spellStart"/>
      <w:r w:rsidRPr="00DD1D02">
        <w:rPr>
          <w:szCs w:val="24"/>
          <w:lang w:eastAsia="lt-LT"/>
        </w:rPr>
        <w:t>mortem</w:t>
      </w:r>
      <w:proofErr w:type="spellEnd"/>
      <w:r w:rsidRPr="00DD1D02">
        <w:rPr>
          <w:szCs w:val="24"/>
          <w:lang w:eastAsia="lt-LT"/>
        </w:rPr>
        <w:t xml:space="preserve"> tyrimas buvo numatytas AML Veiksmų plane.</w:t>
      </w:r>
    </w:p>
    <w:p w:rsidR="00DD1D02" w:rsidRPr="00DD1D02" w:rsidRDefault="002404FC" w:rsidP="002404FC">
      <w:pPr>
        <w:spacing w:after="0" w:line="240" w:lineRule="auto"/>
        <w:contextualSpacing/>
        <w:jc w:val="both"/>
        <w:rPr>
          <w:szCs w:val="24"/>
        </w:rPr>
      </w:pPr>
      <w:r>
        <w:rPr>
          <w:rFonts w:cs="Times New Roman"/>
          <w:szCs w:val="24"/>
          <w:lang w:eastAsia="lt-LT"/>
        </w:rPr>
        <w:t>●</w:t>
      </w:r>
      <w:r>
        <w:rPr>
          <w:szCs w:val="24"/>
          <w:lang w:eastAsia="lt-LT"/>
        </w:rPr>
        <w:t xml:space="preserve"> </w:t>
      </w:r>
      <w:r w:rsidR="00DD1D02" w:rsidRPr="00DD1D02">
        <w:rPr>
          <w:szCs w:val="24"/>
          <w:lang w:eastAsia="lt-LT"/>
        </w:rPr>
        <w:t xml:space="preserve">Ataskaita dėl pinigų plovimo rizikos, veikiančios vidaus rinką, ir </w:t>
      </w:r>
      <w:r w:rsidR="00DD1D02" w:rsidRPr="00DD1D02">
        <w:rPr>
          <w:szCs w:val="24"/>
        </w:rPr>
        <w:t>tarpvalstybinio rizikos vertinimo (</w:t>
      </w:r>
      <w:proofErr w:type="spellStart"/>
      <w:r w:rsidR="00DD1D02" w:rsidRPr="00DD1D02">
        <w:rPr>
          <w:szCs w:val="24"/>
          <w:lang w:eastAsia="lt-LT"/>
        </w:rPr>
        <w:t>Supranational</w:t>
      </w:r>
      <w:proofErr w:type="spellEnd"/>
      <w:r w:rsidR="00DD1D02" w:rsidRPr="00DD1D02">
        <w:rPr>
          <w:szCs w:val="24"/>
          <w:lang w:eastAsia="lt-LT"/>
        </w:rPr>
        <w:t xml:space="preserve"> Risk </w:t>
      </w:r>
      <w:proofErr w:type="spellStart"/>
      <w:r w:rsidR="00DD1D02" w:rsidRPr="00DD1D02">
        <w:rPr>
          <w:szCs w:val="24"/>
          <w:lang w:eastAsia="lt-LT"/>
        </w:rPr>
        <w:t>Assessment</w:t>
      </w:r>
      <w:proofErr w:type="spellEnd"/>
      <w:r w:rsidR="00DD1D02" w:rsidRPr="00DD1D02">
        <w:rPr>
          <w:szCs w:val="24"/>
          <w:lang w:eastAsia="lt-LT"/>
        </w:rPr>
        <w:t xml:space="preserve"> </w:t>
      </w:r>
      <w:proofErr w:type="spellStart"/>
      <w:r w:rsidR="00DD1D02" w:rsidRPr="00DD1D02">
        <w:rPr>
          <w:szCs w:val="24"/>
          <w:lang w:eastAsia="lt-LT"/>
        </w:rPr>
        <w:t>Report</w:t>
      </w:r>
      <w:proofErr w:type="spellEnd"/>
      <w:r w:rsidR="00DD1D02" w:rsidRPr="00DD1D02">
        <w:rPr>
          <w:szCs w:val="24"/>
          <w:lang w:eastAsia="lt-LT"/>
        </w:rPr>
        <w:t xml:space="preserve"> (SNRA)). Be rekomendacijų konkretiems sektoriams,  </w:t>
      </w:r>
      <w:proofErr w:type="spellStart"/>
      <w:r w:rsidR="00DD1D02" w:rsidRPr="00DD1D02">
        <w:rPr>
          <w:szCs w:val="24"/>
          <w:lang w:eastAsia="lt-LT"/>
        </w:rPr>
        <w:t>ESAs</w:t>
      </w:r>
      <w:proofErr w:type="spellEnd"/>
      <w:r w:rsidR="00DD1D02" w:rsidRPr="00DD1D02">
        <w:rPr>
          <w:szCs w:val="24"/>
          <w:lang w:eastAsia="lt-LT"/>
        </w:rPr>
        <w:t xml:space="preserve">, VN, ne finansų sektoriaus priežiūros institucijoms, EK identifikavo papildomai 47 produktus ir paslaugas, kurios potencialiai kelia AML </w:t>
      </w:r>
      <w:proofErr w:type="spellStart"/>
      <w:r w:rsidR="00DD1D02" w:rsidRPr="00DD1D02">
        <w:rPr>
          <w:szCs w:val="24"/>
          <w:lang w:eastAsia="lt-LT"/>
        </w:rPr>
        <w:t>rizikas</w:t>
      </w:r>
      <w:proofErr w:type="spellEnd"/>
      <w:r w:rsidR="00DD1D02" w:rsidRPr="00DD1D02">
        <w:rPr>
          <w:szCs w:val="24"/>
          <w:lang w:eastAsia="lt-LT"/>
        </w:rPr>
        <w:t xml:space="preserve"> (7 daugiau negu 2017 metais). Pvz., privatūs ATM (pinigų išėmimo automatai), profesionalus futbolas, laisvi uostai, investuotojų pilietybės ir rezidencijos schemos. Pagal AMLD SNRA turi atlikti kas dvejus metus, tai jau antra ataskaita.</w:t>
      </w:r>
    </w:p>
    <w:p w:rsidR="00DD1D02" w:rsidRPr="00DD1D02" w:rsidRDefault="002404FC" w:rsidP="002404FC">
      <w:pPr>
        <w:spacing w:after="0" w:line="240" w:lineRule="auto"/>
        <w:contextualSpacing/>
        <w:jc w:val="both"/>
        <w:rPr>
          <w:szCs w:val="24"/>
        </w:rPr>
      </w:pPr>
      <w:r>
        <w:rPr>
          <w:rFonts w:cs="Times New Roman"/>
          <w:szCs w:val="24"/>
          <w:lang w:eastAsia="lt-LT"/>
        </w:rPr>
        <w:t xml:space="preserve">● </w:t>
      </w:r>
      <w:r w:rsidR="00DD1D02" w:rsidRPr="00DD1D02">
        <w:rPr>
          <w:szCs w:val="24"/>
        </w:rPr>
        <w:t>Ataskaita dėl Finansinės žvalgybos padalinių (FIU) bendradarbiavimo su trečiosiomis šalimis stiprinimo.</w:t>
      </w:r>
      <w:r w:rsidR="00DD1D02" w:rsidRPr="00DD1D02">
        <w:rPr>
          <w:szCs w:val="24"/>
          <w:lang w:eastAsia="lt-LT"/>
        </w:rPr>
        <w:t xml:space="preserve"> EK identifikavo kelias problemas: nėra bendros formos, pagal kurią būtų informuojama apie įtartinas operacijas, ir reikalavimo tokią informaciją teikti elektroniniu būdu, kai tai įmanoma; IT </w:t>
      </w:r>
      <w:r w:rsidR="00DD1D02" w:rsidRPr="00DD1D02">
        <w:rPr>
          <w:szCs w:val="24"/>
          <w:lang w:eastAsia="lt-LT"/>
        </w:rPr>
        <w:lastRenderedPageBreak/>
        <w:t>sprendimų trūkumas tokią informaciją tinkamai paimti iš/ įkelti į fiu.net; fiu.net naudojimo problemos ir duomenų apsaugos iššūkiai; reguliavimo trūkumas dėl informacijos keitimosi tarp VN FIU ir ne ES FIU. EK mano, kad reikia ieškoti galimybių priimti privalomus standartus, formas, gaires ir bent taip stiprinti bendradarbiavimą tarp FIU.</w:t>
      </w:r>
    </w:p>
    <w:p w:rsidR="00DD1D02" w:rsidRPr="00DD1D02" w:rsidRDefault="002404FC" w:rsidP="002404FC">
      <w:pPr>
        <w:spacing w:after="0" w:line="240" w:lineRule="auto"/>
        <w:contextualSpacing/>
        <w:jc w:val="both"/>
        <w:rPr>
          <w:szCs w:val="24"/>
        </w:rPr>
      </w:pPr>
      <w:r>
        <w:rPr>
          <w:rFonts w:cs="Times New Roman"/>
          <w:szCs w:val="24"/>
          <w:lang w:eastAsia="lt-LT"/>
        </w:rPr>
        <w:t xml:space="preserve">● </w:t>
      </w:r>
      <w:r w:rsidR="00DD1D02" w:rsidRPr="00DD1D02">
        <w:rPr>
          <w:szCs w:val="24"/>
        </w:rPr>
        <w:t xml:space="preserve">Ataskaita dėl sąlygų ir techninių galimybių apjungti VN banko sąskaitų registrus. </w:t>
      </w:r>
      <w:r w:rsidR="00DD1D02" w:rsidRPr="00DD1D02">
        <w:rPr>
          <w:szCs w:val="24"/>
          <w:lang w:eastAsia="lt-LT"/>
        </w:rPr>
        <w:t>EK siūlo sukurti decentralizuotą banko sąskaitų sistemą, kuri veiktų ES platformoje. Tam reikės naujo teisinio pasiūlymo</w:t>
      </w:r>
    </w:p>
    <w:p w:rsidR="00DD1D02" w:rsidRPr="00DD1D02" w:rsidRDefault="002404FC" w:rsidP="002404FC">
      <w:pPr>
        <w:spacing w:after="0" w:line="240" w:lineRule="auto"/>
        <w:contextualSpacing/>
        <w:jc w:val="both"/>
        <w:rPr>
          <w:szCs w:val="24"/>
        </w:rPr>
      </w:pPr>
      <w:r>
        <w:rPr>
          <w:rFonts w:cs="Times New Roman"/>
          <w:szCs w:val="24"/>
          <w:lang w:eastAsia="lt-LT"/>
        </w:rPr>
        <w:t xml:space="preserve">● </w:t>
      </w:r>
      <w:proofErr w:type="spellStart"/>
      <w:r w:rsidR="00DD1D02" w:rsidRPr="00DD1D02">
        <w:rPr>
          <w:szCs w:val="24"/>
        </w:rPr>
        <w:t>Post</w:t>
      </w:r>
      <w:proofErr w:type="spellEnd"/>
      <w:r w:rsidR="00DD1D02" w:rsidRPr="00DD1D02">
        <w:rPr>
          <w:szCs w:val="24"/>
        </w:rPr>
        <w:t xml:space="preserve"> </w:t>
      </w:r>
      <w:proofErr w:type="spellStart"/>
      <w:r w:rsidR="00DD1D02" w:rsidRPr="00DD1D02">
        <w:rPr>
          <w:szCs w:val="24"/>
        </w:rPr>
        <w:t>mortem</w:t>
      </w:r>
      <w:proofErr w:type="spellEnd"/>
      <w:r w:rsidR="00DD1D02" w:rsidRPr="00DD1D02">
        <w:rPr>
          <w:szCs w:val="24"/>
        </w:rPr>
        <w:t xml:space="preserve"> tyrimas dėl neseniai paviešintų ES bankų pinigų plovimo atvejų.</w:t>
      </w:r>
      <w:r w:rsidR="00DD1D02" w:rsidRPr="00DD1D02">
        <w:rPr>
          <w:szCs w:val="24"/>
          <w:lang w:eastAsia="lt-LT"/>
        </w:rPr>
        <w:t xml:space="preserve"> Vykdydama Tarybos patvirtintą AML Veiksmų planą EK atliko 10 paskutinių AML atvejų bankų sektoriuje tyrimą, ieškodama atsakymų dėl buvusių problemų, galimų sprendimų. Identifikuotas problemas galima suskirstyti į 4 grupes: neveiksmingos AML kontrolės sistemos arba netinkamas laikymasis; valdymo problemos, kiek tai susiję su AML; prisiimtos rizikos nesuvaldymas; neefektyvi grupės AML </w:t>
      </w:r>
      <w:proofErr w:type="spellStart"/>
      <w:r w:rsidR="00DD1D02" w:rsidRPr="00DD1D02">
        <w:rPr>
          <w:szCs w:val="24"/>
          <w:lang w:eastAsia="lt-LT"/>
        </w:rPr>
        <w:t>rizikų</w:t>
      </w:r>
      <w:proofErr w:type="spellEnd"/>
      <w:r w:rsidR="00DD1D02" w:rsidRPr="00DD1D02">
        <w:rPr>
          <w:szCs w:val="24"/>
          <w:lang w:eastAsia="lt-LT"/>
        </w:rPr>
        <w:t xml:space="preserve"> priežiūra. Tyrimas identifikavo, kad kredito įstaigos netinkamai įgyvendino esminius AMLD reikalavimus. Be to, priežiūros institucijos neužtikrino nuolatinės priežiūros, identifikuota kvalifikuotų darbuotojų stoka. Bendradarbiavimas dėl tarptautinių atvejų dažnai buvo neefektyvus arba pavėluotas,</w:t>
      </w:r>
      <w:r w:rsidR="00DD1D02" w:rsidRPr="00DD1D02">
        <w:rPr>
          <w:color w:val="000000"/>
          <w:szCs w:val="24"/>
        </w:rPr>
        <w:t xml:space="preserve"> nepakankamas bendradarbiavimas su ES institucijomis. ESA peržiūra tikimasi prisidės prie problemos sprendimo, bet to negana. Yra didelė fragmentacija finansiniame sektoriuje tiek reglamentavime, tiek priežiūroje. Reikia užtikrinti, kad bendros taisyklės įgyvendinamos, priežiūra turi vykti griežtai aukščiausiu lygiu. Port </w:t>
      </w:r>
      <w:proofErr w:type="spellStart"/>
      <w:r w:rsidR="00DD1D02" w:rsidRPr="00DD1D02">
        <w:rPr>
          <w:color w:val="000000"/>
          <w:szCs w:val="24"/>
        </w:rPr>
        <w:t>mortem</w:t>
      </w:r>
      <w:proofErr w:type="spellEnd"/>
      <w:r w:rsidR="00DD1D02" w:rsidRPr="00DD1D02">
        <w:rPr>
          <w:color w:val="000000"/>
          <w:szCs w:val="24"/>
        </w:rPr>
        <w:t xml:space="preserve"> raportas yra teigiamas žingsnis kaip toliau dirbti. Yra keli klausimai į kuriuos reikia Ministrų atsakymo: a) ar reikia labiau harmonizuotų taisyklių; b) kaip užtikrinti geresnę priežiūrą; c) kaip geriau bendradarbiauti su III šalimis.</w:t>
      </w:r>
    </w:p>
    <w:p w:rsidR="00DD1D02" w:rsidRPr="00DD1D02" w:rsidRDefault="00DD1D02" w:rsidP="00DD1D02">
      <w:pPr>
        <w:autoSpaceDE w:val="0"/>
        <w:autoSpaceDN w:val="0"/>
        <w:adjustRightInd w:val="0"/>
        <w:spacing w:after="0" w:line="240" w:lineRule="auto"/>
        <w:jc w:val="both"/>
        <w:rPr>
          <w:szCs w:val="24"/>
          <w:lang w:eastAsia="en-GB"/>
        </w:rPr>
      </w:pPr>
      <w:r w:rsidRPr="00DD1D02">
        <w:rPr>
          <w:szCs w:val="24"/>
          <w:lang w:eastAsia="en-GB"/>
        </w:rPr>
        <w:t>EK pristatys ataskaitą ir numatyta ministrų diskusija.</w:t>
      </w:r>
    </w:p>
    <w:p w:rsidR="00DD1D02" w:rsidRPr="00DD1D02" w:rsidRDefault="00EB5451" w:rsidP="00DD1D02">
      <w:pPr>
        <w:spacing w:after="0" w:line="240" w:lineRule="auto"/>
        <w:jc w:val="both"/>
        <w:rPr>
          <w:szCs w:val="24"/>
        </w:rPr>
      </w:pPr>
      <w:r w:rsidRPr="00DD1D02">
        <w:rPr>
          <w:rFonts w:eastAsia="Times New Roman" w:cs="Times New Roman"/>
          <w:b/>
          <w:szCs w:val="24"/>
          <w:u w:val="single"/>
          <w:lang w:eastAsia="fr-BE"/>
        </w:rPr>
        <w:t>Lietuvos pozicija.</w:t>
      </w:r>
      <w:r w:rsidRPr="00DD1D02">
        <w:rPr>
          <w:rFonts w:eastAsia="Times New Roman" w:cs="Times New Roman"/>
          <w:b/>
          <w:szCs w:val="24"/>
          <w:lang w:eastAsia="fr-BE"/>
        </w:rPr>
        <w:t xml:space="preserve"> </w:t>
      </w:r>
      <w:r w:rsidR="00DD1D02" w:rsidRPr="00BF0B01">
        <w:rPr>
          <w:szCs w:val="24"/>
        </w:rPr>
        <w:t xml:space="preserve">Pasisakome už fragmentacijos tiek AML reglamentavime, tiek AML priežiūroje mažinimą, efektyvesnį direktyvos įgyvendinimo užtikrinimą. Esame atviri dėl naujos ES AML priežiūros institucijos įsteigimo, tačiau manome, kad jeigu tokia institucija būtų steigiama, </w:t>
      </w:r>
      <w:r w:rsidR="00DD1D02" w:rsidRPr="00BF0B01">
        <w:rPr>
          <w:szCs w:val="24"/>
          <w:u w:val="single"/>
        </w:rPr>
        <w:t>pirmiausia reikėtų tinkamai įvertinti esamą situaciją (įskaitant ir paskutinės AMLD įgyvendinimą), identifikuoti spragas, kurių neišsprendžia paskutiniai teisiniai pakeitimai AML srityje ir tada naujai</w:t>
      </w:r>
      <w:r w:rsidR="00DD1D02" w:rsidRPr="00BF0B01">
        <w:rPr>
          <w:szCs w:val="24"/>
        </w:rPr>
        <w:t xml:space="preserve"> steigiamai institucijai  numatyti labai konkrečias funkcijas, kurių negali padengti nacionalinės priežiūros institucijos arba kitos europinės priežiūros institucijos (pvz., tarpvalstybinės veiklos AML priežiūra</w:t>
      </w:r>
      <w:r w:rsidR="00BF0B01">
        <w:rPr>
          <w:szCs w:val="24"/>
        </w:rPr>
        <w:t>).</w:t>
      </w:r>
    </w:p>
    <w:p w:rsidR="00EB5451" w:rsidRPr="00BF0B01" w:rsidRDefault="00EB5451" w:rsidP="00EB5451">
      <w:pPr>
        <w:spacing w:after="0" w:line="240" w:lineRule="auto"/>
        <w:contextualSpacing/>
        <w:jc w:val="both"/>
        <w:rPr>
          <w:rFonts w:eastAsia="Calibri" w:cs="Times New Roman"/>
          <w:szCs w:val="24"/>
        </w:rPr>
      </w:pPr>
    </w:p>
    <w:p w:rsidR="00EB5451" w:rsidRPr="00BF0B01" w:rsidRDefault="00EB5451" w:rsidP="007168A7">
      <w:pPr>
        <w:spacing w:after="0" w:line="240" w:lineRule="auto"/>
        <w:jc w:val="both"/>
        <w:rPr>
          <w:rFonts w:eastAsia="Calibri"/>
          <w:noProof/>
          <w:szCs w:val="24"/>
          <w:u w:val="single"/>
          <w:lang w:bidi="lt-LT"/>
        </w:rPr>
      </w:pPr>
    </w:p>
    <w:p w:rsidR="00EB5451" w:rsidRPr="00421F54" w:rsidRDefault="00EB5451" w:rsidP="00EB5451">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szCs w:val="24"/>
        </w:rPr>
      </w:pPr>
      <w:r>
        <w:rPr>
          <w:rFonts w:cs="Times New Roman"/>
          <w:b/>
          <w:szCs w:val="24"/>
        </w:rPr>
        <w:t>Pinigų plovimo prevencij</w:t>
      </w:r>
      <w:r w:rsidR="00421F54">
        <w:rPr>
          <w:rFonts w:cs="Times New Roman"/>
          <w:b/>
          <w:szCs w:val="24"/>
        </w:rPr>
        <w:t>os direktyva – politika didelės rizikos trečiųjų šalių atžvilgiu</w:t>
      </w:r>
      <w:r>
        <w:rPr>
          <w:rFonts w:cs="Times New Roman"/>
          <w:b/>
          <w:szCs w:val="24"/>
        </w:rPr>
        <w:t xml:space="preserve"> </w:t>
      </w:r>
      <w:r w:rsidR="00421F54" w:rsidRPr="00421F54">
        <w:rPr>
          <w:rFonts w:cs="Times New Roman"/>
          <w:i/>
          <w:szCs w:val="24"/>
        </w:rPr>
        <w:t>(nuomonių apsikeitimas)</w:t>
      </w:r>
    </w:p>
    <w:p w:rsidR="00EB5451" w:rsidRPr="00BF0B01" w:rsidRDefault="00EB5451" w:rsidP="007168A7">
      <w:pPr>
        <w:spacing w:after="0" w:line="240" w:lineRule="auto"/>
        <w:jc w:val="both"/>
        <w:rPr>
          <w:rFonts w:eastAsia="Calibri"/>
          <w:noProof/>
          <w:szCs w:val="24"/>
          <w:u w:val="single"/>
          <w:lang w:bidi="lt-LT"/>
        </w:rPr>
      </w:pPr>
    </w:p>
    <w:p w:rsidR="003B0320" w:rsidRPr="002C0E83" w:rsidRDefault="007168A7" w:rsidP="00DD1D02">
      <w:pPr>
        <w:spacing w:after="0" w:line="240" w:lineRule="auto"/>
        <w:contextualSpacing/>
        <w:jc w:val="both"/>
        <w:rPr>
          <w:b/>
          <w:bCs/>
          <w:color w:val="222222"/>
          <w:szCs w:val="24"/>
          <w:lang w:eastAsia="lt-LT"/>
        </w:rPr>
      </w:pPr>
      <w:r w:rsidRPr="002879EE">
        <w:rPr>
          <w:rFonts w:eastAsia="Calibri"/>
          <w:b/>
          <w:noProof/>
          <w:szCs w:val="24"/>
          <w:u w:val="single"/>
          <w:lang w:bidi="lt-LT"/>
        </w:rPr>
        <w:t>Klausimo esmė.</w:t>
      </w:r>
      <w:r w:rsidRPr="007168A7">
        <w:rPr>
          <w:rFonts w:eastAsia="Calibri"/>
          <w:b/>
          <w:noProof/>
          <w:szCs w:val="24"/>
          <w:lang w:bidi="lt-LT"/>
        </w:rPr>
        <w:t xml:space="preserve"> </w:t>
      </w:r>
      <w:r w:rsidR="003B0320" w:rsidRPr="002C0E83">
        <w:rPr>
          <w:color w:val="222222"/>
          <w:szCs w:val="24"/>
        </w:rPr>
        <w:t xml:space="preserve">Vadovaujantis AML direktyva </w:t>
      </w:r>
      <w:r w:rsidR="003B0320" w:rsidRPr="00A01824">
        <w:rPr>
          <w:color w:val="222222"/>
          <w:szCs w:val="24"/>
        </w:rPr>
        <w:t>2019 m. vasario 13 d. EK priėmė deleguotąjį reglamentą Dėl trečiųjų didelės rizikos šalių identifikavimo, tačiau Taryba 2019 m. kovo 7 d. pareiškė nepritarimą deleguotajam reglamentui</w:t>
      </w:r>
      <w:r w:rsidR="003B0320" w:rsidRPr="002C0E83">
        <w:rPr>
          <w:b/>
          <w:bCs/>
          <w:color w:val="222222"/>
          <w:szCs w:val="24"/>
          <w:lang w:eastAsia="lt-LT"/>
        </w:rPr>
        <w:t xml:space="preserve"> </w:t>
      </w:r>
      <w:r w:rsidR="003B0320" w:rsidRPr="002C0E83">
        <w:rPr>
          <w:bCs/>
          <w:color w:val="222222"/>
          <w:szCs w:val="24"/>
          <w:lang w:eastAsia="lt-LT"/>
        </w:rPr>
        <w:t>ir Europos Parlamentas kovo 14 d.</w:t>
      </w:r>
      <w:r w:rsidR="003B0320" w:rsidRPr="002C0E83">
        <w:rPr>
          <w:color w:val="222222"/>
          <w:szCs w:val="24"/>
          <w:lang w:eastAsia="lt-LT"/>
        </w:rPr>
        <w:t xml:space="preserve"> pareiškė nepritarimą deleguotajam reglamentui</w:t>
      </w:r>
      <w:r w:rsidR="003B0320" w:rsidRPr="002C0E83">
        <w:rPr>
          <w:b/>
          <w:bCs/>
          <w:color w:val="222222"/>
          <w:szCs w:val="24"/>
          <w:lang w:eastAsia="lt-LT"/>
        </w:rPr>
        <w:t xml:space="preserve">. </w:t>
      </w:r>
    </w:p>
    <w:p w:rsidR="003B0320" w:rsidRPr="002C0E83" w:rsidRDefault="003B0320" w:rsidP="00DD1D02">
      <w:pPr>
        <w:spacing w:after="0" w:line="240" w:lineRule="auto"/>
        <w:jc w:val="both"/>
        <w:rPr>
          <w:color w:val="2F2F2F"/>
          <w:szCs w:val="24"/>
          <w:lang w:eastAsia="lt-LT"/>
        </w:rPr>
      </w:pPr>
      <w:r w:rsidRPr="002C0E83">
        <w:rPr>
          <w:color w:val="2F2F2F"/>
          <w:szCs w:val="24"/>
          <w:lang w:eastAsia="lt-LT"/>
        </w:rPr>
        <w:t>Atsižvelgdama į tai EK parengė atnaujintą metodologiją siekiant identifikuoti trečiąsias didelės rizikos valstybes. Pagrin</w:t>
      </w:r>
      <w:r w:rsidR="00BF0B01">
        <w:rPr>
          <w:color w:val="2F2F2F"/>
          <w:szCs w:val="24"/>
          <w:lang w:eastAsia="lt-LT"/>
        </w:rPr>
        <w:t>dinės sprendžiamos problemos ir</w:t>
      </w:r>
      <w:r w:rsidRPr="002C0E83">
        <w:rPr>
          <w:color w:val="2F2F2F"/>
          <w:szCs w:val="24"/>
          <w:lang w:eastAsia="lt-LT"/>
        </w:rPr>
        <w:t xml:space="preserve"> naujovės – sąveika tarp FATF</w:t>
      </w:r>
      <w:r w:rsidR="00BF0B01">
        <w:rPr>
          <w:color w:val="2F2F2F"/>
          <w:szCs w:val="24"/>
          <w:lang w:eastAsia="lt-LT"/>
        </w:rPr>
        <w:t xml:space="preserve"> (</w:t>
      </w:r>
      <w:proofErr w:type="spellStart"/>
      <w:r w:rsidR="00BF0B01" w:rsidRPr="00BF0B01">
        <w:rPr>
          <w:i/>
          <w:color w:val="2F2F2F"/>
          <w:szCs w:val="24"/>
          <w:lang w:eastAsia="lt-LT"/>
        </w:rPr>
        <w:t>Financial</w:t>
      </w:r>
      <w:proofErr w:type="spellEnd"/>
      <w:r w:rsidR="00BF0B01" w:rsidRPr="00BF0B01">
        <w:rPr>
          <w:i/>
          <w:color w:val="2F2F2F"/>
          <w:szCs w:val="24"/>
          <w:lang w:eastAsia="lt-LT"/>
        </w:rPr>
        <w:t xml:space="preserve"> </w:t>
      </w:r>
      <w:proofErr w:type="spellStart"/>
      <w:r w:rsidR="00BF0B01" w:rsidRPr="00BF0B01">
        <w:rPr>
          <w:i/>
          <w:color w:val="2F2F2F"/>
          <w:szCs w:val="24"/>
          <w:lang w:eastAsia="lt-LT"/>
        </w:rPr>
        <w:t>Action</w:t>
      </w:r>
      <w:proofErr w:type="spellEnd"/>
      <w:r w:rsidR="00BF0B01" w:rsidRPr="00BF0B01">
        <w:rPr>
          <w:i/>
          <w:color w:val="2F2F2F"/>
          <w:szCs w:val="24"/>
          <w:lang w:eastAsia="lt-LT"/>
        </w:rPr>
        <w:t xml:space="preserve"> </w:t>
      </w:r>
      <w:proofErr w:type="spellStart"/>
      <w:r w:rsidR="00BF0B01" w:rsidRPr="00BF0B01">
        <w:rPr>
          <w:i/>
          <w:color w:val="2F2F2F"/>
          <w:szCs w:val="24"/>
          <w:lang w:eastAsia="lt-LT"/>
        </w:rPr>
        <w:t>Task</w:t>
      </w:r>
      <w:proofErr w:type="spellEnd"/>
      <w:r w:rsidR="00BF0B01" w:rsidRPr="00BF0B01">
        <w:rPr>
          <w:i/>
          <w:color w:val="2F2F2F"/>
          <w:szCs w:val="24"/>
          <w:lang w:eastAsia="lt-LT"/>
        </w:rPr>
        <w:t xml:space="preserve"> </w:t>
      </w:r>
      <w:proofErr w:type="spellStart"/>
      <w:r w:rsidR="00BF0B01" w:rsidRPr="00BF0B01">
        <w:rPr>
          <w:i/>
          <w:color w:val="2F2F2F"/>
          <w:szCs w:val="24"/>
          <w:lang w:eastAsia="lt-LT"/>
        </w:rPr>
        <w:t>Force</w:t>
      </w:r>
      <w:proofErr w:type="spellEnd"/>
      <w:r w:rsidR="00BF0B01">
        <w:rPr>
          <w:color w:val="2F2F2F"/>
          <w:szCs w:val="24"/>
          <w:lang w:eastAsia="lt-LT"/>
        </w:rPr>
        <w:t xml:space="preserve">; Tarptautinė kovos su pinigų plovimu organizacija) </w:t>
      </w:r>
      <w:r w:rsidRPr="002C0E83">
        <w:rPr>
          <w:color w:val="2F2F2F"/>
          <w:szCs w:val="24"/>
          <w:lang w:eastAsia="lt-LT"/>
        </w:rPr>
        <w:t>sudaromo didelės</w:t>
      </w:r>
      <w:r w:rsidR="00BF0B01">
        <w:rPr>
          <w:color w:val="2F2F2F"/>
          <w:szCs w:val="24"/>
          <w:lang w:eastAsia="lt-LT"/>
        </w:rPr>
        <w:t xml:space="preserve"> rizikos valstybių sąrašo ir EK</w:t>
      </w:r>
      <w:r w:rsidRPr="002C0E83">
        <w:rPr>
          <w:color w:val="2F2F2F"/>
          <w:szCs w:val="24"/>
          <w:lang w:eastAsia="lt-LT"/>
        </w:rPr>
        <w:t xml:space="preserve"> sudaromo sąrašo, numatomos nuoseklesnės įrašymo į EK sąrašą/išbraukimo iš jo FATF</w:t>
      </w:r>
      <w:r w:rsidR="00BF0B01">
        <w:rPr>
          <w:color w:val="2F2F2F"/>
          <w:szCs w:val="24"/>
          <w:lang w:eastAsia="lt-LT"/>
        </w:rPr>
        <w:t xml:space="preserve"> </w:t>
      </w:r>
      <w:r w:rsidRPr="002C0E83">
        <w:rPr>
          <w:color w:val="2F2F2F"/>
          <w:szCs w:val="24"/>
          <w:lang w:eastAsia="lt-LT"/>
        </w:rPr>
        <w:t xml:space="preserve"> sąraše esančių /iš jo išbrauktų valstybių </w:t>
      </w:r>
      <w:r w:rsidRPr="002C0E83">
        <w:rPr>
          <w:bCs/>
          <w:color w:val="2F2F2F"/>
          <w:szCs w:val="24"/>
          <w:lang w:eastAsia="lt-LT"/>
        </w:rPr>
        <w:t>procedūros</w:t>
      </w:r>
      <w:r w:rsidRPr="002C0E83">
        <w:rPr>
          <w:color w:val="2F2F2F"/>
          <w:szCs w:val="24"/>
          <w:lang w:eastAsia="lt-LT"/>
        </w:rPr>
        <w:t>, numatomas glaudesnis bendradarbiavimas su valstybėmis, kurias svarstoma įtraukti į didelės rizikos valstybių sąrašą, taip pat aktyvesnis VN įtraukimas į sąrašo parengimo procesą.</w:t>
      </w:r>
    </w:p>
    <w:p w:rsidR="003B0320" w:rsidRPr="002C0E83" w:rsidRDefault="003B0320" w:rsidP="00DD1D02">
      <w:pPr>
        <w:spacing w:after="0" w:line="240" w:lineRule="auto"/>
        <w:rPr>
          <w:color w:val="2F2F2F"/>
          <w:szCs w:val="24"/>
          <w:lang w:eastAsia="lt-LT"/>
        </w:rPr>
      </w:pPr>
      <w:r w:rsidRPr="002C0E83">
        <w:rPr>
          <w:color w:val="2F2F2F"/>
          <w:szCs w:val="24"/>
          <w:lang w:eastAsia="lt-LT"/>
        </w:rPr>
        <w:t xml:space="preserve">EK ekspertų darbo grupės posėdis, kuriame bus svarstoma didelės rizikos trečiųjų šalių klausimas, vyks spalio 3-4 d. </w:t>
      </w:r>
    </w:p>
    <w:p w:rsidR="003B0320" w:rsidRPr="00B83B2C" w:rsidRDefault="007168A7" w:rsidP="00DD1D02">
      <w:pPr>
        <w:spacing w:after="0" w:line="240" w:lineRule="auto"/>
        <w:jc w:val="both"/>
        <w:rPr>
          <w:szCs w:val="24"/>
        </w:rPr>
      </w:pPr>
      <w:r w:rsidRPr="007168A7">
        <w:rPr>
          <w:rFonts w:eastAsia="Times New Roman" w:cs="Times New Roman"/>
          <w:b/>
          <w:szCs w:val="24"/>
          <w:u w:val="single"/>
          <w:lang w:eastAsia="fr-BE"/>
        </w:rPr>
        <w:t>Lietuvos pozicija.</w:t>
      </w:r>
      <w:r>
        <w:rPr>
          <w:rFonts w:eastAsia="Times New Roman" w:cs="Times New Roman"/>
          <w:b/>
          <w:szCs w:val="24"/>
          <w:lang w:eastAsia="fr-BE"/>
        </w:rPr>
        <w:t xml:space="preserve"> </w:t>
      </w:r>
      <w:r w:rsidR="003B0320">
        <w:rPr>
          <w:szCs w:val="24"/>
        </w:rPr>
        <w:t xml:space="preserve">Iš esmės palaikome metodologijos patikslinimą ir pasisakome už aiškių, skaidrių procedūrų nustatymą, kad įtraukimas į/išbraukimas iš didelės rizikos valstybių sąrašų būtų grindžiamas aiškiais kriterijais. </w:t>
      </w:r>
    </w:p>
    <w:p w:rsidR="002404FC" w:rsidRPr="00BF0B01" w:rsidRDefault="002404FC" w:rsidP="00343558">
      <w:pPr>
        <w:spacing w:after="0" w:line="240" w:lineRule="auto"/>
        <w:contextualSpacing/>
        <w:jc w:val="both"/>
        <w:rPr>
          <w:rFonts w:eastAsia="Times New Roman" w:cs="Times New Roman"/>
          <w:szCs w:val="24"/>
          <w:lang w:eastAsia="fr-BE"/>
        </w:rPr>
      </w:pPr>
    </w:p>
    <w:p w:rsidR="002404FC" w:rsidRDefault="002404FC" w:rsidP="00343558">
      <w:pPr>
        <w:spacing w:after="0" w:line="240" w:lineRule="auto"/>
        <w:contextualSpacing/>
        <w:jc w:val="both"/>
        <w:rPr>
          <w:rFonts w:eastAsia="Times New Roman" w:cs="Times New Roman"/>
          <w:szCs w:val="24"/>
          <w:lang w:eastAsia="fr-BE"/>
        </w:rPr>
      </w:pPr>
    </w:p>
    <w:p w:rsidR="00BF0B01" w:rsidRDefault="00BF0B01" w:rsidP="00343558">
      <w:pPr>
        <w:spacing w:after="0" w:line="240" w:lineRule="auto"/>
        <w:contextualSpacing/>
        <w:jc w:val="both"/>
        <w:rPr>
          <w:rFonts w:eastAsia="Times New Roman" w:cs="Times New Roman"/>
          <w:szCs w:val="24"/>
          <w:lang w:eastAsia="fr-BE"/>
        </w:rPr>
      </w:pPr>
    </w:p>
    <w:p w:rsidR="00BF0B01" w:rsidRDefault="00BF0B01" w:rsidP="00343558">
      <w:pPr>
        <w:spacing w:after="0" w:line="240" w:lineRule="auto"/>
        <w:contextualSpacing/>
        <w:jc w:val="both"/>
        <w:rPr>
          <w:rFonts w:eastAsia="Times New Roman" w:cs="Times New Roman"/>
          <w:szCs w:val="24"/>
          <w:lang w:eastAsia="fr-BE"/>
        </w:rPr>
      </w:pPr>
    </w:p>
    <w:p w:rsidR="00BF0B01" w:rsidRPr="00BF0B01" w:rsidRDefault="00BF0B01" w:rsidP="00343558">
      <w:pPr>
        <w:spacing w:after="0" w:line="240" w:lineRule="auto"/>
        <w:contextualSpacing/>
        <w:jc w:val="both"/>
        <w:rPr>
          <w:rFonts w:eastAsia="Times New Roman" w:cs="Times New Roman"/>
          <w:szCs w:val="24"/>
          <w:lang w:eastAsia="fr-BE"/>
        </w:rPr>
      </w:pPr>
    </w:p>
    <w:p w:rsidR="00421F54" w:rsidRPr="00421F54" w:rsidRDefault="00421F54" w:rsidP="00421F54">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szCs w:val="24"/>
        </w:rPr>
      </w:pPr>
      <w:r>
        <w:rPr>
          <w:rFonts w:cs="Times New Roman"/>
          <w:b/>
          <w:szCs w:val="24"/>
        </w:rPr>
        <w:lastRenderedPageBreak/>
        <w:t>Europos semestras 2019 – išmoktos pamokos (</w:t>
      </w:r>
      <w:r>
        <w:rPr>
          <w:rFonts w:cs="Times New Roman"/>
          <w:i/>
          <w:szCs w:val="24"/>
        </w:rPr>
        <w:t>nuomonių apsikeitimas)</w:t>
      </w:r>
    </w:p>
    <w:p w:rsidR="00421F54" w:rsidRDefault="00421F54" w:rsidP="00421F54">
      <w:pPr>
        <w:spacing w:after="0" w:line="240" w:lineRule="auto"/>
        <w:jc w:val="both"/>
        <w:rPr>
          <w:rFonts w:eastAsia="Calibri"/>
          <w:b/>
          <w:noProof/>
          <w:szCs w:val="24"/>
          <w:u w:val="single"/>
          <w:lang w:bidi="lt-LT"/>
        </w:rPr>
      </w:pPr>
    </w:p>
    <w:p w:rsidR="00421F54" w:rsidRPr="00FA4A03" w:rsidRDefault="00421F54" w:rsidP="00421F54">
      <w:pPr>
        <w:spacing w:after="0" w:line="240" w:lineRule="auto"/>
        <w:jc w:val="both"/>
        <w:rPr>
          <w:rFonts w:cs="Times New Roman"/>
          <w:szCs w:val="24"/>
        </w:rPr>
      </w:pPr>
      <w:r w:rsidRPr="002879EE">
        <w:rPr>
          <w:rFonts w:eastAsia="Calibri"/>
          <w:b/>
          <w:noProof/>
          <w:szCs w:val="24"/>
          <w:u w:val="single"/>
          <w:lang w:bidi="lt-LT"/>
        </w:rPr>
        <w:t>Klausimo esmė.</w:t>
      </w:r>
      <w:r w:rsidRPr="007168A7">
        <w:rPr>
          <w:rFonts w:eastAsia="Calibri"/>
          <w:b/>
          <w:noProof/>
          <w:szCs w:val="24"/>
          <w:lang w:bidi="lt-LT"/>
        </w:rPr>
        <w:t xml:space="preserve"> </w:t>
      </w:r>
      <w:r w:rsidR="00112FEC" w:rsidRPr="00112FEC">
        <w:rPr>
          <w:rFonts w:eastAsia="Calibri"/>
          <w:noProof/>
          <w:szCs w:val="24"/>
          <w:lang w:bidi="lt-LT"/>
        </w:rPr>
        <w:t>Europos s</w:t>
      </w:r>
      <w:r w:rsidR="00063D6F" w:rsidRPr="00112FEC">
        <w:rPr>
          <w:rFonts w:eastAsia="Calibri"/>
          <w:noProof/>
          <w:szCs w:val="24"/>
          <w:lang w:bidi="lt-LT"/>
        </w:rPr>
        <w:t>emestras</w:t>
      </w:r>
      <w:r w:rsidR="00063D6F" w:rsidRPr="00063D6F">
        <w:rPr>
          <w:rFonts w:eastAsia="Calibri"/>
          <w:noProof/>
          <w:szCs w:val="24"/>
          <w:lang w:bidi="lt-LT"/>
        </w:rPr>
        <w:t xml:space="preserve"> </w:t>
      </w:r>
      <w:r w:rsidR="00112FEC">
        <w:rPr>
          <w:rFonts w:eastAsia="Calibri"/>
          <w:noProof/>
          <w:szCs w:val="24"/>
          <w:lang w:bidi="lt-LT"/>
        </w:rPr>
        <w:t xml:space="preserve">- </w:t>
      </w:r>
      <w:r w:rsidR="00063D6F" w:rsidRPr="00063D6F">
        <w:rPr>
          <w:rFonts w:eastAsia="Calibri"/>
          <w:noProof/>
          <w:szCs w:val="24"/>
          <w:lang w:bidi="lt-LT"/>
        </w:rPr>
        <w:t>pagrindinė ES ekonominės politikos koordinavimo priemonė. Pagrindine problema išlieka žemas ir mažėjantis rekomendacijų įgyvendinimas. Naujos iniciatyvos tokios kaip biudžeto priemonė konvergencijai ir konkurencingumui Euro zonoje skatinti  (BICC) ir darnaus vystymosi tikslai turi būti atsargiai integruotos į Semestro procesą siekiant išvengti dubliavimosi.</w:t>
      </w:r>
    </w:p>
    <w:p w:rsidR="00421F54" w:rsidRDefault="00421F54" w:rsidP="00421F54">
      <w:pPr>
        <w:spacing w:after="0" w:line="240" w:lineRule="auto"/>
        <w:contextualSpacing/>
        <w:jc w:val="both"/>
        <w:rPr>
          <w:rFonts w:eastAsia="Times New Roman" w:cs="Times New Roman"/>
          <w:b/>
          <w:szCs w:val="24"/>
          <w:lang w:eastAsia="fr-BE"/>
        </w:rPr>
      </w:pPr>
      <w:r w:rsidRPr="007168A7">
        <w:rPr>
          <w:rFonts w:eastAsia="Times New Roman" w:cs="Times New Roman"/>
          <w:b/>
          <w:szCs w:val="24"/>
          <w:u w:val="single"/>
          <w:lang w:eastAsia="fr-BE"/>
        </w:rPr>
        <w:t>Lietuvos pozicija.</w:t>
      </w:r>
      <w:r>
        <w:rPr>
          <w:rFonts w:eastAsia="Times New Roman" w:cs="Times New Roman"/>
          <w:b/>
          <w:szCs w:val="24"/>
          <w:lang w:eastAsia="fr-BE"/>
        </w:rPr>
        <w:t xml:space="preserve"> </w:t>
      </w:r>
    </w:p>
    <w:p w:rsidR="00421F54" w:rsidRPr="00063D6F" w:rsidRDefault="00063D6F" w:rsidP="00343558">
      <w:pPr>
        <w:spacing w:after="0" w:line="240" w:lineRule="auto"/>
        <w:contextualSpacing/>
        <w:jc w:val="both"/>
        <w:rPr>
          <w:rFonts w:eastAsia="Calibri" w:cs="Times New Roman"/>
          <w:szCs w:val="24"/>
        </w:rPr>
      </w:pPr>
      <w:r w:rsidRPr="00063D6F">
        <w:rPr>
          <w:rFonts w:eastAsia="Calibri" w:cs="Times New Roman"/>
          <w:szCs w:val="24"/>
        </w:rPr>
        <w:t>Pritariame, EFC pirmininko laiškui bei EFC-A ir EPC raportams.</w:t>
      </w:r>
    </w:p>
    <w:p w:rsidR="00421F54" w:rsidRDefault="00421F54" w:rsidP="00343558">
      <w:pPr>
        <w:spacing w:after="0" w:line="240" w:lineRule="auto"/>
        <w:contextualSpacing/>
        <w:jc w:val="both"/>
        <w:rPr>
          <w:rFonts w:eastAsia="Calibri" w:cs="Times New Roman"/>
          <w:b/>
          <w:szCs w:val="24"/>
        </w:rPr>
      </w:pPr>
    </w:p>
    <w:p w:rsidR="002404FC" w:rsidRDefault="002404FC" w:rsidP="00343558">
      <w:pPr>
        <w:spacing w:after="0" w:line="240" w:lineRule="auto"/>
        <w:contextualSpacing/>
        <w:jc w:val="both"/>
        <w:rPr>
          <w:rFonts w:eastAsia="Calibri" w:cs="Times New Roman"/>
          <w:b/>
          <w:szCs w:val="24"/>
        </w:rPr>
      </w:pPr>
    </w:p>
    <w:p w:rsidR="00421F54" w:rsidRPr="00421F54" w:rsidRDefault="00421F54" w:rsidP="00421F54">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szCs w:val="24"/>
        </w:rPr>
      </w:pPr>
      <w:r>
        <w:rPr>
          <w:rFonts w:cs="Times New Roman"/>
          <w:b/>
          <w:szCs w:val="24"/>
        </w:rPr>
        <w:t>Pasiruošimas G20 finansų ministrų ir centrinių bankų valdytojų susitikimui ir TVF</w:t>
      </w:r>
      <w:r w:rsidR="003B0320">
        <w:rPr>
          <w:rFonts w:cs="Times New Roman"/>
          <w:b/>
          <w:szCs w:val="24"/>
        </w:rPr>
        <w:t xml:space="preserve"> </w:t>
      </w:r>
      <w:r>
        <w:rPr>
          <w:rFonts w:cs="Times New Roman"/>
          <w:b/>
          <w:szCs w:val="24"/>
        </w:rPr>
        <w:t>metiniams susitikimams, vyksiantiems š.m. spalio 17-19 dienomis Vašingtone</w:t>
      </w:r>
    </w:p>
    <w:p w:rsidR="00D876C0" w:rsidRDefault="00D876C0" w:rsidP="003F5087">
      <w:pPr>
        <w:spacing w:after="0" w:line="240" w:lineRule="auto"/>
        <w:jc w:val="both"/>
        <w:rPr>
          <w:rFonts w:eastAsia="Calibri"/>
          <w:b/>
          <w:noProof/>
          <w:szCs w:val="24"/>
          <w:u w:val="single"/>
          <w:lang w:bidi="lt-LT"/>
        </w:rPr>
      </w:pPr>
    </w:p>
    <w:p w:rsidR="003F5087" w:rsidRPr="00943074" w:rsidRDefault="003B0320" w:rsidP="003F5087">
      <w:pPr>
        <w:spacing w:after="0" w:line="240" w:lineRule="auto"/>
        <w:jc w:val="both"/>
        <w:rPr>
          <w:iCs/>
          <w:u w:val="single"/>
        </w:rPr>
      </w:pPr>
      <w:r w:rsidRPr="002879EE">
        <w:rPr>
          <w:rFonts w:eastAsia="Calibri"/>
          <w:b/>
          <w:noProof/>
          <w:szCs w:val="24"/>
          <w:u w:val="single"/>
          <w:lang w:bidi="lt-LT"/>
        </w:rPr>
        <w:t>Klausimo esmė.</w:t>
      </w:r>
      <w:r w:rsidRPr="007168A7">
        <w:rPr>
          <w:rFonts w:eastAsia="Calibri"/>
          <w:b/>
          <w:noProof/>
          <w:szCs w:val="24"/>
          <w:lang w:bidi="lt-LT"/>
        </w:rPr>
        <w:t xml:space="preserve"> </w:t>
      </w:r>
      <w:r w:rsidR="003F5087" w:rsidRPr="00943074">
        <w:rPr>
          <w:iCs/>
          <w:szCs w:val="24"/>
        </w:rPr>
        <w:t xml:space="preserve">Š. m. spalio 10 d. ECOFIN tarybos posėdžio metu bus </w:t>
      </w:r>
      <w:r w:rsidR="003F5087">
        <w:rPr>
          <w:iCs/>
          <w:szCs w:val="24"/>
        </w:rPr>
        <w:t>siūloma patvirtinti</w:t>
      </w:r>
      <w:r w:rsidR="003F5087" w:rsidRPr="00943074">
        <w:rPr>
          <w:iCs/>
          <w:szCs w:val="24"/>
        </w:rPr>
        <w:t xml:space="preserve"> </w:t>
      </w:r>
      <w:r w:rsidR="003F5087">
        <w:rPr>
          <w:iCs/>
        </w:rPr>
        <w:t xml:space="preserve">Suomijos </w:t>
      </w:r>
      <w:r w:rsidR="003F5087" w:rsidRPr="001A688E">
        <w:rPr>
          <w:iCs/>
        </w:rPr>
        <w:t xml:space="preserve">finansų ministro </w:t>
      </w:r>
      <w:proofErr w:type="spellStart"/>
      <w:r w:rsidR="003F5087">
        <w:rPr>
          <w:iCs/>
        </w:rPr>
        <w:t>Mika</w:t>
      </w:r>
      <w:proofErr w:type="spellEnd"/>
      <w:r w:rsidR="003F5087">
        <w:rPr>
          <w:iCs/>
        </w:rPr>
        <w:t xml:space="preserve"> </w:t>
      </w:r>
      <w:proofErr w:type="spellStart"/>
      <w:r w:rsidR="003F5087">
        <w:rPr>
          <w:iCs/>
        </w:rPr>
        <w:t>Lintila</w:t>
      </w:r>
      <w:proofErr w:type="spellEnd"/>
      <w:r w:rsidR="003F5087">
        <w:rPr>
          <w:iCs/>
        </w:rPr>
        <w:t xml:space="preserve"> pranešimo projektui </w:t>
      </w:r>
      <w:r w:rsidR="003F5087" w:rsidRPr="00A216F0">
        <w:rPr>
          <w:iCs/>
        </w:rPr>
        <w:t xml:space="preserve">Tarptautiniame pinigų ir finansų komitete </w:t>
      </w:r>
      <w:r w:rsidR="003F5087" w:rsidRPr="009176D3">
        <w:rPr>
          <w:iCs/>
        </w:rPr>
        <w:t xml:space="preserve">(angl. </w:t>
      </w:r>
      <w:proofErr w:type="spellStart"/>
      <w:r w:rsidR="003F5087" w:rsidRPr="009176D3">
        <w:rPr>
          <w:i/>
          <w:iCs/>
        </w:rPr>
        <w:t>International</w:t>
      </w:r>
      <w:proofErr w:type="spellEnd"/>
      <w:r w:rsidR="003F5087" w:rsidRPr="009176D3">
        <w:rPr>
          <w:i/>
          <w:iCs/>
        </w:rPr>
        <w:t xml:space="preserve"> </w:t>
      </w:r>
      <w:proofErr w:type="spellStart"/>
      <w:r w:rsidR="003F5087" w:rsidRPr="009176D3">
        <w:rPr>
          <w:i/>
          <w:iCs/>
        </w:rPr>
        <w:t>Monetary</w:t>
      </w:r>
      <w:proofErr w:type="spellEnd"/>
      <w:r w:rsidR="003F5087" w:rsidRPr="009176D3">
        <w:rPr>
          <w:i/>
          <w:iCs/>
        </w:rPr>
        <w:t xml:space="preserve"> </w:t>
      </w:r>
      <w:proofErr w:type="spellStart"/>
      <w:r w:rsidR="003F5087" w:rsidRPr="009176D3">
        <w:rPr>
          <w:i/>
          <w:iCs/>
        </w:rPr>
        <w:t>and</w:t>
      </w:r>
      <w:proofErr w:type="spellEnd"/>
      <w:r w:rsidR="003F5087" w:rsidRPr="009176D3">
        <w:rPr>
          <w:i/>
          <w:iCs/>
        </w:rPr>
        <w:t xml:space="preserve"> </w:t>
      </w:r>
      <w:proofErr w:type="spellStart"/>
      <w:r w:rsidR="003F5087" w:rsidRPr="009176D3">
        <w:rPr>
          <w:i/>
          <w:iCs/>
        </w:rPr>
        <w:t>Finance</w:t>
      </w:r>
      <w:proofErr w:type="spellEnd"/>
      <w:r w:rsidR="003F5087" w:rsidRPr="009176D3">
        <w:rPr>
          <w:i/>
          <w:iCs/>
        </w:rPr>
        <w:t xml:space="preserve"> </w:t>
      </w:r>
      <w:proofErr w:type="spellStart"/>
      <w:r w:rsidR="003F5087" w:rsidRPr="009176D3">
        <w:rPr>
          <w:i/>
          <w:iCs/>
        </w:rPr>
        <w:t>Committee</w:t>
      </w:r>
      <w:proofErr w:type="spellEnd"/>
      <w:r w:rsidR="003F5087" w:rsidRPr="009176D3">
        <w:rPr>
          <w:iCs/>
        </w:rPr>
        <w:t>, toliau – IMFC)</w:t>
      </w:r>
      <w:r w:rsidR="003F5087">
        <w:rPr>
          <w:iCs/>
        </w:rPr>
        <w:t xml:space="preserve"> ir </w:t>
      </w:r>
      <w:r w:rsidR="003F5087" w:rsidRPr="00E546D7">
        <w:rPr>
          <w:iCs/>
        </w:rPr>
        <w:t>pozicijų gairėms, skirtoms G20 finansų ministrų ir centri</w:t>
      </w:r>
      <w:r w:rsidR="003F5087">
        <w:rPr>
          <w:iCs/>
        </w:rPr>
        <w:t xml:space="preserve">nių bankų valdytojų susitikimui. </w:t>
      </w:r>
      <w:r w:rsidR="003F5087" w:rsidRPr="00EE07CF">
        <w:rPr>
          <w:rFonts w:eastAsia="Calibri"/>
          <w:iCs/>
        </w:rPr>
        <w:t xml:space="preserve">Komisija ir Suomijos atstovai </w:t>
      </w:r>
      <w:r w:rsidR="003F5087">
        <w:rPr>
          <w:rFonts w:eastAsia="Calibri"/>
          <w:iCs/>
        </w:rPr>
        <w:t xml:space="preserve">taip pat </w:t>
      </w:r>
      <w:r w:rsidR="003F5087" w:rsidRPr="00EE07CF">
        <w:rPr>
          <w:rFonts w:eastAsia="Calibri"/>
          <w:iCs/>
        </w:rPr>
        <w:t xml:space="preserve">informuos apie </w:t>
      </w:r>
      <w:r w:rsidR="003F5087">
        <w:rPr>
          <w:rFonts w:eastAsia="Calibri"/>
          <w:iCs/>
        </w:rPr>
        <w:t>Finansų m</w:t>
      </w:r>
      <w:r w:rsidR="003F5087" w:rsidRPr="00EE07CF">
        <w:rPr>
          <w:rFonts w:eastAsia="Calibri"/>
          <w:iCs/>
        </w:rPr>
        <w:t xml:space="preserve">inistrų koalicijos klimato veiklai (angl. </w:t>
      </w:r>
      <w:proofErr w:type="spellStart"/>
      <w:r w:rsidR="003F5087" w:rsidRPr="00EE07CF">
        <w:rPr>
          <w:rFonts w:eastAsia="Calibri"/>
          <w:i/>
          <w:iCs/>
        </w:rPr>
        <w:t>Coalition</w:t>
      </w:r>
      <w:proofErr w:type="spellEnd"/>
      <w:r w:rsidR="003F5087" w:rsidRPr="00EE07CF">
        <w:rPr>
          <w:rFonts w:eastAsia="Calibri"/>
          <w:i/>
          <w:iCs/>
        </w:rPr>
        <w:t xml:space="preserve"> </w:t>
      </w:r>
      <w:proofErr w:type="spellStart"/>
      <w:r w:rsidR="003F5087" w:rsidRPr="00EE07CF">
        <w:rPr>
          <w:rFonts w:eastAsia="Calibri"/>
          <w:i/>
          <w:iCs/>
        </w:rPr>
        <w:t>of</w:t>
      </w:r>
      <w:proofErr w:type="spellEnd"/>
      <w:r w:rsidR="003F5087" w:rsidRPr="00EE07CF">
        <w:rPr>
          <w:rFonts w:eastAsia="Calibri"/>
          <w:i/>
          <w:iCs/>
        </w:rPr>
        <w:t xml:space="preserve"> </w:t>
      </w:r>
      <w:proofErr w:type="spellStart"/>
      <w:r w:rsidR="003F5087" w:rsidRPr="00EE07CF">
        <w:rPr>
          <w:rFonts w:eastAsia="Calibri"/>
          <w:i/>
          <w:iCs/>
        </w:rPr>
        <w:t>Ministers</w:t>
      </w:r>
      <w:proofErr w:type="spellEnd"/>
      <w:r w:rsidR="003F5087" w:rsidRPr="00EE07CF">
        <w:rPr>
          <w:rFonts w:eastAsia="Calibri"/>
          <w:i/>
          <w:iCs/>
        </w:rPr>
        <w:t xml:space="preserve"> </w:t>
      </w:r>
      <w:proofErr w:type="spellStart"/>
      <w:r w:rsidR="003F5087" w:rsidRPr="00EE07CF">
        <w:rPr>
          <w:rFonts w:eastAsia="Calibri"/>
          <w:i/>
          <w:iCs/>
        </w:rPr>
        <w:t>on</w:t>
      </w:r>
      <w:proofErr w:type="spellEnd"/>
      <w:r w:rsidR="003F5087" w:rsidRPr="00EE07CF">
        <w:rPr>
          <w:rFonts w:eastAsia="Calibri"/>
          <w:i/>
          <w:iCs/>
        </w:rPr>
        <w:t xml:space="preserve"> </w:t>
      </w:r>
      <w:proofErr w:type="spellStart"/>
      <w:r w:rsidR="003F5087" w:rsidRPr="00EE07CF">
        <w:rPr>
          <w:rFonts w:eastAsia="Calibri"/>
          <w:i/>
          <w:iCs/>
        </w:rPr>
        <w:t>Climate</w:t>
      </w:r>
      <w:proofErr w:type="spellEnd"/>
      <w:r w:rsidR="003F5087" w:rsidRPr="00EE07CF">
        <w:rPr>
          <w:rFonts w:eastAsia="Calibri"/>
          <w:i/>
          <w:iCs/>
        </w:rPr>
        <w:t xml:space="preserve"> </w:t>
      </w:r>
      <w:proofErr w:type="spellStart"/>
      <w:r w:rsidR="003F5087" w:rsidRPr="00EE07CF">
        <w:rPr>
          <w:rFonts w:eastAsia="Calibri"/>
          <w:i/>
          <w:iCs/>
        </w:rPr>
        <w:t>Actions</w:t>
      </w:r>
      <w:proofErr w:type="spellEnd"/>
      <w:r w:rsidR="003F5087" w:rsidRPr="00EE07CF">
        <w:rPr>
          <w:rFonts w:eastAsia="Calibri"/>
          <w:i/>
          <w:iCs/>
        </w:rPr>
        <w:t>,</w:t>
      </w:r>
      <w:r w:rsidR="003F5087" w:rsidRPr="00EE07CF">
        <w:rPr>
          <w:rFonts w:eastAsia="Calibri"/>
          <w:iCs/>
        </w:rPr>
        <w:t xml:space="preserve"> toliau - koalicija) </w:t>
      </w:r>
      <w:r w:rsidR="003F5087">
        <w:rPr>
          <w:rFonts w:eastAsia="Calibri"/>
          <w:iCs/>
        </w:rPr>
        <w:t>pažangą ir pasirengimą antrajam ministrų susitikimui.</w:t>
      </w:r>
      <w:r w:rsidR="003F5087">
        <w:rPr>
          <w:iCs/>
        </w:rPr>
        <w:t xml:space="preserve"> Šie tarptautiniai renginiai vyks </w:t>
      </w:r>
      <w:r w:rsidR="003F5087" w:rsidRPr="00E546D7">
        <w:rPr>
          <w:iCs/>
        </w:rPr>
        <w:t xml:space="preserve">š. m. </w:t>
      </w:r>
      <w:r w:rsidR="003F5087">
        <w:rPr>
          <w:iCs/>
        </w:rPr>
        <w:t>spalio 17-20</w:t>
      </w:r>
      <w:r w:rsidR="003F5087" w:rsidRPr="00E546D7">
        <w:rPr>
          <w:iCs/>
        </w:rPr>
        <w:t xml:space="preserve"> d. </w:t>
      </w:r>
      <w:r w:rsidR="003F5087">
        <w:rPr>
          <w:iCs/>
        </w:rPr>
        <w:t>Vašingtone, JAV</w:t>
      </w:r>
      <w:r w:rsidR="003F5087" w:rsidRPr="00E546D7">
        <w:rPr>
          <w:iCs/>
        </w:rPr>
        <w:t>.</w:t>
      </w:r>
      <w:r w:rsidR="003F5087">
        <w:rPr>
          <w:iCs/>
        </w:rPr>
        <w:t xml:space="preserve"> </w:t>
      </w:r>
    </w:p>
    <w:p w:rsidR="003B0320" w:rsidRPr="002F602E" w:rsidRDefault="003B0320" w:rsidP="003F5087">
      <w:pPr>
        <w:spacing w:after="0" w:line="240" w:lineRule="auto"/>
        <w:contextualSpacing/>
        <w:jc w:val="both"/>
        <w:rPr>
          <w:rFonts w:eastAsia="Calibri" w:cs="Times New Roman"/>
          <w:b/>
          <w:szCs w:val="24"/>
        </w:rPr>
      </w:pPr>
      <w:r w:rsidRPr="007168A7">
        <w:rPr>
          <w:rFonts w:eastAsia="Times New Roman" w:cs="Times New Roman"/>
          <w:b/>
          <w:szCs w:val="24"/>
          <w:u w:val="single"/>
          <w:lang w:eastAsia="fr-BE"/>
        </w:rPr>
        <w:t>Lietuvos pozicija.</w:t>
      </w:r>
      <w:r>
        <w:rPr>
          <w:rFonts w:eastAsia="Times New Roman" w:cs="Times New Roman"/>
          <w:b/>
          <w:szCs w:val="24"/>
          <w:lang w:eastAsia="fr-BE"/>
        </w:rPr>
        <w:t xml:space="preserve"> </w:t>
      </w:r>
    </w:p>
    <w:p w:rsidR="00421F54" w:rsidRDefault="003F5087" w:rsidP="003F5087">
      <w:pPr>
        <w:spacing w:after="0" w:line="240" w:lineRule="auto"/>
        <w:contextualSpacing/>
        <w:jc w:val="both"/>
        <w:rPr>
          <w:rFonts w:eastAsia="Calibri" w:cs="Times New Roman"/>
          <w:b/>
          <w:szCs w:val="24"/>
        </w:rPr>
      </w:pPr>
      <w:r>
        <w:rPr>
          <w:color w:val="000000"/>
          <w:szCs w:val="24"/>
        </w:rPr>
        <w:t xml:space="preserve">Lietuva pritaria parengtiems </w:t>
      </w:r>
      <w:r w:rsidRPr="00FC2E45">
        <w:rPr>
          <w:color w:val="000000"/>
          <w:szCs w:val="24"/>
        </w:rPr>
        <w:t xml:space="preserve">G20 pozicijų gairių </w:t>
      </w:r>
      <w:r>
        <w:rPr>
          <w:color w:val="000000"/>
          <w:szCs w:val="24"/>
        </w:rPr>
        <w:t>ir p</w:t>
      </w:r>
      <w:r w:rsidRPr="00FC2E45">
        <w:rPr>
          <w:color w:val="000000"/>
          <w:szCs w:val="24"/>
        </w:rPr>
        <w:t>ranešimo Tarptautiniame pini</w:t>
      </w:r>
      <w:r>
        <w:rPr>
          <w:color w:val="000000"/>
          <w:szCs w:val="24"/>
        </w:rPr>
        <w:t xml:space="preserve">gų ir finansų komitete projektams. Informacija apie </w:t>
      </w:r>
      <w:r>
        <w:rPr>
          <w:rFonts w:eastAsia="Calibri"/>
          <w:iCs/>
        </w:rPr>
        <w:t>Finansų m</w:t>
      </w:r>
      <w:r w:rsidRPr="00EE07CF">
        <w:rPr>
          <w:rFonts w:eastAsia="Calibri"/>
          <w:iCs/>
        </w:rPr>
        <w:t>inistrų koalicij</w:t>
      </w:r>
      <w:r>
        <w:rPr>
          <w:rFonts w:eastAsia="Calibri"/>
          <w:iCs/>
        </w:rPr>
        <w:t>ą</w:t>
      </w:r>
      <w:r w:rsidRPr="00EE07CF">
        <w:rPr>
          <w:rFonts w:eastAsia="Calibri"/>
          <w:iCs/>
        </w:rPr>
        <w:t xml:space="preserve"> klimato veiklai</w:t>
      </w:r>
      <w:r>
        <w:rPr>
          <w:rFonts w:eastAsia="Calibri"/>
          <w:iCs/>
        </w:rPr>
        <w:t xml:space="preserve"> pateikiama žiniai.</w:t>
      </w:r>
    </w:p>
    <w:p w:rsidR="003B0320" w:rsidRDefault="003B0320" w:rsidP="00343558">
      <w:pPr>
        <w:spacing w:after="0" w:line="240" w:lineRule="auto"/>
        <w:contextualSpacing/>
        <w:jc w:val="both"/>
        <w:rPr>
          <w:rFonts w:eastAsia="Calibri" w:cs="Times New Roman"/>
          <w:b/>
          <w:szCs w:val="24"/>
        </w:rPr>
      </w:pPr>
    </w:p>
    <w:p w:rsidR="003B0320" w:rsidRDefault="003B0320" w:rsidP="00343558">
      <w:pPr>
        <w:spacing w:after="0" w:line="240" w:lineRule="auto"/>
        <w:contextualSpacing/>
        <w:jc w:val="both"/>
        <w:rPr>
          <w:rFonts w:eastAsia="Calibri" w:cs="Times New Roman"/>
          <w:b/>
          <w:szCs w:val="24"/>
        </w:rPr>
      </w:pPr>
    </w:p>
    <w:p w:rsidR="003B0320" w:rsidRPr="003B0320" w:rsidRDefault="003B0320" w:rsidP="003B032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szCs w:val="24"/>
        </w:rPr>
      </w:pPr>
      <w:r>
        <w:rPr>
          <w:rFonts w:cs="Times New Roman"/>
          <w:b/>
          <w:szCs w:val="24"/>
        </w:rPr>
        <w:t xml:space="preserve">Kapitalų rinkų sąjunga </w:t>
      </w:r>
      <w:r w:rsidRPr="003B0320">
        <w:rPr>
          <w:rFonts w:cs="Times New Roman"/>
          <w:i/>
          <w:szCs w:val="24"/>
        </w:rPr>
        <w:t>(Komisijos informacija)</w:t>
      </w:r>
    </w:p>
    <w:p w:rsidR="00DD1D02" w:rsidRDefault="00DD1D02" w:rsidP="00DD1D02">
      <w:pPr>
        <w:spacing w:after="0" w:line="240" w:lineRule="auto"/>
        <w:jc w:val="both"/>
        <w:rPr>
          <w:rFonts w:cs="Times New Roman"/>
          <w:color w:val="000000"/>
          <w:szCs w:val="24"/>
        </w:rPr>
      </w:pPr>
    </w:p>
    <w:p w:rsidR="00DD1D02" w:rsidRDefault="00DD1D02" w:rsidP="00DD1D02">
      <w:pPr>
        <w:spacing w:after="0" w:line="240" w:lineRule="auto"/>
        <w:jc w:val="both"/>
        <w:rPr>
          <w:rFonts w:cs="Times New Roman"/>
          <w:color w:val="000000"/>
          <w:szCs w:val="24"/>
        </w:rPr>
      </w:pPr>
      <w:r w:rsidRPr="00DD1D02">
        <w:rPr>
          <w:rFonts w:cs="Times New Roman"/>
          <w:b/>
          <w:color w:val="000000"/>
          <w:szCs w:val="24"/>
          <w:u w:val="single"/>
        </w:rPr>
        <w:t>Klausimo esmė.</w:t>
      </w:r>
      <w:r>
        <w:rPr>
          <w:rFonts w:cs="Times New Roman"/>
          <w:color w:val="000000"/>
          <w:szCs w:val="24"/>
        </w:rPr>
        <w:t xml:space="preserve"> Posėdžio metu Europos Komisija informuos</w:t>
      </w:r>
      <w:r w:rsidRPr="00933446">
        <w:rPr>
          <w:rFonts w:cs="Times New Roman"/>
          <w:color w:val="000000"/>
          <w:szCs w:val="24"/>
        </w:rPr>
        <w:t xml:space="preserve"> apie savo</w:t>
      </w:r>
      <w:r>
        <w:rPr>
          <w:rFonts w:cs="Times New Roman"/>
          <w:color w:val="000000"/>
          <w:szCs w:val="24"/>
        </w:rPr>
        <w:t xml:space="preserve"> planuojamus darbus, susijusius su K</w:t>
      </w:r>
      <w:r w:rsidRPr="00933446">
        <w:rPr>
          <w:rFonts w:cs="Times New Roman"/>
          <w:color w:val="000000"/>
          <w:szCs w:val="24"/>
        </w:rPr>
        <w:t xml:space="preserve">apitalo rinkų sąjunga (CMU), o </w:t>
      </w:r>
      <w:r>
        <w:rPr>
          <w:rFonts w:cs="Times New Roman"/>
          <w:color w:val="000000"/>
          <w:szCs w:val="24"/>
        </w:rPr>
        <w:t>FI</w:t>
      </w:r>
      <w:r w:rsidRPr="00933446">
        <w:rPr>
          <w:rFonts w:cs="Times New Roman"/>
          <w:color w:val="000000"/>
          <w:szCs w:val="24"/>
        </w:rPr>
        <w:t xml:space="preserve"> </w:t>
      </w:r>
      <w:r>
        <w:rPr>
          <w:rFonts w:cs="Times New Roman"/>
          <w:color w:val="000000"/>
          <w:szCs w:val="24"/>
        </w:rPr>
        <w:t xml:space="preserve">pristatys numatomus </w:t>
      </w:r>
      <w:r w:rsidRPr="00933446">
        <w:rPr>
          <w:rFonts w:cs="Times New Roman"/>
          <w:color w:val="000000"/>
          <w:szCs w:val="24"/>
        </w:rPr>
        <w:t xml:space="preserve">tolesnius veiksmus, kad iki metų pabaigos būtų priimtos Tarybos išvados dėl </w:t>
      </w:r>
      <w:r>
        <w:rPr>
          <w:rFonts w:cs="Times New Roman"/>
          <w:color w:val="000000"/>
          <w:szCs w:val="24"/>
        </w:rPr>
        <w:t xml:space="preserve">spartesnio </w:t>
      </w:r>
      <w:r w:rsidRPr="00933446">
        <w:rPr>
          <w:rFonts w:cs="Times New Roman"/>
          <w:color w:val="000000"/>
          <w:szCs w:val="24"/>
        </w:rPr>
        <w:t>CMU</w:t>
      </w:r>
      <w:r>
        <w:rPr>
          <w:rFonts w:cs="Times New Roman"/>
          <w:color w:val="000000"/>
          <w:szCs w:val="24"/>
        </w:rPr>
        <w:t xml:space="preserve"> progreso.</w:t>
      </w:r>
    </w:p>
    <w:p w:rsidR="00DD1D02" w:rsidRPr="00DC7E48" w:rsidRDefault="00DD1D02" w:rsidP="00DD1D02">
      <w:pPr>
        <w:spacing w:after="0" w:line="240" w:lineRule="auto"/>
        <w:jc w:val="both"/>
        <w:rPr>
          <w:rFonts w:cs="Times New Roman"/>
          <w:color w:val="000000"/>
          <w:szCs w:val="24"/>
        </w:rPr>
      </w:pPr>
      <w:r>
        <w:rPr>
          <w:rFonts w:cs="Times New Roman"/>
          <w:color w:val="000000"/>
          <w:szCs w:val="24"/>
        </w:rPr>
        <w:t xml:space="preserve">CMU klausimas buvo svarstytas </w:t>
      </w:r>
      <w:r w:rsidRPr="00DC7E48">
        <w:rPr>
          <w:rFonts w:cs="Times New Roman"/>
          <w:color w:val="000000"/>
          <w:szCs w:val="24"/>
        </w:rPr>
        <w:t xml:space="preserve">rugsėjo mėn. 13 d. vykusiame neformaliame </w:t>
      </w:r>
      <w:proofErr w:type="spellStart"/>
      <w:r w:rsidRPr="00DC7E48">
        <w:rPr>
          <w:rFonts w:cs="Times New Roman"/>
          <w:color w:val="000000"/>
          <w:szCs w:val="24"/>
        </w:rPr>
        <w:t>Ecofin</w:t>
      </w:r>
      <w:proofErr w:type="spellEnd"/>
      <w:r w:rsidRPr="00DC7E48">
        <w:rPr>
          <w:rFonts w:cs="Times New Roman"/>
          <w:color w:val="000000"/>
          <w:szCs w:val="24"/>
        </w:rPr>
        <w:t>, kuriame FI informavo, kad Tarybos išvados dėl CMU numatytos gruodžio mėn.</w:t>
      </w:r>
    </w:p>
    <w:p w:rsidR="00DD1D02" w:rsidRPr="001E13EF" w:rsidRDefault="00DD1D02" w:rsidP="00DD1D02">
      <w:pPr>
        <w:tabs>
          <w:tab w:val="left" w:pos="567"/>
        </w:tabs>
        <w:spacing w:after="0" w:line="240" w:lineRule="auto"/>
        <w:jc w:val="both"/>
        <w:rPr>
          <w:rFonts w:eastAsia="Times New Roman" w:cs="Times New Roman"/>
          <w:szCs w:val="24"/>
          <w:u w:val="single"/>
          <w:lang w:eastAsia="lt-LT"/>
        </w:rPr>
      </w:pPr>
      <w:r>
        <w:rPr>
          <w:rFonts w:eastAsia="Times New Roman" w:cs="Times New Roman"/>
          <w:szCs w:val="24"/>
          <w:lang w:eastAsia="lt-LT"/>
        </w:rPr>
        <w:t xml:space="preserve">Neformalaus </w:t>
      </w:r>
      <w:proofErr w:type="spellStart"/>
      <w:r>
        <w:rPr>
          <w:rFonts w:eastAsia="Times New Roman" w:cs="Times New Roman"/>
          <w:szCs w:val="24"/>
          <w:lang w:eastAsia="lt-LT"/>
        </w:rPr>
        <w:t>Ecofin</w:t>
      </w:r>
      <w:proofErr w:type="spellEnd"/>
      <w:r>
        <w:rPr>
          <w:rFonts w:eastAsia="Times New Roman" w:cs="Times New Roman"/>
          <w:szCs w:val="24"/>
          <w:lang w:eastAsia="lt-LT"/>
        </w:rPr>
        <w:t xml:space="preserve"> metu taip pat buvo trumpai pristatytos </w:t>
      </w:r>
      <w:r>
        <w:rPr>
          <w:rFonts w:eastAsia="Times New Roman" w:cs="Times New Roman"/>
          <w:i/>
          <w:szCs w:val="24"/>
          <w:lang w:eastAsia="lt-LT"/>
        </w:rPr>
        <w:t>Aukšto lygio</w:t>
      </w:r>
      <w:r w:rsidRPr="00163BD6">
        <w:rPr>
          <w:rFonts w:eastAsia="Times New Roman" w:cs="Times New Roman"/>
          <w:i/>
          <w:szCs w:val="24"/>
          <w:lang w:eastAsia="lt-LT"/>
        </w:rPr>
        <w:t xml:space="preserve"> darbo grupės dėl CMU</w:t>
      </w:r>
      <w:r>
        <w:rPr>
          <w:rFonts w:eastAsia="Times New Roman" w:cs="Times New Roman"/>
          <w:szCs w:val="24"/>
          <w:lang w:eastAsia="lt-LT"/>
        </w:rPr>
        <w:t xml:space="preserve"> parengtos </w:t>
      </w:r>
      <w:r w:rsidRPr="001E13EF">
        <w:rPr>
          <w:rFonts w:eastAsia="Times New Roman" w:cs="Times New Roman"/>
          <w:szCs w:val="24"/>
          <w:u w:val="single"/>
          <w:lang w:eastAsia="lt-LT"/>
        </w:rPr>
        <w:t>rekomendacijos:</w:t>
      </w:r>
    </w:p>
    <w:p w:rsidR="00DD1D02" w:rsidRDefault="00DD1D02" w:rsidP="00DD1D02">
      <w:pPr>
        <w:tabs>
          <w:tab w:val="left" w:pos="567"/>
        </w:tabs>
        <w:spacing w:after="0" w:line="240" w:lineRule="auto"/>
        <w:jc w:val="both"/>
        <w:rPr>
          <w:rFonts w:eastAsia="Times New Roman" w:cs="Times New Roman"/>
          <w:szCs w:val="24"/>
          <w:lang w:eastAsia="lt-LT"/>
        </w:rPr>
      </w:pPr>
      <w:r>
        <w:rPr>
          <w:rFonts w:eastAsia="Times New Roman" w:cs="Times New Roman"/>
          <w:szCs w:val="24"/>
          <w:lang w:eastAsia="lt-LT"/>
        </w:rPr>
        <w:t>1. Sukurti daugiau ilgalaikio taupymo ir investavimo galimybių;</w:t>
      </w:r>
    </w:p>
    <w:p w:rsidR="00DD1D02" w:rsidRDefault="00DD1D02" w:rsidP="00DD1D02">
      <w:pPr>
        <w:tabs>
          <w:tab w:val="left" w:pos="567"/>
        </w:tabs>
        <w:spacing w:after="0" w:line="240" w:lineRule="auto"/>
        <w:jc w:val="both"/>
        <w:rPr>
          <w:rFonts w:eastAsia="Times New Roman" w:cs="Times New Roman"/>
          <w:szCs w:val="24"/>
          <w:lang w:eastAsia="lt-LT"/>
        </w:rPr>
      </w:pPr>
      <w:r>
        <w:rPr>
          <w:rFonts w:eastAsia="Times New Roman" w:cs="Times New Roman"/>
          <w:szCs w:val="24"/>
          <w:lang w:eastAsia="lt-LT"/>
        </w:rPr>
        <w:t xml:space="preserve">2. Kurti dinamišką ir </w:t>
      </w:r>
      <w:proofErr w:type="spellStart"/>
      <w:r>
        <w:rPr>
          <w:rFonts w:eastAsia="Times New Roman" w:cs="Times New Roman"/>
          <w:szCs w:val="24"/>
          <w:lang w:eastAsia="lt-LT"/>
        </w:rPr>
        <w:t>sofistikuotą</w:t>
      </w:r>
      <w:proofErr w:type="spellEnd"/>
      <w:r>
        <w:rPr>
          <w:rFonts w:eastAsia="Times New Roman" w:cs="Times New Roman"/>
          <w:szCs w:val="24"/>
          <w:lang w:eastAsia="lt-LT"/>
        </w:rPr>
        <w:t xml:space="preserve"> akcijų rinką (dėmesys SVV);</w:t>
      </w:r>
    </w:p>
    <w:p w:rsidR="00DD1D02" w:rsidRDefault="00DD1D02" w:rsidP="00DD1D02">
      <w:pPr>
        <w:tabs>
          <w:tab w:val="left" w:pos="567"/>
        </w:tabs>
        <w:spacing w:after="0" w:line="240" w:lineRule="auto"/>
        <w:jc w:val="both"/>
        <w:rPr>
          <w:rFonts w:eastAsia="Times New Roman" w:cs="Times New Roman"/>
          <w:szCs w:val="24"/>
          <w:lang w:eastAsia="lt-LT"/>
        </w:rPr>
      </w:pPr>
      <w:r>
        <w:rPr>
          <w:rFonts w:eastAsia="Times New Roman" w:cs="Times New Roman"/>
          <w:szCs w:val="24"/>
          <w:lang w:eastAsia="lt-LT"/>
        </w:rPr>
        <w:t>3. Mažinti ES finansų rinkos fragmentaciją ir didinti jos likvidumą;</w:t>
      </w:r>
    </w:p>
    <w:p w:rsidR="00DD1D02" w:rsidRDefault="00DD1D02" w:rsidP="00DD1D02">
      <w:pPr>
        <w:tabs>
          <w:tab w:val="left" w:pos="567"/>
        </w:tabs>
        <w:spacing w:after="0" w:line="240" w:lineRule="auto"/>
        <w:jc w:val="both"/>
        <w:rPr>
          <w:rFonts w:eastAsia="Times New Roman" w:cs="Times New Roman"/>
          <w:szCs w:val="24"/>
          <w:lang w:eastAsia="lt-LT"/>
        </w:rPr>
      </w:pPr>
      <w:r>
        <w:rPr>
          <w:rFonts w:eastAsia="Times New Roman" w:cs="Times New Roman"/>
          <w:szCs w:val="24"/>
          <w:lang w:eastAsia="lt-LT"/>
        </w:rPr>
        <w:t>4. Didinti euro, kaip tarptautinio finansavimo instrumento, vaidmenį.</w:t>
      </w:r>
    </w:p>
    <w:p w:rsidR="00DD1D02" w:rsidRPr="00426F5B" w:rsidRDefault="00DD1D02" w:rsidP="00DD1D02">
      <w:pPr>
        <w:spacing w:after="0" w:line="240" w:lineRule="auto"/>
        <w:jc w:val="both"/>
        <w:rPr>
          <w:rFonts w:eastAsia="Times New Roman" w:cs="Times New Roman"/>
          <w:szCs w:val="24"/>
          <w:lang w:eastAsia="lt-LT"/>
        </w:rPr>
      </w:pPr>
      <w:r>
        <w:rPr>
          <w:rFonts w:cs="Times New Roman"/>
          <w:color w:val="000000"/>
          <w:szCs w:val="24"/>
        </w:rPr>
        <w:t>Š</w:t>
      </w:r>
      <w:r w:rsidRPr="00426F5B">
        <w:rPr>
          <w:rFonts w:eastAsia="Times New Roman" w:cs="Times New Roman"/>
          <w:szCs w:val="24"/>
          <w:lang w:eastAsia="lt-LT"/>
        </w:rPr>
        <w:t>. m. gegužės mėnesį DE, FR ir NL finansų ministrai paskelbė apie aukšto lygio darbo grupės</w:t>
      </w:r>
      <w:r>
        <w:rPr>
          <w:rFonts w:eastAsia="Times New Roman" w:cs="Times New Roman"/>
          <w:szCs w:val="24"/>
          <w:lang w:eastAsia="lt-LT"/>
        </w:rPr>
        <w:t xml:space="preserve"> dėl CMU </w:t>
      </w:r>
      <w:r w:rsidRPr="00426F5B">
        <w:rPr>
          <w:rFonts w:eastAsia="Times New Roman" w:cs="Times New Roman"/>
          <w:szCs w:val="24"/>
          <w:lang w:eastAsia="lt-LT"/>
        </w:rPr>
        <w:t>steigimą. Šios grupės tikslas – pateikti rekomendacijas dėl CMU gilinimo, siekiant skatinti ES 27 investicijas ir realiosios ekonomikos finansavimą per kapitalo rinkas vidutiniu ir ilguoju laikotarpiu. Darbo grupėje taip pat dalyvauja aukšto lygio ES, SE, PL ir IT finansų ministerijų ekspertai.</w:t>
      </w:r>
    </w:p>
    <w:p w:rsidR="00DD1D02" w:rsidRDefault="00DD1D02" w:rsidP="00DD1D02">
      <w:pPr>
        <w:spacing w:after="0" w:line="240" w:lineRule="auto"/>
        <w:jc w:val="both"/>
        <w:rPr>
          <w:rFonts w:cs="Times New Roman"/>
          <w:color w:val="000000"/>
          <w:szCs w:val="24"/>
        </w:rPr>
      </w:pPr>
      <w:r>
        <w:rPr>
          <w:rFonts w:eastAsia="Times New Roman" w:cs="Times New Roman"/>
          <w:szCs w:val="24"/>
        </w:rPr>
        <w:t>Į s</w:t>
      </w:r>
      <w:r w:rsidRPr="0033004A">
        <w:rPr>
          <w:rFonts w:eastAsia="Times New Roman" w:cs="Times New Roman"/>
          <w:szCs w:val="24"/>
        </w:rPr>
        <w:t xml:space="preserve">palio 10 d. </w:t>
      </w:r>
      <w:r>
        <w:rPr>
          <w:rFonts w:eastAsia="Times New Roman" w:cs="Times New Roman"/>
          <w:szCs w:val="24"/>
        </w:rPr>
        <w:t xml:space="preserve">vyksiančio </w:t>
      </w:r>
      <w:proofErr w:type="spellStart"/>
      <w:r>
        <w:rPr>
          <w:rFonts w:cs="Times New Roman"/>
          <w:color w:val="000000"/>
          <w:szCs w:val="24"/>
        </w:rPr>
        <w:t>Ecofin</w:t>
      </w:r>
      <w:proofErr w:type="spellEnd"/>
      <w:r>
        <w:rPr>
          <w:rFonts w:cs="Times New Roman"/>
          <w:color w:val="000000"/>
          <w:szCs w:val="24"/>
        </w:rPr>
        <w:t xml:space="preserve"> darbotvarkę klausimas dėl </w:t>
      </w:r>
      <w:r w:rsidRPr="0033004A">
        <w:rPr>
          <w:rFonts w:eastAsia="Times New Roman" w:cs="Times New Roman"/>
          <w:szCs w:val="24"/>
        </w:rPr>
        <w:t>CMU</w:t>
      </w:r>
      <w:r>
        <w:rPr>
          <w:rFonts w:eastAsia="Times New Roman" w:cs="Times New Roman"/>
          <w:szCs w:val="24"/>
        </w:rPr>
        <w:t xml:space="preserve"> </w:t>
      </w:r>
      <w:r>
        <w:rPr>
          <w:rFonts w:cs="Times New Roman"/>
          <w:color w:val="000000"/>
          <w:szCs w:val="24"/>
        </w:rPr>
        <w:t xml:space="preserve">įtrauktas </w:t>
      </w:r>
      <w:r w:rsidRPr="00163BD6">
        <w:rPr>
          <w:rFonts w:cs="Times New Roman"/>
          <w:color w:val="000000"/>
          <w:szCs w:val="24"/>
        </w:rPr>
        <w:t xml:space="preserve">FR prašymu (NL ir DE tam prieštaravo), nes FR nori pristatyti </w:t>
      </w:r>
      <w:r>
        <w:rPr>
          <w:rFonts w:cs="Times New Roman"/>
          <w:i/>
          <w:color w:val="000000"/>
          <w:szCs w:val="24"/>
        </w:rPr>
        <w:t>Aukšto lygio</w:t>
      </w:r>
      <w:r w:rsidRPr="00163BD6">
        <w:rPr>
          <w:rFonts w:cs="Times New Roman"/>
          <w:color w:val="000000"/>
          <w:szCs w:val="24"/>
        </w:rPr>
        <w:t xml:space="preserve"> </w:t>
      </w:r>
      <w:r>
        <w:rPr>
          <w:rFonts w:cs="Times New Roman"/>
          <w:color w:val="000000"/>
          <w:szCs w:val="24"/>
        </w:rPr>
        <w:t xml:space="preserve">darbo </w:t>
      </w:r>
      <w:r w:rsidRPr="00163BD6">
        <w:rPr>
          <w:rFonts w:cs="Times New Roman"/>
          <w:color w:val="000000"/>
          <w:szCs w:val="24"/>
        </w:rPr>
        <w:t>grupės ataskaitą ir diskutuoti</w:t>
      </w:r>
      <w:r>
        <w:rPr>
          <w:rFonts w:cs="Times New Roman"/>
          <w:color w:val="000000"/>
          <w:szCs w:val="24"/>
        </w:rPr>
        <w:t xml:space="preserve"> dėl joje pateikiamų rekomendacijų.</w:t>
      </w:r>
    </w:p>
    <w:p w:rsidR="00DD1D02" w:rsidRDefault="00DD1D02" w:rsidP="00DD1D02">
      <w:pPr>
        <w:spacing w:after="0" w:line="240" w:lineRule="auto"/>
        <w:jc w:val="both"/>
        <w:rPr>
          <w:rFonts w:cs="Times New Roman"/>
          <w:color w:val="000000"/>
          <w:szCs w:val="24"/>
        </w:rPr>
      </w:pPr>
      <w:r>
        <w:rPr>
          <w:rFonts w:cs="Times New Roman"/>
          <w:color w:val="000000"/>
          <w:szCs w:val="24"/>
        </w:rPr>
        <w:t>Be to, r</w:t>
      </w:r>
      <w:r w:rsidRPr="00DC7E48">
        <w:rPr>
          <w:rFonts w:cs="Times New Roman"/>
          <w:color w:val="000000"/>
          <w:szCs w:val="24"/>
        </w:rPr>
        <w:t>ugsėjo 27 d. EFC</w:t>
      </w:r>
      <w:r>
        <w:rPr>
          <w:rFonts w:cs="Times New Roman"/>
          <w:color w:val="000000"/>
          <w:szCs w:val="24"/>
        </w:rPr>
        <w:t xml:space="preserve"> posėdyje FI </w:t>
      </w:r>
      <w:r w:rsidRPr="00DC7E48">
        <w:rPr>
          <w:rFonts w:cs="Times New Roman"/>
          <w:color w:val="000000"/>
          <w:szCs w:val="24"/>
        </w:rPr>
        <w:t xml:space="preserve">informavo, kad </w:t>
      </w:r>
      <w:r>
        <w:rPr>
          <w:rFonts w:cs="Times New Roman"/>
          <w:color w:val="000000"/>
          <w:szCs w:val="24"/>
        </w:rPr>
        <w:t xml:space="preserve">spalio 10 d. </w:t>
      </w:r>
      <w:proofErr w:type="spellStart"/>
      <w:r>
        <w:rPr>
          <w:rFonts w:cs="Times New Roman"/>
          <w:color w:val="000000"/>
          <w:szCs w:val="24"/>
        </w:rPr>
        <w:t>Ecofin</w:t>
      </w:r>
      <w:proofErr w:type="spellEnd"/>
      <w:r>
        <w:rPr>
          <w:rFonts w:cs="Times New Roman"/>
          <w:color w:val="000000"/>
          <w:szCs w:val="24"/>
        </w:rPr>
        <w:t xml:space="preserve"> posėdyje FI taip pat i</w:t>
      </w:r>
      <w:r w:rsidRPr="00DC7E48">
        <w:rPr>
          <w:rFonts w:cs="Times New Roman"/>
          <w:color w:val="000000"/>
          <w:szCs w:val="24"/>
        </w:rPr>
        <w:t>nformuos apie Tarybos išvadas</w:t>
      </w:r>
      <w:r>
        <w:rPr>
          <w:rFonts w:cs="Times New Roman"/>
          <w:color w:val="000000"/>
          <w:szCs w:val="24"/>
        </w:rPr>
        <w:t xml:space="preserve"> dėl CMU.</w:t>
      </w:r>
    </w:p>
    <w:p w:rsidR="00DD1D02" w:rsidRDefault="00DD1D02" w:rsidP="00DD1D02">
      <w:pPr>
        <w:tabs>
          <w:tab w:val="left" w:pos="567"/>
        </w:tabs>
        <w:spacing w:after="0" w:line="240" w:lineRule="auto"/>
        <w:jc w:val="both"/>
        <w:rPr>
          <w:rFonts w:eastAsia="Times New Roman" w:cs="Times New Roman"/>
          <w:szCs w:val="24"/>
          <w:lang w:eastAsia="lt-LT"/>
        </w:rPr>
      </w:pPr>
      <w:r w:rsidRPr="00DD1D02">
        <w:rPr>
          <w:rFonts w:eastAsia="Calibri" w:cs="Times New Roman"/>
          <w:b/>
          <w:szCs w:val="24"/>
          <w:u w:val="single"/>
        </w:rPr>
        <w:t>Lietuvos pozicija.</w:t>
      </w:r>
      <w:r>
        <w:rPr>
          <w:rFonts w:eastAsia="Calibri" w:cs="Times New Roman"/>
          <w:b/>
          <w:szCs w:val="24"/>
        </w:rPr>
        <w:t xml:space="preserve"> </w:t>
      </w:r>
      <w:r w:rsidRPr="00A25C87">
        <w:rPr>
          <w:rFonts w:eastAsia="Times New Roman" w:cs="Times New Roman"/>
          <w:szCs w:val="24"/>
          <w:lang w:eastAsia="lt-LT"/>
        </w:rPr>
        <w:t>Lietuva visada palaikė Kapitalo rinkų sąjungos kūrimą</w:t>
      </w:r>
      <w:r>
        <w:rPr>
          <w:rFonts w:eastAsia="Times New Roman" w:cs="Times New Roman"/>
          <w:szCs w:val="24"/>
          <w:lang w:eastAsia="lt-LT"/>
        </w:rPr>
        <w:t>.</w:t>
      </w:r>
      <w:r w:rsidRPr="00A25C87">
        <w:rPr>
          <w:rFonts w:eastAsia="Times New Roman" w:cs="Times New Roman"/>
          <w:szCs w:val="24"/>
          <w:lang w:eastAsia="lt-LT"/>
        </w:rPr>
        <w:t xml:space="preserve"> Manome, kad Kapitalo rinkų sąjunga padės sustiprinti Europos finansų sistemą, </w:t>
      </w:r>
      <w:r w:rsidRPr="00A25C87">
        <w:rPr>
          <w:rFonts w:cs="Times New Roman"/>
          <w:szCs w:val="24"/>
        </w:rPr>
        <w:t>paskatins ekonomikos plėtrą,</w:t>
      </w:r>
      <w:r w:rsidRPr="00A25C87">
        <w:rPr>
          <w:rFonts w:eastAsia="Times New Roman" w:cs="Times New Roman"/>
          <w:szCs w:val="24"/>
          <w:lang w:eastAsia="lt-LT"/>
        </w:rPr>
        <w:t xml:space="preserve"> </w:t>
      </w:r>
      <w:r w:rsidRPr="00A25C87">
        <w:rPr>
          <w:rFonts w:cs="Times New Roman"/>
          <w:szCs w:val="24"/>
        </w:rPr>
        <w:t>prisidės prie bendrosios rinkos didesnio atsparumo ekonomikos šokams bei didins ES konkurencingumą globaliu mastu.</w:t>
      </w:r>
      <w:r w:rsidRPr="00A25C87">
        <w:rPr>
          <w:rFonts w:eastAsia="Times New Roman" w:cs="Times New Roman"/>
          <w:szCs w:val="24"/>
          <w:lang w:eastAsia="lt-LT"/>
        </w:rPr>
        <w:t xml:space="preserve"> Palaikome siekį ir toliau gilinti </w:t>
      </w:r>
      <w:r>
        <w:rPr>
          <w:rFonts w:eastAsia="Times New Roman" w:cs="Times New Roman"/>
          <w:szCs w:val="24"/>
          <w:lang w:eastAsia="lt-LT"/>
        </w:rPr>
        <w:t>K</w:t>
      </w:r>
      <w:r w:rsidRPr="00A25C87">
        <w:rPr>
          <w:rFonts w:eastAsia="Times New Roman" w:cs="Times New Roman"/>
          <w:szCs w:val="24"/>
          <w:lang w:eastAsia="lt-LT"/>
        </w:rPr>
        <w:t>apitalo rinkų sąjungą.</w:t>
      </w:r>
      <w:r>
        <w:rPr>
          <w:rFonts w:eastAsia="Times New Roman" w:cs="Times New Roman"/>
          <w:szCs w:val="24"/>
          <w:lang w:eastAsia="lt-LT"/>
        </w:rPr>
        <w:t xml:space="preserve"> Laukiame Tarybos išvadų ir tikime, kad jos suteiks svarbų postūmį didesniems ir spartesniems pokyčiams kuriant CMU.</w:t>
      </w:r>
    </w:p>
    <w:p w:rsidR="002404FC" w:rsidRPr="002404FC" w:rsidRDefault="002404FC" w:rsidP="002404FC">
      <w:pPr>
        <w:spacing w:after="0" w:line="240" w:lineRule="auto"/>
        <w:contextualSpacing/>
        <w:jc w:val="both"/>
        <w:rPr>
          <w:rFonts w:cs="Times New Roman"/>
          <w:i/>
          <w:iCs/>
          <w:szCs w:val="24"/>
          <w:u w:val="single"/>
        </w:rPr>
      </w:pPr>
      <w:r>
        <w:rPr>
          <w:rFonts w:eastAsia="Calibri" w:cs="Times New Roman"/>
          <w:szCs w:val="24"/>
        </w:rPr>
        <w:lastRenderedPageBreak/>
        <w:t xml:space="preserve">Po Euro grupės posėdžio Komisija </w:t>
      </w:r>
      <w:r w:rsidRPr="002404FC">
        <w:rPr>
          <w:rFonts w:eastAsia="Calibri" w:cs="Times New Roman"/>
          <w:szCs w:val="24"/>
        </w:rPr>
        <w:t xml:space="preserve">ECOFIN </w:t>
      </w:r>
      <w:r>
        <w:rPr>
          <w:rFonts w:eastAsia="Calibri" w:cs="Times New Roman"/>
          <w:szCs w:val="24"/>
        </w:rPr>
        <w:t xml:space="preserve">posėdžio metu pristatys pasiūlymą dėl </w:t>
      </w:r>
      <w:r w:rsidRPr="002404FC">
        <w:rPr>
          <w:rFonts w:eastAsia="Calibri" w:cs="Times New Roman"/>
          <w:b/>
          <w:szCs w:val="24"/>
        </w:rPr>
        <w:t>Biudžeto priemonės konvergencijai ir konkurencingumui Euro zonoje skatinti (BICC)</w:t>
      </w:r>
      <w:r>
        <w:rPr>
          <w:rFonts w:eastAsia="Calibri" w:cs="Times New Roman"/>
          <w:szCs w:val="24"/>
        </w:rPr>
        <w:t xml:space="preserve"> (plačiau žr.</w:t>
      </w:r>
      <w:r w:rsidRPr="002404FC">
        <w:rPr>
          <w:rFonts w:eastAsia="Calibri" w:cs="Times New Roman"/>
          <w:szCs w:val="24"/>
        </w:rPr>
        <w:t xml:space="preserve"> </w:t>
      </w:r>
      <w:r>
        <w:rPr>
          <w:rFonts w:eastAsia="Calibri" w:cs="Times New Roman"/>
          <w:szCs w:val="24"/>
        </w:rPr>
        <w:t>prie Euro grupės klausimų).</w:t>
      </w:r>
    </w:p>
    <w:p w:rsidR="002404FC" w:rsidRDefault="002404FC" w:rsidP="00343558">
      <w:pPr>
        <w:spacing w:after="0" w:line="240" w:lineRule="auto"/>
        <w:contextualSpacing/>
        <w:jc w:val="both"/>
        <w:rPr>
          <w:rFonts w:eastAsia="Calibri" w:cs="Times New Roman"/>
          <w:b/>
          <w:szCs w:val="24"/>
        </w:rPr>
      </w:pPr>
    </w:p>
    <w:p w:rsidR="002404FC" w:rsidRPr="002404FC" w:rsidRDefault="002404FC" w:rsidP="00343558">
      <w:pPr>
        <w:spacing w:after="0" w:line="240" w:lineRule="auto"/>
        <w:contextualSpacing/>
        <w:jc w:val="both"/>
        <w:rPr>
          <w:rFonts w:eastAsia="Calibri" w:cs="Times New Roman"/>
          <w:szCs w:val="24"/>
        </w:rPr>
      </w:pPr>
      <w:r w:rsidRPr="002404FC">
        <w:rPr>
          <w:rFonts w:eastAsia="Calibri" w:cs="Times New Roman"/>
          <w:szCs w:val="24"/>
        </w:rPr>
        <w:t xml:space="preserve">Taip pat </w:t>
      </w:r>
      <w:r>
        <w:rPr>
          <w:rFonts w:eastAsia="Calibri" w:cs="Times New Roman"/>
          <w:szCs w:val="24"/>
        </w:rPr>
        <w:t xml:space="preserve">posėdžio metu bus priimtos </w:t>
      </w:r>
      <w:r w:rsidRPr="002404FC">
        <w:rPr>
          <w:rFonts w:eastAsia="Calibri" w:cs="Times New Roman"/>
          <w:b/>
          <w:szCs w:val="24"/>
        </w:rPr>
        <w:t>Tarybos rekomendacijos dėl Europos centrinio banko Vykdomosios valdybos nario skyrimo</w:t>
      </w:r>
      <w:r>
        <w:rPr>
          <w:rFonts w:eastAsia="Calibri" w:cs="Times New Roman"/>
          <w:szCs w:val="24"/>
        </w:rPr>
        <w:t xml:space="preserve"> (plačiau žr. prie Euro grupės klausimų).</w:t>
      </w:r>
    </w:p>
    <w:p w:rsidR="006D0DD1" w:rsidRPr="00112FEC" w:rsidRDefault="006D0DD1" w:rsidP="002404FC">
      <w:pPr>
        <w:spacing w:after="0" w:line="240" w:lineRule="auto"/>
        <w:rPr>
          <w:rFonts w:eastAsia="Calibri" w:cs="Times New Roman"/>
          <w:szCs w:val="24"/>
        </w:rPr>
      </w:pPr>
    </w:p>
    <w:p w:rsidR="002404FC" w:rsidRPr="00112FEC" w:rsidRDefault="002404FC" w:rsidP="002404FC">
      <w:pPr>
        <w:spacing w:after="0" w:line="240" w:lineRule="auto"/>
        <w:rPr>
          <w:rFonts w:eastAsia="Calibri" w:cs="Times New Roman"/>
          <w:szCs w:val="24"/>
        </w:rPr>
      </w:pPr>
    </w:p>
    <w:p w:rsidR="003B0320" w:rsidRDefault="003B0320" w:rsidP="003B0320">
      <w:pPr>
        <w:spacing w:after="0" w:line="240" w:lineRule="auto"/>
        <w:jc w:val="center"/>
        <w:rPr>
          <w:rFonts w:eastAsia="Calibri" w:cs="Times New Roman"/>
          <w:b/>
          <w:sz w:val="26"/>
          <w:szCs w:val="26"/>
        </w:rPr>
      </w:pPr>
      <w:r w:rsidRPr="002F602E">
        <w:rPr>
          <w:rFonts w:eastAsia="Calibri" w:cs="Times New Roman"/>
          <w:b/>
          <w:sz w:val="26"/>
          <w:szCs w:val="26"/>
        </w:rPr>
        <w:t xml:space="preserve">PAŽYMA dėl š.m. </w:t>
      </w:r>
      <w:r>
        <w:rPr>
          <w:rFonts w:eastAsia="Calibri" w:cs="Times New Roman"/>
          <w:b/>
          <w:sz w:val="26"/>
          <w:szCs w:val="26"/>
        </w:rPr>
        <w:t>spalio 9</w:t>
      </w:r>
      <w:r w:rsidRPr="002F602E">
        <w:rPr>
          <w:rFonts w:eastAsia="Calibri" w:cs="Times New Roman"/>
          <w:b/>
          <w:sz w:val="26"/>
          <w:szCs w:val="26"/>
        </w:rPr>
        <w:t xml:space="preserve"> d. EURO GRUPĖS klausimų</w:t>
      </w:r>
    </w:p>
    <w:p w:rsidR="003B0320" w:rsidRPr="00112FEC" w:rsidRDefault="003B0320" w:rsidP="003B0320">
      <w:pPr>
        <w:spacing w:after="0" w:line="240" w:lineRule="auto"/>
        <w:jc w:val="center"/>
        <w:rPr>
          <w:rFonts w:eastAsia="Calibri" w:cs="Times New Roman"/>
          <w:szCs w:val="24"/>
        </w:rPr>
      </w:pPr>
    </w:p>
    <w:p w:rsidR="00D876C0" w:rsidRPr="00112FEC" w:rsidRDefault="00D876C0" w:rsidP="003B0320">
      <w:pPr>
        <w:spacing w:after="0" w:line="240" w:lineRule="auto"/>
        <w:jc w:val="center"/>
        <w:rPr>
          <w:rFonts w:eastAsia="Calibri" w:cs="Times New Roman"/>
          <w:szCs w:val="24"/>
        </w:rPr>
      </w:pPr>
    </w:p>
    <w:p w:rsidR="003B0320" w:rsidRPr="002F602E" w:rsidRDefault="003B0320" w:rsidP="003B032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Cs/>
          <w:szCs w:val="24"/>
        </w:rPr>
      </w:pPr>
      <w:r>
        <w:rPr>
          <w:rFonts w:cs="Times New Roman"/>
          <w:b/>
          <w:szCs w:val="24"/>
        </w:rPr>
        <w:t>Tematinės diskusijos – konkurencingumo vystymas euro zonoje</w:t>
      </w:r>
    </w:p>
    <w:p w:rsidR="00D876C0" w:rsidRDefault="00D876C0" w:rsidP="003B0320">
      <w:pPr>
        <w:spacing w:after="0" w:line="240" w:lineRule="auto"/>
        <w:jc w:val="both"/>
        <w:rPr>
          <w:rFonts w:cs="Times New Roman"/>
          <w:szCs w:val="24"/>
          <w:lang w:eastAsia="lt-LT" w:bidi="lt-LT"/>
        </w:rPr>
      </w:pPr>
      <w:bookmarkStart w:id="0" w:name="_GoBack"/>
      <w:bookmarkEnd w:id="0"/>
    </w:p>
    <w:p w:rsidR="003B0320" w:rsidRPr="00B97266" w:rsidRDefault="003B0320" w:rsidP="003B0320">
      <w:pPr>
        <w:spacing w:after="0" w:line="240" w:lineRule="auto"/>
        <w:jc w:val="both"/>
        <w:rPr>
          <w:rFonts w:cs="Times New Roman"/>
          <w:szCs w:val="24"/>
          <w:lang w:eastAsia="lt-LT" w:bidi="lt-LT"/>
        </w:rPr>
      </w:pPr>
      <w:r w:rsidRPr="00B97266">
        <w:rPr>
          <w:rFonts w:cs="Times New Roman"/>
          <w:b/>
          <w:szCs w:val="24"/>
          <w:u w:val="single"/>
          <w:lang w:eastAsia="lt-LT" w:bidi="lt-LT"/>
        </w:rPr>
        <w:t>Klausimo esmė.</w:t>
      </w:r>
      <w:r w:rsidRPr="00B97266">
        <w:rPr>
          <w:rFonts w:cs="Times New Roman"/>
          <w:szCs w:val="24"/>
          <w:lang w:eastAsia="lt-LT" w:bidi="lt-LT"/>
        </w:rPr>
        <w:t xml:space="preserve"> Prieš krizę augę einamosios sąskaitos ir konkurencingumo </w:t>
      </w:r>
      <w:proofErr w:type="spellStart"/>
      <w:r w:rsidRPr="00B97266">
        <w:rPr>
          <w:rFonts w:cs="Times New Roman"/>
          <w:szCs w:val="24"/>
          <w:lang w:eastAsia="lt-LT" w:bidi="lt-LT"/>
        </w:rPr>
        <w:t>disbalansai</w:t>
      </w:r>
      <w:proofErr w:type="spellEnd"/>
      <w:r w:rsidRPr="00B97266">
        <w:rPr>
          <w:rFonts w:cs="Times New Roman"/>
          <w:szCs w:val="24"/>
          <w:lang w:eastAsia="lt-LT" w:bidi="lt-LT"/>
        </w:rPr>
        <w:t xml:space="preserve"> po krizės staigiai koregavosi ir VN su aukštais  einamosios sąskaitos deficitais buvo lydimi aukšto nedarbo lygio. Dabar einamosios sąskaitos balansai yra stebimi kartu su konkurencingumu siekiant iš anksto užkirsti kelią rimtesnių </w:t>
      </w:r>
      <w:proofErr w:type="spellStart"/>
      <w:r w:rsidRPr="00B97266">
        <w:rPr>
          <w:rFonts w:cs="Times New Roman"/>
          <w:szCs w:val="24"/>
          <w:lang w:eastAsia="lt-LT" w:bidi="lt-LT"/>
        </w:rPr>
        <w:t>disbalansų</w:t>
      </w:r>
      <w:proofErr w:type="spellEnd"/>
      <w:r w:rsidRPr="00B97266">
        <w:rPr>
          <w:rFonts w:cs="Times New Roman"/>
          <w:szCs w:val="24"/>
          <w:lang w:eastAsia="lt-LT" w:bidi="lt-LT"/>
        </w:rPr>
        <w:t xml:space="preserve"> susidarymui. Mažinant </w:t>
      </w:r>
      <w:proofErr w:type="spellStart"/>
      <w:r w:rsidRPr="00B97266">
        <w:rPr>
          <w:rFonts w:cs="Times New Roman"/>
          <w:szCs w:val="24"/>
          <w:lang w:eastAsia="lt-LT" w:bidi="lt-LT"/>
        </w:rPr>
        <w:t>disbalansus</w:t>
      </w:r>
      <w:proofErr w:type="spellEnd"/>
      <w:r w:rsidRPr="00B97266">
        <w:rPr>
          <w:rFonts w:cs="Times New Roman"/>
          <w:szCs w:val="24"/>
          <w:lang w:eastAsia="lt-LT" w:bidi="lt-LT"/>
        </w:rPr>
        <w:t xml:space="preserve"> buvo pasiekta pažanga mažinant einamosios sąskaitos deficitus ir atstatant konkurencingumą, tačiau </w:t>
      </w:r>
      <w:proofErr w:type="spellStart"/>
      <w:r w:rsidRPr="00B97266">
        <w:rPr>
          <w:rFonts w:cs="Times New Roman"/>
          <w:szCs w:val="24"/>
          <w:lang w:eastAsia="lt-LT" w:bidi="lt-LT"/>
        </w:rPr>
        <w:t>disbalansų</w:t>
      </w:r>
      <w:proofErr w:type="spellEnd"/>
      <w:r w:rsidRPr="00B97266">
        <w:rPr>
          <w:rFonts w:cs="Times New Roman"/>
          <w:szCs w:val="24"/>
          <w:lang w:eastAsia="lt-LT" w:bidi="lt-LT"/>
        </w:rPr>
        <w:t xml:space="preserve"> sankaupos vis dar aukštos, o einamosios sąskaitos perviršiai išlieka. Perviršiai signalizuoja apie prislopintą paklausą ir nepakankamas investicijas. Euro zonos einamosios sąskaitos perviršis auga, o kartu ir pažeidžiamumas prekybos trikdžiams. Tarp naujų iššūkių be prekybos karų yra ir technologinė transformacija.</w:t>
      </w:r>
    </w:p>
    <w:p w:rsidR="003B0320" w:rsidRPr="00C56D68" w:rsidRDefault="003B0320" w:rsidP="003B0320">
      <w:pPr>
        <w:spacing w:after="0" w:line="240" w:lineRule="auto"/>
        <w:jc w:val="both"/>
        <w:rPr>
          <w:rFonts w:cs="Times New Roman"/>
          <w:szCs w:val="24"/>
          <w:lang w:eastAsia="lt-LT"/>
        </w:rPr>
      </w:pPr>
      <w:r w:rsidRPr="00B97266">
        <w:rPr>
          <w:rFonts w:cs="Times New Roman"/>
          <w:b/>
          <w:szCs w:val="24"/>
          <w:u w:val="single"/>
          <w:lang w:eastAsia="lt-LT" w:bidi="lt-LT"/>
        </w:rPr>
        <w:t>Lietuvos pozicija.</w:t>
      </w:r>
      <w:r w:rsidRPr="00B97266">
        <w:rPr>
          <w:rFonts w:cs="Times New Roman"/>
          <w:szCs w:val="24"/>
          <w:lang w:eastAsia="lt-LT" w:bidi="lt-LT"/>
        </w:rPr>
        <w:t xml:space="preserve"> Manome, kad ši tema yra svarbi, tačiau į einamosios sąskaitos balansus nereikėtų žiūrėti mechaniškai, reikia vertinti jų susidarymo priežastis. Taip pat manome, kad konkurencingumą reikia stebėti, tačiau formuojant politiką reikėtų fokusuotis į produktyvumą, kadangi tam tikros priemonės, kurios padidina konkurencingumą trumpuoju laikotarpiu gali pakenkti jam ir produktyvumui ilguoju laikotarpiu, pvz., konkuravimas mokesčiais, aplinkos apsaugos ir saugumo standartais.</w:t>
      </w:r>
    </w:p>
    <w:p w:rsidR="003B0320" w:rsidRDefault="003B0320" w:rsidP="003B0320">
      <w:pPr>
        <w:tabs>
          <w:tab w:val="left" w:pos="709"/>
        </w:tabs>
        <w:autoSpaceDE w:val="0"/>
        <w:autoSpaceDN w:val="0"/>
        <w:adjustRightInd w:val="0"/>
        <w:spacing w:after="0" w:line="240" w:lineRule="auto"/>
        <w:jc w:val="both"/>
        <w:rPr>
          <w:rFonts w:cs="Times New Roman"/>
          <w:szCs w:val="24"/>
        </w:rPr>
      </w:pPr>
    </w:p>
    <w:p w:rsidR="003B0320" w:rsidRPr="002F602E" w:rsidRDefault="003B0320" w:rsidP="003B0320">
      <w:pPr>
        <w:tabs>
          <w:tab w:val="left" w:pos="709"/>
        </w:tabs>
        <w:autoSpaceDE w:val="0"/>
        <w:autoSpaceDN w:val="0"/>
        <w:adjustRightInd w:val="0"/>
        <w:spacing w:after="0" w:line="240" w:lineRule="auto"/>
        <w:jc w:val="both"/>
        <w:rPr>
          <w:rFonts w:cs="Times New Roman"/>
          <w:szCs w:val="24"/>
        </w:rPr>
      </w:pPr>
    </w:p>
    <w:p w:rsidR="003B0320" w:rsidRPr="002F602E" w:rsidRDefault="003B0320" w:rsidP="003B032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Cs/>
          <w:szCs w:val="24"/>
        </w:rPr>
      </w:pPr>
      <w:r>
        <w:rPr>
          <w:rFonts w:cs="Times New Roman"/>
          <w:b/>
          <w:szCs w:val="24"/>
        </w:rPr>
        <w:t>Portugalija – po-programinės peržiūros misijos rezultatai</w:t>
      </w:r>
    </w:p>
    <w:p w:rsidR="003B0320" w:rsidRDefault="003B0320" w:rsidP="003B0320">
      <w:pPr>
        <w:spacing w:after="0" w:line="240" w:lineRule="auto"/>
        <w:jc w:val="both"/>
        <w:rPr>
          <w:rFonts w:cs="Times New Roman"/>
          <w:szCs w:val="24"/>
          <w:lang w:eastAsia="lt-LT" w:bidi="lt-LT"/>
        </w:rPr>
      </w:pPr>
    </w:p>
    <w:p w:rsidR="003B0320" w:rsidRDefault="003B0320" w:rsidP="003B0320">
      <w:pPr>
        <w:spacing w:after="0" w:line="240" w:lineRule="auto"/>
        <w:jc w:val="both"/>
        <w:rPr>
          <w:rFonts w:cs="Times New Roman"/>
          <w:szCs w:val="24"/>
          <w:lang w:eastAsia="lt-LT" w:bidi="lt-LT"/>
        </w:rPr>
      </w:pPr>
      <w:r w:rsidRPr="00DA5388">
        <w:rPr>
          <w:rFonts w:cs="Times New Roman"/>
          <w:b/>
          <w:szCs w:val="24"/>
          <w:u w:val="single"/>
          <w:lang w:eastAsia="lt-LT" w:bidi="lt-LT"/>
        </w:rPr>
        <w:t>Klausimo esmė.</w:t>
      </w:r>
      <w:r>
        <w:rPr>
          <w:rFonts w:cs="Times New Roman"/>
          <w:szCs w:val="24"/>
          <w:lang w:eastAsia="lt-LT" w:bidi="lt-LT"/>
        </w:rPr>
        <w:t xml:space="preserve"> </w:t>
      </w:r>
      <w:r w:rsidRPr="00203EF2">
        <w:rPr>
          <w:rFonts w:cs="Times New Roman"/>
          <w:szCs w:val="24"/>
          <w:lang w:eastAsia="lt-LT" w:bidi="lt-LT"/>
        </w:rPr>
        <w:t xml:space="preserve">2019 m. </w:t>
      </w:r>
      <w:r>
        <w:rPr>
          <w:rFonts w:cs="Times New Roman"/>
          <w:szCs w:val="24"/>
          <w:lang w:eastAsia="lt-LT" w:bidi="lt-LT"/>
        </w:rPr>
        <w:t>birželio</w:t>
      </w:r>
      <w:r w:rsidRPr="00203EF2">
        <w:rPr>
          <w:rFonts w:cs="Times New Roman"/>
          <w:szCs w:val="24"/>
          <w:lang w:eastAsia="lt-LT" w:bidi="lt-LT"/>
        </w:rPr>
        <w:t xml:space="preserve"> </w:t>
      </w:r>
      <w:r>
        <w:rPr>
          <w:rFonts w:cs="Times New Roman"/>
          <w:szCs w:val="24"/>
          <w:lang w:eastAsia="lt-LT" w:bidi="lt-LT"/>
        </w:rPr>
        <w:t>14-19 d. Europos Komisija</w:t>
      </w:r>
      <w:r w:rsidRPr="00203EF2">
        <w:rPr>
          <w:rFonts w:cs="Times New Roman"/>
          <w:szCs w:val="24"/>
          <w:lang w:eastAsia="lt-LT" w:bidi="lt-LT"/>
        </w:rPr>
        <w:t xml:space="preserve"> kartu su Europos centriniu banku (ECB) </w:t>
      </w:r>
      <w:r>
        <w:rPr>
          <w:rFonts w:cs="Times New Roman"/>
          <w:szCs w:val="24"/>
          <w:lang w:eastAsia="lt-LT" w:bidi="lt-LT"/>
        </w:rPr>
        <w:t>atliko 10</w:t>
      </w:r>
      <w:r w:rsidRPr="00203EF2">
        <w:rPr>
          <w:rFonts w:cs="Times New Roman"/>
          <w:szCs w:val="24"/>
          <w:lang w:eastAsia="lt-LT" w:bidi="lt-LT"/>
        </w:rPr>
        <w:t>-ąją po-programinės peržiūros misiją.</w:t>
      </w:r>
      <w:r w:rsidRPr="00203EF2">
        <w:t xml:space="preserve"> </w:t>
      </w:r>
      <w:r w:rsidRPr="00585E24">
        <w:t>Misija buvo skirta finansų</w:t>
      </w:r>
      <w:r>
        <w:t>,</w:t>
      </w:r>
      <w:r w:rsidRPr="00585E24">
        <w:t xml:space="preserve"> </w:t>
      </w:r>
      <w:r>
        <w:t>m</w:t>
      </w:r>
      <w:r w:rsidRPr="00585E24">
        <w:t>akroekonomikos ir biudžeto sektoriaus pokyčiams</w:t>
      </w:r>
      <w:r>
        <w:t xml:space="preserve"> įvertinti</w:t>
      </w:r>
      <w:r w:rsidRPr="00585E24">
        <w:t xml:space="preserve">. </w:t>
      </w:r>
      <w:r w:rsidRPr="00203EF2">
        <w:rPr>
          <w:rFonts w:cs="Times New Roman"/>
          <w:szCs w:val="24"/>
          <w:lang w:eastAsia="lt-LT" w:bidi="lt-LT"/>
        </w:rPr>
        <w:t xml:space="preserve">Reguliarios po-programinės peržiūros vykdomos, kol grąžinama bent 75% suteiktų paskolų. </w:t>
      </w:r>
    </w:p>
    <w:p w:rsidR="003B0320" w:rsidRDefault="003B0320" w:rsidP="003B0320">
      <w:pPr>
        <w:spacing w:after="0" w:line="240" w:lineRule="auto"/>
        <w:jc w:val="both"/>
        <w:rPr>
          <w:rFonts w:cs="Times New Roman"/>
          <w:szCs w:val="24"/>
          <w:lang w:eastAsia="lt-LT" w:bidi="lt-LT"/>
        </w:rPr>
      </w:pPr>
      <w:r w:rsidRPr="001770F8">
        <w:rPr>
          <w:rFonts w:cs="Times New Roman"/>
          <w:szCs w:val="24"/>
          <w:lang w:eastAsia="lt-LT" w:bidi="lt-LT"/>
        </w:rPr>
        <w:t>Šalies vidaus augimo temp</w:t>
      </w:r>
      <w:r>
        <w:rPr>
          <w:rFonts w:cs="Times New Roman"/>
          <w:szCs w:val="24"/>
          <w:lang w:eastAsia="lt-LT" w:bidi="lt-LT"/>
        </w:rPr>
        <w:t>as išlieka stabilus,</w:t>
      </w:r>
      <w:r w:rsidRPr="00EC4DE5">
        <w:rPr>
          <w:rFonts w:cs="Times New Roman"/>
          <w:szCs w:val="24"/>
          <w:lang w:eastAsia="lt-LT" w:bidi="lt-LT"/>
        </w:rPr>
        <w:t xml:space="preserve"> nedarbo lygis mažėja, ekonomika auga – BVP auga apie </w:t>
      </w:r>
      <w:r>
        <w:rPr>
          <w:rFonts w:cs="Times New Roman"/>
          <w:szCs w:val="24"/>
          <w:lang w:eastAsia="lt-LT" w:bidi="lt-LT"/>
        </w:rPr>
        <w:t>2 proc. kasmet. K</w:t>
      </w:r>
      <w:r w:rsidRPr="00EC4DE5">
        <w:rPr>
          <w:rFonts w:cs="Times New Roman"/>
          <w:szCs w:val="24"/>
          <w:lang w:eastAsia="lt-LT" w:bidi="lt-LT"/>
        </w:rPr>
        <w:t xml:space="preserve">reditų reitingų agentūros pakėlė šalies skolinimo lygį. </w:t>
      </w:r>
      <w:r>
        <w:rPr>
          <w:rFonts w:cs="Times New Roman"/>
          <w:szCs w:val="24"/>
          <w:lang w:eastAsia="lt-LT" w:bidi="lt-LT"/>
        </w:rPr>
        <w:t xml:space="preserve">Tačiau </w:t>
      </w:r>
      <w:r w:rsidRPr="00EC4DE5">
        <w:rPr>
          <w:rFonts w:cs="Times New Roman"/>
          <w:szCs w:val="24"/>
          <w:lang w:eastAsia="lt-LT" w:bidi="lt-LT"/>
        </w:rPr>
        <w:t>nepakankamai vertina</w:t>
      </w:r>
      <w:r>
        <w:rPr>
          <w:rFonts w:cs="Times New Roman"/>
          <w:szCs w:val="24"/>
          <w:lang w:eastAsia="lt-LT" w:bidi="lt-LT"/>
        </w:rPr>
        <w:t>mos</w:t>
      </w:r>
      <w:r w:rsidRPr="00EC4DE5">
        <w:rPr>
          <w:rFonts w:cs="Times New Roman"/>
          <w:szCs w:val="24"/>
          <w:lang w:eastAsia="lt-LT" w:bidi="lt-LT"/>
        </w:rPr>
        <w:t xml:space="preserve"> išorin</w:t>
      </w:r>
      <w:r>
        <w:rPr>
          <w:rFonts w:cs="Times New Roman"/>
          <w:szCs w:val="24"/>
          <w:lang w:eastAsia="lt-LT" w:bidi="lt-LT"/>
        </w:rPr>
        <w:t>ė</w:t>
      </w:r>
      <w:r w:rsidRPr="00EC4DE5">
        <w:rPr>
          <w:rFonts w:cs="Times New Roman"/>
          <w:szCs w:val="24"/>
          <w:lang w:eastAsia="lt-LT" w:bidi="lt-LT"/>
        </w:rPr>
        <w:t>s ekonomin</w:t>
      </w:r>
      <w:r>
        <w:rPr>
          <w:rFonts w:cs="Times New Roman"/>
          <w:szCs w:val="24"/>
          <w:lang w:eastAsia="lt-LT" w:bidi="lt-LT"/>
        </w:rPr>
        <w:t>ė</w:t>
      </w:r>
      <w:r w:rsidRPr="00EC4DE5">
        <w:rPr>
          <w:rFonts w:cs="Times New Roman"/>
          <w:szCs w:val="24"/>
          <w:lang w:eastAsia="lt-LT" w:bidi="lt-LT"/>
        </w:rPr>
        <w:t>s grėsm</w:t>
      </w:r>
      <w:r>
        <w:rPr>
          <w:rFonts w:cs="Times New Roman"/>
          <w:szCs w:val="24"/>
          <w:lang w:eastAsia="lt-LT" w:bidi="lt-LT"/>
        </w:rPr>
        <w:t>ė</w:t>
      </w:r>
      <w:r w:rsidRPr="00EC4DE5">
        <w:rPr>
          <w:rFonts w:cs="Times New Roman"/>
          <w:szCs w:val="24"/>
          <w:lang w:eastAsia="lt-LT" w:bidi="lt-LT"/>
        </w:rPr>
        <w:t xml:space="preserve">s. Reikia gerinti eksporto situaciją, kuri šiuo metu yra neigiama. </w:t>
      </w:r>
      <w:r>
        <w:rPr>
          <w:rFonts w:cs="Times New Roman"/>
          <w:szCs w:val="24"/>
          <w:lang w:eastAsia="lt-LT" w:bidi="lt-LT"/>
        </w:rPr>
        <w:t>Neveiksnių paskolų lygis</w:t>
      </w:r>
      <w:r w:rsidRPr="00EC4DE5">
        <w:rPr>
          <w:rFonts w:cs="Times New Roman"/>
          <w:szCs w:val="24"/>
          <w:lang w:eastAsia="lt-LT" w:bidi="lt-LT"/>
        </w:rPr>
        <w:t xml:space="preserve"> yra nuosekliai mažin</w:t>
      </w:r>
      <w:r>
        <w:rPr>
          <w:rFonts w:cs="Times New Roman"/>
          <w:szCs w:val="24"/>
          <w:lang w:eastAsia="lt-LT" w:bidi="lt-LT"/>
        </w:rPr>
        <w:t>a</w:t>
      </w:r>
      <w:r w:rsidRPr="00EC4DE5">
        <w:rPr>
          <w:rFonts w:cs="Times New Roman"/>
          <w:szCs w:val="24"/>
          <w:lang w:eastAsia="lt-LT" w:bidi="lt-LT"/>
        </w:rPr>
        <w:t>mas, bet vis dar per aukštas</w:t>
      </w:r>
      <w:r>
        <w:rPr>
          <w:rFonts w:cs="Times New Roman"/>
          <w:szCs w:val="24"/>
          <w:lang w:eastAsia="lt-LT" w:bidi="lt-LT"/>
        </w:rPr>
        <w:t xml:space="preserve"> 9,4 proc. (trečias pagal dydį visoje euro zonoje)</w:t>
      </w:r>
      <w:r w:rsidRPr="00EC4DE5">
        <w:rPr>
          <w:rFonts w:cs="Times New Roman"/>
          <w:szCs w:val="24"/>
          <w:lang w:eastAsia="lt-LT" w:bidi="lt-LT"/>
        </w:rPr>
        <w:t>.</w:t>
      </w:r>
    </w:p>
    <w:p w:rsidR="003B0320" w:rsidRDefault="003B0320" w:rsidP="003B0320">
      <w:pPr>
        <w:spacing w:after="0" w:line="240" w:lineRule="auto"/>
        <w:jc w:val="both"/>
        <w:rPr>
          <w:rFonts w:cs="Times New Roman"/>
          <w:szCs w:val="24"/>
          <w:lang w:eastAsia="lt-LT" w:bidi="lt-LT"/>
        </w:rPr>
      </w:pPr>
      <w:r>
        <w:rPr>
          <w:rFonts w:cs="Times New Roman"/>
          <w:szCs w:val="24"/>
          <w:lang w:eastAsia="lt-LT" w:bidi="lt-LT"/>
        </w:rPr>
        <w:t>Kita misija vyks vėlyvą 2019</w:t>
      </w:r>
      <w:r w:rsidRPr="00203EF2">
        <w:rPr>
          <w:rFonts w:cs="Times New Roman"/>
          <w:szCs w:val="24"/>
          <w:lang w:eastAsia="lt-LT" w:bidi="lt-LT"/>
        </w:rPr>
        <w:t xml:space="preserve"> m. </w:t>
      </w:r>
      <w:r>
        <w:rPr>
          <w:rFonts w:cs="Times New Roman"/>
          <w:szCs w:val="24"/>
          <w:lang w:eastAsia="lt-LT" w:bidi="lt-LT"/>
        </w:rPr>
        <w:t>rudenį arba 2020 metų pradžioje.</w:t>
      </w:r>
    </w:p>
    <w:p w:rsidR="003B0320" w:rsidRPr="00C56D68" w:rsidRDefault="003B0320" w:rsidP="003B0320">
      <w:pPr>
        <w:spacing w:after="0" w:line="240" w:lineRule="auto"/>
        <w:jc w:val="both"/>
        <w:rPr>
          <w:rFonts w:cs="Times New Roman"/>
          <w:szCs w:val="24"/>
          <w:lang w:eastAsia="lt-LT" w:bidi="lt-LT"/>
        </w:rPr>
      </w:pPr>
      <w:r w:rsidRPr="00C56D68">
        <w:rPr>
          <w:rFonts w:cs="Times New Roman"/>
          <w:b/>
          <w:szCs w:val="24"/>
          <w:u w:val="single"/>
          <w:lang w:eastAsia="lt-LT" w:bidi="lt-LT"/>
        </w:rPr>
        <w:t>Lietuvos pozicija.</w:t>
      </w:r>
      <w:r w:rsidRPr="00C56D68">
        <w:rPr>
          <w:rFonts w:cs="Times New Roman"/>
          <w:szCs w:val="24"/>
          <w:lang w:eastAsia="lt-LT" w:bidi="lt-LT"/>
        </w:rPr>
        <w:t xml:space="preserve"> Pritariame vertinimo rezultatams</w:t>
      </w:r>
      <w:r>
        <w:rPr>
          <w:rFonts w:cs="Times New Roman"/>
          <w:szCs w:val="24"/>
          <w:lang w:eastAsia="lt-LT" w:bidi="lt-LT"/>
        </w:rPr>
        <w:t>.</w:t>
      </w:r>
    </w:p>
    <w:p w:rsidR="003B0320" w:rsidRDefault="003B0320" w:rsidP="003B0320">
      <w:pPr>
        <w:spacing w:after="0" w:line="240" w:lineRule="auto"/>
        <w:jc w:val="both"/>
        <w:rPr>
          <w:rFonts w:cs="Times New Roman"/>
          <w:szCs w:val="24"/>
          <w:lang w:eastAsia="lt-LT" w:bidi="lt-LT"/>
        </w:rPr>
      </w:pPr>
    </w:p>
    <w:p w:rsidR="003B0320" w:rsidRPr="003F12DD" w:rsidRDefault="003B0320" w:rsidP="003B0320">
      <w:pPr>
        <w:autoSpaceDE w:val="0"/>
        <w:autoSpaceDN w:val="0"/>
        <w:adjustRightInd w:val="0"/>
        <w:spacing w:after="0" w:line="240" w:lineRule="auto"/>
        <w:jc w:val="both"/>
        <w:rPr>
          <w:rFonts w:cs="Times New Roman"/>
          <w:b/>
          <w:szCs w:val="24"/>
        </w:rPr>
      </w:pPr>
    </w:p>
    <w:p w:rsidR="003B0320" w:rsidRPr="003F12DD" w:rsidRDefault="003B0320" w:rsidP="003B032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Cs/>
          <w:szCs w:val="24"/>
        </w:rPr>
      </w:pPr>
      <w:r w:rsidRPr="003F12DD">
        <w:rPr>
          <w:rFonts w:cs="Times New Roman"/>
          <w:b/>
          <w:szCs w:val="24"/>
        </w:rPr>
        <w:t>Naujo</w:t>
      </w:r>
      <w:r w:rsidR="00357088">
        <w:rPr>
          <w:rFonts w:eastAsia="Times New Roman" w:cs="Times New Roman"/>
          <w:b/>
          <w:szCs w:val="24"/>
        </w:rPr>
        <w:t xml:space="preserve"> </w:t>
      </w:r>
      <w:r w:rsidRPr="003F12DD">
        <w:rPr>
          <w:rFonts w:eastAsia="Times New Roman" w:cs="Times New Roman"/>
          <w:b/>
          <w:szCs w:val="24"/>
        </w:rPr>
        <w:t xml:space="preserve">Europos Centrinio </w:t>
      </w:r>
      <w:r>
        <w:rPr>
          <w:rFonts w:eastAsia="Times New Roman" w:cs="Times New Roman"/>
          <w:b/>
          <w:szCs w:val="24"/>
        </w:rPr>
        <w:t>B</w:t>
      </w:r>
      <w:r w:rsidRPr="003F12DD">
        <w:rPr>
          <w:rFonts w:eastAsia="Times New Roman" w:cs="Times New Roman"/>
          <w:b/>
          <w:szCs w:val="24"/>
        </w:rPr>
        <w:t xml:space="preserve">anko </w:t>
      </w:r>
      <w:r w:rsidRPr="003F12DD">
        <w:rPr>
          <w:rFonts w:cs="Times New Roman"/>
          <w:b/>
          <w:szCs w:val="24"/>
          <w:lang w:eastAsia="fr-BE"/>
        </w:rPr>
        <w:t xml:space="preserve">Vykdomosios valdybos nario skyrimo </w:t>
      </w:r>
      <w:r w:rsidRPr="003F12DD">
        <w:rPr>
          <w:rFonts w:eastAsia="Times New Roman" w:cs="Times New Roman"/>
          <w:b/>
          <w:szCs w:val="24"/>
        </w:rPr>
        <w:t>procedūra</w:t>
      </w:r>
    </w:p>
    <w:p w:rsidR="003B0320" w:rsidRDefault="003B0320" w:rsidP="003B0320">
      <w:pPr>
        <w:spacing w:after="0" w:line="240" w:lineRule="auto"/>
        <w:jc w:val="both"/>
        <w:rPr>
          <w:rFonts w:cs="Times New Roman"/>
          <w:b/>
          <w:szCs w:val="24"/>
          <w:u w:val="single"/>
          <w:lang w:eastAsia="lt-LT" w:bidi="lt-LT"/>
        </w:rPr>
      </w:pPr>
    </w:p>
    <w:p w:rsidR="003B0320" w:rsidRPr="00C56D68" w:rsidRDefault="003B0320" w:rsidP="003B0320">
      <w:pPr>
        <w:spacing w:after="0" w:line="240" w:lineRule="auto"/>
        <w:jc w:val="both"/>
        <w:rPr>
          <w:rFonts w:cs="Times New Roman"/>
          <w:szCs w:val="24"/>
          <w:lang w:eastAsia="lt-LT" w:bidi="lt-LT"/>
        </w:rPr>
      </w:pPr>
      <w:r w:rsidRPr="00C56D68">
        <w:rPr>
          <w:rFonts w:cs="Times New Roman"/>
          <w:b/>
          <w:szCs w:val="24"/>
          <w:u w:val="single"/>
          <w:lang w:eastAsia="lt-LT" w:bidi="lt-LT"/>
        </w:rPr>
        <w:t>Klausimo esmė.</w:t>
      </w:r>
      <w:r>
        <w:rPr>
          <w:rFonts w:cs="Times New Roman"/>
          <w:szCs w:val="24"/>
          <w:lang w:eastAsia="lt-LT" w:bidi="lt-LT"/>
        </w:rPr>
        <w:t xml:space="preserve"> </w:t>
      </w:r>
    </w:p>
    <w:p w:rsidR="003B0320" w:rsidRDefault="003B0320" w:rsidP="003B0320">
      <w:pPr>
        <w:spacing w:after="0" w:line="240" w:lineRule="auto"/>
        <w:jc w:val="both"/>
        <w:rPr>
          <w:rFonts w:cs="Times New Roman"/>
          <w:szCs w:val="24"/>
          <w:lang w:eastAsia="lt-LT" w:bidi="lt-LT"/>
        </w:rPr>
      </w:pPr>
      <w:r w:rsidRPr="003F12DD">
        <w:rPr>
          <w:rFonts w:cs="Times New Roman"/>
          <w:szCs w:val="24"/>
          <w:lang w:eastAsia="lt-LT" w:bidi="lt-LT"/>
        </w:rPr>
        <w:t xml:space="preserve">Š. m. gruodžio 31 d. baigiasi ECB Vykdomosios valdybos nario </w:t>
      </w:r>
      <w:proofErr w:type="spellStart"/>
      <w:r w:rsidRPr="003F12DD">
        <w:rPr>
          <w:rFonts w:cs="Times New Roman"/>
          <w:szCs w:val="24"/>
          <w:lang w:eastAsia="lt-LT" w:bidi="lt-LT"/>
        </w:rPr>
        <w:t>Benoit</w:t>
      </w:r>
      <w:proofErr w:type="spellEnd"/>
      <w:r w:rsidRPr="003F12DD">
        <w:rPr>
          <w:rFonts w:cs="Times New Roman"/>
          <w:szCs w:val="24"/>
          <w:lang w:eastAsia="lt-LT" w:bidi="lt-LT"/>
        </w:rPr>
        <w:t xml:space="preserve"> </w:t>
      </w:r>
      <w:proofErr w:type="spellStart"/>
      <w:r w:rsidRPr="003F12DD">
        <w:rPr>
          <w:rFonts w:cs="Times New Roman"/>
          <w:szCs w:val="24"/>
          <w:lang w:eastAsia="lt-LT" w:bidi="lt-LT"/>
        </w:rPr>
        <w:t>Coeuré</w:t>
      </w:r>
      <w:proofErr w:type="spellEnd"/>
      <w:r w:rsidRPr="003F12DD">
        <w:rPr>
          <w:rFonts w:cs="Times New Roman"/>
          <w:szCs w:val="24"/>
          <w:lang w:eastAsia="lt-LT" w:bidi="lt-LT"/>
        </w:rPr>
        <w:t xml:space="preserve"> kadencija.</w:t>
      </w:r>
      <w:r>
        <w:rPr>
          <w:rFonts w:cs="Times New Roman"/>
          <w:szCs w:val="24"/>
          <w:lang w:eastAsia="lt-LT" w:bidi="lt-LT"/>
        </w:rPr>
        <w:t xml:space="preserve"> </w:t>
      </w:r>
    </w:p>
    <w:p w:rsidR="003B0320" w:rsidRPr="003F12DD" w:rsidRDefault="003B0320" w:rsidP="003B0320">
      <w:pPr>
        <w:spacing w:after="0" w:line="240" w:lineRule="auto"/>
        <w:jc w:val="both"/>
        <w:rPr>
          <w:rFonts w:cs="Times New Roman"/>
          <w:szCs w:val="24"/>
          <w:lang w:eastAsia="lt-LT" w:bidi="lt-LT"/>
        </w:rPr>
      </w:pPr>
      <w:r w:rsidRPr="003F12DD">
        <w:rPr>
          <w:rFonts w:cs="Times New Roman"/>
          <w:szCs w:val="24"/>
          <w:lang w:eastAsia="lt-LT" w:bidi="lt-LT"/>
        </w:rPr>
        <w:t xml:space="preserve">Euro grupėje bus </w:t>
      </w:r>
      <w:r>
        <w:rPr>
          <w:rFonts w:cs="Times New Roman"/>
          <w:szCs w:val="24"/>
          <w:lang w:eastAsia="lt-LT" w:bidi="lt-LT"/>
        </w:rPr>
        <w:t>tęsiamos</w:t>
      </w:r>
      <w:r w:rsidRPr="003F12DD">
        <w:rPr>
          <w:rFonts w:cs="Times New Roman"/>
          <w:szCs w:val="24"/>
          <w:lang w:eastAsia="lt-LT" w:bidi="lt-LT"/>
        </w:rPr>
        <w:t xml:space="preserve"> ECB Vykdomosios valdybos nario atrankos procedūr</w:t>
      </w:r>
      <w:r>
        <w:rPr>
          <w:rFonts w:cs="Times New Roman"/>
          <w:szCs w:val="24"/>
          <w:lang w:eastAsia="lt-LT" w:bidi="lt-LT"/>
        </w:rPr>
        <w:t xml:space="preserve">os. Iki rugsėjo 25 d. </w:t>
      </w:r>
      <w:r w:rsidRPr="003F12DD">
        <w:rPr>
          <w:rFonts w:cs="Times New Roman"/>
          <w:szCs w:val="24"/>
          <w:lang w:eastAsia="lt-LT" w:bidi="lt-LT"/>
        </w:rPr>
        <w:t>valstybės n</w:t>
      </w:r>
      <w:r>
        <w:rPr>
          <w:rFonts w:cs="Times New Roman"/>
          <w:szCs w:val="24"/>
          <w:lang w:eastAsia="lt-LT" w:bidi="lt-LT"/>
        </w:rPr>
        <w:t xml:space="preserve">arės galėjo teikti kandidatūras. Pateikta tik viena – </w:t>
      </w:r>
      <w:proofErr w:type="spellStart"/>
      <w:r w:rsidRPr="0089695D">
        <w:rPr>
          <w:rFonts w:cs="Times New Roman"/>
          <w:szCs w:val="24"/>
          <w:lang w:eastAsia="lt-LT" w:bidi="lt-LT"/>
        </w:rPr>
        <w:t>Fabio</w:t>
      </w:r>
      <w:proofErr w:type="spellEnd"/>
      <w:r w:rsidRPr="0089695D">
        <w:rPr>
          <w:rFonts w:cs="Times New Roman"/>
          <w:szCs w:val="24"/>
          <w:lang w:eastAsia="lt-LT" w:bidi="lt-LT"/>
        </w:rPr>
        <w:t xml:space="preserve"> </w:t>
      </w:r>
      <w:proofErr w:type="spellStart"/>
      <w:r w:rsidRPr="0089695D">
        <w:rPr>
          <w:rFonts w:cs="Times New Roman"/>
          <w:szCs w:val="24"/>
          <w:lang w:eastAsia="lt-LT" w:bidi="lt-LT"/>
        </w:rPr>
        <w:t>Panetta</w:t>
      </w:r>
      <w:proofErr w:type="spellEnd"/>
      <w:r w:rsidRPr="0089695D">
        <w:rPr>
          <w:rFonts w:cs="Times New Roman"/>
          <w:szCs w:val="24"/>
          <w:lang w:eastAsia="lt-LT" w:bidi="lt-LT"/>
        </w:rPr>
        <w:t xml:space="preserve"> – Italijos centrinio banko pirmininko pavaduotoj</w:t>
      </w:r>
      <w:r>
        <w:rPr>
          <w:rFonts w:cs="Times New Roman"/>
          <w:szCs w:val="24"/>
          <w:lang w:eastAsia="lt-LT" w:bidi="lt-LT"/>
        </w:rPr>
        <w:t xml:space="preserve">o kandidatūra. </w:t>
      </w:r>
      <w:r w:rsidRPr="003F12DD">
        <w:rPr>
          <w:rFonts w:cs="Times New Roman"/>
          <w:szCs w:val="24"/>
          <w:lang w:eastAsia="lt-LT" w:bidi="lt-LT"/>
        </w:rPr>
        <w:t>Euro grupėje bus siekiama sutarimo dėl kandidato.</w:t>
      </w:r>
      <w:r>
        <w:rPr>
          <w:rFonts w:cs="Times New Roman"/>
          <w:szCs w:val="24"/>
          <w:lang w:eastAsia="lt-LT" w:bidi="lt-LT"/>
        </w:rPr>
        <w:t xml:space="preserve"> </w:t>
      </w:r>
      <w:r w:rsidRPr="003F12DD">
        <w:rPr>
          <w:rFonts w:cs="Times New Roman"/>
          <w:szCs w:val="24"/>
          <w:lang w:eastAsia="lt-LT" w:bidi="lt-LT"/>
        </w:rPr>
        <w:t xml:space="preserve">Pasiekus susitarimą </w:t>
      </w:r>
      <w:r>
        <w:rPr>
          <w:rFonts w:cs="Times New Roman"/>
          <w:szCs w:val="24"/>
          <w:lang w:eastAsia="lt-LT" w:bidi="lt-LT"/>
        </w:rPr>
        <w:t xml:space="preserve">ECOFIN vyktų balsavimas ir </w:t>
      </w:r>
      <w:r w:rsidRPr="003F12DD">
        <w:rPr>
          <w:rFonts w:cs="Times New Roman"/>
          <w:szCs w:val="24"/>
          <w:lang w:eastAsia="lt-LT" w:bidi="lt-LT"/>
        </w:rPr>
        <w:t>konsultacijos dėl pasirinkto kandidato</w:t>
      </w:r>
      <w:r>
        <w:rPr>
          <w:rFonts w:cs="Times New Roman"/>
          <w:szCs w:val="24"/>
          <w:lang w:eastAsia="lt-LT" w:bidi="lt-LT"/>
        </w:rPr>
        <w:t xml:space="preserve"> su Europos Parlamentu ir ECB. </w:t>
      </w:r>
      <w:r w:rsidRPr="003F12DD">
        <w:rPr>
          <w:rFonts w:cs="Times New Roman"/>
          <w:szCs w:val="24"/>
          <w:lang w:eastAsia="lt-LT" w:bidi="lt-LT"/>
        </w:rPr>
        <w:t>Galutinis sprendimas turėtų būti priimtas Europos Vadovų Taryboje.</w:t>
      </w:r>
    </w:p>
    <w:p w:rsidR="003B0320" w:rsidRDefault="003B0320" w:rsidP="003B0320">
      <w:pPr>
        <w:spacing w:after="0" w:line="240" w:lineRule="auto"/>
        <w:jc w:val="both"/>
        <w:rPr>
          <w:rFonts w:cs="Times New Roman"/>
          <w:szCs w:val="24"/>
          <w:lang w:eastAsia="lt-LT" w:bidi="lt-LT"/>
        </w:rPr>
      </w:pPr>
      <w:r w:rsidRPr="00C56D68">
        <w:rPr>
          <w:rFonts w:cs="Times New Roman"/>
          <w:b/>
          <w:szCs w:val="24"/>
          <w:u w:val="single"/>
          <w:lang w:eastAsia="lt-LT" w:bidi="lt-LT"/>
        </w:rPr>
        <w:lastRenderedPageBreak/>
        <w:t>Lietuvos pozicija.</w:t>
      </w:r>
      <w:r w:rsidRPr="00C56D68">
        <w:rPr>
          <w:rFonts w:cs="Times New Roman"/>
          <w:szCs w:val="24"/>
          <w:lang w:eastAsia="lt-LT" w:bidi="lt-LT"/>
        </w:rPr>
        <w:t xml:space="preserve"> </w:t>
      </w:r>
      <w:r>
        <w:rPr>
          <w:rFonts w:cs="Times New Roman"/>
          <w:szCs w:val="24"/>
          <w:lang w:eastAsia="lt-LT" w:bidi="lt-LT"/>
        </w:rPr>
        <w:t>Pritarti</w:t>
      </w:r>
      <w:r w:rsidRPr="003F12DD">
        <w:rPr>
          <w:rFonts w:cs="Times New Roman"/>
          <w:szCs w:val="24"/>
          <w:lang w:eastAsia="lt-LT" w:bidi="lt-LT"/>
        </w:rPr>
        <w:t xml:space="preserve"> </w:t>
      </w:r>
      <w:proofErr w:type="spellStart"/>
      <w:r w:rsidRPr="0089695D">
        <w:rPr>
          <w:rFonts w:cs="Times New Roman"/>
          <w:szCs w:val="24"/>
          <w:lang w:eastAsia="lt-LT" w:bidi="lt-LT"/>
        </w:rPr>
        <w:t>Fabio</w:t>
      </w:r>
      <w:proofErr w:type="spellEnd"/>
      <w:r w:rsidRPr="0089695D">
        <w:rPr>
          <w:rFonts w:cs="Times New Roman"/>
          <w:szCs w:val="24"/>
          <w:lang w:eastAsia="lt-LT" w:bidi="lt-LT"/>
        </w:rPr>
        <w:t xml:space="preserve"> </w:t>
      </w:r>
      <w:proofErr w:type="spellStart"/>
      <w:r w:rsidRPr="0089695D">
        <w:rPr>
          <w:rFonts w:cs="Times New Roman"/>
          <w:szCs w:val="24"/>
          <w:lang w:eastAsia="lt-LT" w:bidi="lt-LT"/>
        </w:rPr>
        <w:t>Panetta</w:t>
      </w:r>
      <w:proofErr w:type="spellEnd"/>
      <w:r w:rsidRPr="0089695D">
        <w:rPr>
          <w:rFonts w:cs="Times New Roman"/>
          <w:szCs w:val="24"/>
          <w:lang w:eastAsia="lt-LT" w:bidi="lt-LT"/>
        </w:rPr>
        <w:t xml:space="preserve"> </w:t>
      </w:r>
      <w:r>
        <w:rPr>
          <w:rFonts w:cs="Times New Roman"/>
          <w:szCs w:val="24"/>
          <w:lang w:eastAsia="lt-LT" w:bidi="lt-LT"/>
        </w:rPr>
        <w:t xml:space="preserve">kandidatūrai į </w:t>
      </w:r>
      <w:r w:rsidRPr="003F12DD">
        <w:rPr>
          <w:rFonts w:cs="Times New Roman"/>
          <w:szCs w:val="24"/>
          <w:lang w:eastAsia="lt-LT" w:bidi="lt-LT"/>
        </w:rPr>
        <w:t>Europos Centrinio banko Vykdomosios valdybos nario</w:t>
      </w:r>
      <w:r>
        <w:rPr>
          <w:rFonts w:cs="Times New Roman"/>
          <w:szCs w:val="24"/>
          <w:lang w:eastAsia="lt-LT" w:bidi="lt-LT"/>
        </w:rPr>
        <w:t xml:space="preserve"> poziciją</w:t>
      </w:r>
      <w:r w:rsidRPr="003F12DD">
        <w:rPr>
          <w:rFonts w:cs="Times New Roman"/>
          <w:szCs w:val="24"/>
          <w:lang w:eastAsia="lt-LT" w:bidi="lt-LT"/>
        </w:rPr>
        <w:t>.</w:t>
      </w:r>
    </w:p>
    <w:p w:rsidR="003B0320" w:rsidRDefault="003B0320" w:rsidP="003B0320">
      <w:pPr>
        <w:spacing w:after="0" w:line="240" w:lineRule="auto"/>
        <w:jc w:val="both"/>
        <w:rPr>
          <w:rFonts w:cs="Times New Roman"/>
          <w:szCs w:val="24"/>
          <w:lang w:eastAsia="lt-LT" w:bidi="lt-LT"/>
        </w:rPr>
      </w:pPr>
    </w:p>
    <w:p w:rsidR="003B0320" w:rsidRDefault="003B0320" w:rsidP="003B0320">
      <w:pPr>
        <w:spacing w:after="0" w:line="240" w:lineRule="auto"/>
        <w:jc w:val="both"/>
        <w:rPr>
          <w:rFonts w:cs="Times New Roman"/>
          <w:szCs w:val="24"/>
          <w:lang w:eastAsia="lt-LT" w:bidi="lt-LT"/>
        </w:rPr>
      </w:pPr>
    </w:p>
    <w:p w:rsidR="003B0320" w:rsidRPr="002F602E" w:rsidRDefault="003B0320" w:rsidP="003B0320">
      <w:pPr>
        <w:pBdr>
          <w:top w:val="single" w:sz="4" w:space="0"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Cs/>
          <w:szCs w:val="24"/>
        </w:rPr>
      </w:pPr>
      <w:r>
        <w:rPr>
          <w:rFonts w:cs="Times New Roman"/>
          <w:b/>
          <w:szCs w:val="24"/>
        </w:rPr>
        <w:t>B</w:t>
      </w:r>
      <w:r w:rsidRPr="000D3D14">
        <w:rPr>
          <w:rFonts w:cs="Times New Roman"/>
          <w:b/>
          <w:szCs w:val="24"/>
        </w:rPr>
        <w:t>iudžeto priemonė konvergencijai ir konkurencingumui Euro zonoje skatinti (BICC)</w:t>
      </w:r>
    </w:p>
    <w:p w:rsidR="003B0320" w:rsidRDefault="003B0320" w:rsidP="003B0320">
      <w:pPr>
        <w:spacing w:after="0" w:line="240" w:lineRule="auto"/>
        <w:jc w:val="both"/>
        <w:rPr>
          <w:rFonts w:cs="Times New Roman"/>
          <w:b/>
          <w:szCs w:val="24"/>
          <w:u w:val="single"/>
          <w:lang w:eastAsia="lt-LT" w:bidi="lt-LT"/>
        </w:rPr>
      </w:pPr>
    </w:p>
    <w:p w:rsidR="003B0320" w:rsidRPr="00964D0B" w:rsidRDefault="003B0320" w:rsidP="003B0320">
      <w:pPr>
        <w:spacing w:after="0" w:line="240" w:lineRule="auto"/>
        <w:jc w:val="both"/>
        <w:rPr>
          <w:rFonts w:cs="Times New Roman"/>
          <w:szCs w:val="24"/>
        </w:rPr>
      </w:pPr>
      <w:r w:rsidRPr="00964D0B">
        <w:rPr>
          <w:rFonts w:cs="Times New Roman"/>
          <w:b/>
          <w:szCs w:val="24"/>
          <w:u w:val="single"/>
          <w:lang w:eastAsia="lt-LT" w:bidi="lt-LT"/>
        </w:rPr>
        <w:t>Klausimo esmė.</w:t>
      </w:r>
      <w:r w:rsidRPr="00964D0B">
        <w:rPr>
          <w:rFonts w:cs="Times New Roman"/>
          <w:szCs w:val="24"/>
          <w:lang w:eastAsia="lt-LT" w:bidi="lt-LT"/>
        </w:rPr>
        <w:t xml:space="preserve"> </w:t>
      </w:r>
      <w:r w:rsidRPr="00964D0B">
        <w:rPr>
          <w:rFonts w:cs="Times New Roman"/>
          <w:szCs w:val="24"/>
        </w:rPr>
        <w:t>Euro grupės susitikimo metu vyks tolesnės diskusijos dėl Biudžeto priemonės konvergencijai ir konkurencingumui Euro zonoje skatinti (BICC) elementų. Spalio 9 d. posėdyje bus siekiama pasiekti galutinį sutarimą, kuris leistų klausimą įtraukti į Derybų paketą dėl kitos Daugiametės finansinės programos (DFP).</w:t>
      </w:r>
    </w:p>
    <w:p w:rsidR="003B0320" w:rsidRPr="00964D0B" w:rsidRDefault="003B0320" w:rsidP="003B0320">
      <w:pPr>
        <w:spacing w:after="0" w:line="240" w:lineRule="auto"/>
        <w:jc w:val="both"/>
        <w:rPr>
          <w:rFonts w:eastAsia="Cambria" w:cs="Times New Roman"/>
          <w:szCs w:val="24"/>
          <w:u w:val="single"/>
          <w:lang w:eastAsia="lt-LT"/>
        </w:rPr>
      </w:pPr>
      <w:r w:rsidRPr="00964D0B">
        <w:rPr>
          <w:rFonts w:eastAsia="Times New Roman" w:cs="Times New Roman"/>
          <w:szCs w:val="24"/>
          <w:lang w:eastAsia="lt-LT"/>
        </w:rPr>
        <w:t xml:space="preserve">Šiuo metu jau sutarta, kad </w:t>
      </w:r>
      <w:r w:rsidRPr="00964D0B">
        <w:rPr>
          <w:rFonts w:eastAsia="Cambria" w:cs="Times New Roman"/>
          <w:szCs w:val="24"/>
          <w:lang w:eastAsia="lt-LT"/>
        </w:rPr>
        <w:t xml:space="preserve">BICC finansuos struktūrines reformas ir susijusias investicijas, bus </w:t>
      </w:r>
      <w:r w:rsidRPr="00964D0B">
        <w:rPr>
          <w:rFonts w:eastAsia="Calibri" w:cs="Times New Roman"/>
          <w:szCs w:val="24"/>
          <w:lang w:eastAsia="lt-LT"/>
        </w:rPr>
        <w:t xml:space="preserve">glaudžiai susijęs su Europos semestru ir Tarybos rekomendacijomis Euro zonai, lėšos bus skiriamos dotacijų forma, bus privalomas nacionalinis bendrasis finansavimas. </w:t>
      </w:r>
      <w:r w:rsidRPr="00964D0B">
        <w:rPr>
          <w:rFonts w:eastAsia="Times New Roman" w:cs="Times New Roman"/>
          <w:szCs w:val="24"/>
          <w:lang w:eastAsia="lt-LT"/>
        </w:rPr>
        <w:t>Pagrindiniai likę neišspręsti klausimai – instrumento finansavimas ir lėšų paskirstymo raktas.</w:t>
      </w:r>
    </w:p>
    <w:p w:rsidR="003B0320" w:rsidRPr="00964D0B" w:rsidRDefault="003B0320" w:rsidP="003B0320">
      <w:pPr>
        <w:spacing w:after="0" w:line="240" w:lineRule="auto"/>
        <w:jc w:val="both"/>
        <w:rPr>
          <w:rFonts w:cs="Times New Roman"/>
          <w:szCs w:val="24"/>
          <w:lang w:eastAsia="lt-LT" w:bidi="lt-LT"/>
        </w:rPr>
      </w:pPr>
      <w:r w:rsidRPr="00964D0B">
        <w:rPr>
          <w:rFonts w:cs="Times New Roman"/>
          <w:b/>
          <w:szCs w:val="24"/>
          <w:u w:val="single"/>
          <w:lang w:eastAsia="lt-LT" w:bidi="lt-LT"/>
        </w:rPr>
        <w:t>Lietuvos pozicija.</w:t>
      </w:r>
      <w:r w:rsidRPr="00964D0B">
        <w:rPr>
          <w:rFonts w:cs="Times New Roman"/>
          <w:szCs w:val="24"/>
          <w:lang w:eastAsia="lt-LT" w:bidi="lt-LT"/>
        </w:rPr>
        <w:t xml:space="preserve"> </w:t>
      </w:r>
      <w:r w:rsidRPr="00964D0B">
        <w:rPr>
          <w:rFonts w:eastAsia="Calibri" w:cs="Times New Roman"/>
          <w:szCs w:val="24"/>
          <w:lang w:eastAsia="en-GB"/>
        </w:rPr>
        <w:t xml:space="preserve">Šią priemonę matome kaip integralią kitos ES DFP dalį. Ji turėtų būti finansuojama įprastais ES nuosavais ištekliais ir laikantis ES DFP viršutinės ribos. </w:t>
      </w:r>
      <w:r w:rsidRPr="00964D0B">
        <w:rPr>
          <w:rFonts w:ascii="Roboto" w:hAnsi="Roboto"/>
        </w:rPr>
        <w:t>Dėl finansavimo sprendimų mums svarbiausias klausimas, kad būtų užtikrinta, jog dalyvavimas tarpvyriausybiniame susitarime ir papildomi įnašai būtų savanoriško pobūdžio.</w:t>
      </w:r>
    </w:p>
    <w:p w:rsidR="003B0320" w:rsidRPr="00964D0B" w:rsidRDefault="003B0320" w:rsidP="003B0320">
      <w:pPr>
        <w:spacing w:after="0" w:line="240" w:lineRule="auto"/>
        <w:contextualSpacing/>
        <w:jc w:val="both"/>
        <w:rPr>
          <w:rFonts w:eastAsia="Times New Roman" w:cs="Times New Roman"/>
          <w:szCs w:val="24"/>
          <w:lang w:eastAsia="pl-PL"/>
        </w:rPr>
      </w:pPr>
      <w:r w:rsidRPr="00964D0B">
        <w:rPr>
          <w:szCs w:val="24"/>
        </w:rPr>
        <w:t>Pritariame glaudžiai naujo instrumento sąsajai su Europos semestru ir Tarybos rekomendacijomis euro zonai, kurios ateityje turėtų būti labiau orientuotos į iššūkius konkurencingumui ir konvergencijai.</w:t>
      </w:r>
    </w:p>
    <w:p w:rsidR="003B0320" w:rsidRPr="00964D0B" w:rsidRDefault="003B0320" w:rsidP="003B0320">
      <w:pPr>
        <w:spacing w:after="0" w:line="240" w:lineRule="auto"/>
        <w:contextualSpacing/>
        <w:jc w:val="both"/>
        <w:rPr>
          <w:szCs w:val="24"/>
        </w:rPr>
      </w:pPr>
      <w:r w:rsidRPr="00964D0B">
        <w:rPr>
          <w:szCs w:val="24"/>
        </w:rPr>
        <w:t>Nacionalinė reformų programa turėtų būti naudojama kaip naujo instrumento investicijų programavimo įrankis, jokie papildomi dokumentai neturėtų būti rengiami.</w:t>
      </w:r>
    </w:p>
    <w:p w:rsidR="003B0320" w:rsidRDefault="003B0320" w:rsidP="003B0320">
      <w:pPr>
        <w:spacing w:after="0" w:line="240" w:lineRule="auto"/>
        <w:jc w:val="both"/>
        <w:rPr>
          <w:rStyle w:val="tlid-translation"/>
          <w:rFonts w:ascii="Roboto" w:hAnsi="Roboto"/>
        </w:rPr>
      </w:pPr>
      <w:r w:rsidRPr="00964D0B">
        <w:rPr>
          <w:rFonts w:eastAsia="Calibri" w:cs="Times New Roman"/>
          <w:szCs w:val="24"/>
        </w:rPr>
        <w:t>Instrumento lėšos tarp valstybių narių turėtų būti skirstomos, remiantis konvergencijos ir konkurencingumo tikslą atspindinčiais kriterijais, didžiąją lėšų dalį skiriant mažiau išsivysčiusioms valstybėms.</w:t>
      </w:r>
    </w:p>
    <w:p w:rsidR="003B0320" w:rsidRDefault="003B0320" w:rsidP="003B0320">
      <w:pPr>
        <w:spacing w:after="0" w:line="240" w:lineRule="auto"/>
        <w:jc w:val="both"/>
        <w:rPr>
          <w:rStyle w:val="tlid-translation"/>
          <w:rFonts w:ascii="Roboto" w:hAnsi="Roboto"/>
        </w:rPr>
      </w:pPr>
    </w:p>
    <w:p w:rsidR="003B0320" w:rsidRPr="0082612A" w:rsidRDefault="003B0320" w:rsidP="003B0320">
      <w:pPr>
        <w:spacing w:after="0" w:line="240" w:lineRule="auto"/>
        <w:jc w:val="both"/>
        <w:rPr>
          <w:rFonts w:cs="Times New Roman"/>
          <w:szCs w:val="24"/>
          <w:lang w:eastAsia="lt-LT" w:bidi="lt-LT"/>
        </w:rPr>
      </w:pPr>
      <w:r>
        <w:rPr>
          <w:rFonts w:cs="Times New Roman"/>
          <w:szCs w:val="24"/>
          <w:lang w:eastAsia="lt-LT" w:bidi="lt-LT"/>
        </w:rPr>
        <w:t xml:space="preserve">Taip pat Euro grupėje bus aptarti klausimai, susiję </w:t>
      </w:r>
      <w:r w:rsidRPr="0082612A">
        <w:rPr>
          <w:rFonts w:cs="Times New Roman"/>
          <w:b/>
          <w:szCs w:val="24"/>
          <w:lang w:eastAsia="lt-LT" w:bidi="lt-LT"/>
        </w:rPr>
        <w:t xml:space="preserve">su </w:t>
      </w:r>
      <w:r w:rsidRPr="0082612A">
        <w:rPr>
          <w:rFonts w:cs="Times New Roman"/>
          <w:b/>
          <w:bCs/>
          <w:szCs w:val="24"/>
          <w:lang w:eastAsia="lt-LT" w:bidi="lt-LT"/>
        </w:rPr>
        <w:t>tarptautiniu euro stiprinimu</w:t>
      </w:r>
      <w:r>
        <w:rPr>
          <w:rFonts w:cs="Times New Roman"/>
          <w:bCs/>
          <w:szCs w:val="24"/>
          <w:lang w:eastAsia="lt-LT" w:bidi="lt-LT"/>
        </w:rPr>
        <w:t xml:space="preserve"> ir </w:t>
      </w:r>
      <w:r w:rsidRPr="0082612A">
        <w:rPr>
          <w:rFonts w:cs="Times New Roman"/>
          <w:b/>
          <w:bCs/>
          <w:szCs w:val="24"/>
          <w:lang w:eastAsia="lt-LT" w:bidi="lt-LT"/>
        </w:rPr>
        <w:t>Bankų sąjungos aspektais</w:t>
      </w:r>
      <w:r>
        <w:rPr>
          <w:rFonts w:cs="Times New Roman"/>
          <w:bCs/>
          <w:szCs w:val="24"/>
          <w:lang w:eastAsia="lt-LT" w:bidi="lt-LT"/>
        </w:rPr>
        <w:t xml:space="preserve">. </w:t>
      </w:r>
      <w:r w:rsidRPr="0082612A">
        <w:rPr>
          <w:rFonts w:cs="Times New Roman"/>
          <w:bCs/>
          <w:szCs w:val="24"/>
          <w:lang w:eastAsia="lt-LT" w:bidi="lt-LT"/>
        </w:rPr>
        <w:t xml:space="preserve"> </w:t>
      </w:r>
    </w:p>
    <w:p w:rsidR="003B0320" w:rsidRPr="006A70C2" w:rsidRDefault="003B0320" w:rsidP="003B0320">
      <w:pPr>
        <w:spacing w:after="0" w:line="240" w:lineRule="auto"/>
        <w:jc w:val="both"/>
        <w:rPr>
          <w:rFonts w:cs="Times New Roman"/>
          <w:szCs w:val="24"/>
          <w:lang w:eastAsia="lt-LT" w:bidi="lt-LT"/>
        </w:rPr>
      </w:pPr>
    </w:p>
    <w:p w:rsidR="00C55B38" w:rsidRPr="007652C2" w:rsidRDefault="00C55B38" w:rsidP="003B0320">
      <w:pPr>
        <w:spacing w:after="0" w:line="240" w:lineRule="auto"/>
        <w:jc w:val="center"/>
        <w:rPr>
          <w:rFonts w:cs="Times New Roman"/>
          <w:szCs w:val="24"/>
          <w:lang w:eastAsia="lt-LT" w:bidi="lt-LT"/>
        </w:rPr>
      </w:pPr>
    </w:p>
    <w:sectPr w:rsidR="00C55B38" w:rsidRPr="007652C2" w:rsidSect="00F725F9">
      <w:footerReference w:type="default" r:id="rId9"/>
      <w:pgSz w:w="11906" w:h="16838"/>
      <w:pgMar w:top="709" w:right="567" w:bottom="851"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1A3" w:rsidRDefault="007061A3" w:rsidP="00CA70EF">
      <w:pPr>
        <w:spacing w:after="0" w:line="240" w:lineRule="auto"/>
      </w:pPr>
      <w:r>
        <w:separator/>
      </w:r>
    </w:p>
  </w:endnote>
  <w:endnote w:type="continuationSeparator" w:id="0">
    <w:p w:rsidR="007061A3" w:rsidRDefault="007061A3" w:rsidP="00CA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 w:name="Robo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380986"/>
      <w:docPartObj>
        <w:docPartGallery w:val="Page Numbers (Bottom of Page)"/>
        <w:docPartUnique/>
      </w:docPartObj>
    </w:sdtPr>
    <w:sdtEndPr/>
    <w:sdtContent>
      <w:p w:rsidR="00315CA2" w:rsidRDefault="00315CA2">
        <w:pPr>
          <w:pStyle w:val="Porat"/>
          <w:jc w:val="right"/>
        </w:pPr>
        <w:r>
          <w:fldChar w:fldCharType="begin"/>
        </w:r>
        <w:r>
          <w:instrText>PAGE   \* MERGEFORMAT</w:instrText>
        </w:r>
        <w:r>
          <w:fldChar w:fldCharType="separate"/>
        </w:r>
        <w:r w:rsidR="00112FEC">
          <w:rPr>
            <w:noProof/>
          </w:rPr>
          <w:t>2</w:t>
        </w:r>
        <w:r>
          <w:fldChar w:fldCharType="end"/>
        </w:r>
      </w:p>
    </w:sdtContent>
  </w:sdt>
  <w:p w:rsidR="00315CA2" w:rsidRDefault="00315CA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1A3" w:rsidRDefault="007061A3" w:rsidP="00CA70EF">
      <w:pPr>
        <w:spacing w:after="0" w:line="240" w:lineRule="auto"/>
      </w:pPr>
      <w:r>
        <w:separator/>
      </w:r>
    </w:p>
  </w:footnote>
  <w:footnote w:type="continuationSeparator" w:id="0">
    <w:p w:rsidR="007061A3" w:rsidRDefault="007061A3" w:rsidP="00CA70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1380"/>
    <w:multiLevelType w:val="hybridMultilevel"/>
    <w:tmpl w:val="9E5010C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AA559C3"/>
    <w:multiLevelType w:val="hybridMultilevel"/>
    <w:tmpl w:val="57AE3466"/>
    <w:lvl w:ilvl="0" w:tplc="2829F52C">
      <w:start w:val="1"/>
      <w:numFmt w:val="bullet"/>
      <w:lvlText w:val="·"/>
      <w:lvlJc w:val="left"/>
      <w:pPr>
        <w:ind w:left="720" w:hanging="360"/>
      </w:pPr>
      <w:rPr>
        <w:rFonts w:ascii="Symbol" w:hAnsi="Symbol"/>
      </w:rPr>
    </w:lvl>
    <w:lvl w:ilvl="1" w:tplc="4947271A">
      <w:start w:val="1"/>
      <w:numFmt w:val="bullet"/>
      <w:lvlText w:val="o"/>
      <w:lvlJc w:val="left"/>
      <w:pPr>
        <w:ind w:left="1440" w:hanging="360"/>
      </w:pPr>
      <w:rPr>
        <w:rFonts w:ascii="Symbol" w:hAnsi="Symbol"/>
      </w:rPr>
    </w:lvl>
    <w:lvl w:ilvl="2" w:tplc="09C6FE9D">
      <w:start w:val="1"/>
      <w:numFmt w:val="bullet"/>
      <w:lvlText w:val="·"/>
      <w:lvlJc w:val="left"/>
      <w:pPr>
        <w:ind w:left="2160" w:hanging="360"/>
      </w:pPr>
      <w:rPr>
        <w:rFonts w:ascii="Symbol" w:hAnsi="Symbol"/>
      </w:rPr>
    </w:lvl>
    <w:lvl w:ilvl="3" w:tplc="5465D9FE">
      <w:start w:val="1"/>
      <w:numFmt w:val="bullet"/>
      <w:lvlText w:val="o"/>
      <w:lvlJc w:val="left"/>
      <w:pPr>
        <w:ind w:left="2880" w:hanging="360"/>
      </w:pPr>
      <w:rPr>
        <w:rFonts w:ascii="Symbol" w:hAnsi="Symbol"/>
      </w:rPr>
    </w:lvl>
    <w:lvl w:ilvl="4" w:tplc="0BF99CF2">
      <w:start w:val="1"/>
      <w:numFmt w:val="bullet"/>
      <w:lvlText w:val="·"/>
      <w:lvlJc w:val="left"/>
      <w:pPr>
        <w:ind w:left="3600" w:hanging="360"/>
      </w:pPr>
      <w:rPr>
        <w:rFonts w:ascii="Symbol" w:hAnsi="Symbol"/>
      </w:rPr>
    </w:lvl>
    <w:lvl w:ilvl="5" w:tplc="08B5CB76">
      <w:start w:val="1"/>
      <w:numFmt w:val="bullet"/>
      <w:lvlText w:val="o"/>
      <w:lvlJc w:val="left"/>
      <w:pPr>
        <w:ind w:left="4320" w:hanging="360"/>
      </w:pPr>
      <w:rPr>
        <w:rFonts w:ascii="Symbol" w:hAnsi="Symbol"/>
      </w:rPr>
    </w:lvl>
    <w:lvl w:ilvl="6" w:tplc="1AEDEFE3">
      <w:start w:val="1"/>
      <w:numFmt w:val="bullet"/>
      <w:lvlText w:val="·"/>
      <w:lvlJc w:val="left"/>
      <w:pPr>
        <w:ind w:left="5040" w:hanging="360"/>
      </w:pPr>
      <w:rPr>
        <w:rFonts w:ascii="Symbol" w:hAnsi="Symbol"/>
      </w:rPr>
    </w:lvl>
    <w:lvl w:ilvl="7" w:tplc="13B893EE">
      <w:start w:val="1"/>
      <w:numFmt w:val="bullet"/>
      <w:lvlText w:val="o"/>
      <w:lvlJc w:val="left"/>
      <w:pPr>
        <w:ind w:left="5760" w:hanging="360"/>
      </w:pPr>
      <w:rPr>
        <w:rFonts w:ascii="Symbol" w:hAnsi="Symbol"/>
      </w:rPr>
    </w:lvl>
    <w:lvl w:ilvl="8" w:tplc="72D96613">
      <w:start w:val="1"/>
      <w:numFmt w:val="bullet"/>
      <w:lvlText w:val="·"/>
      <w:lvlJc w:val="left"/>
      <w:pPr>
        <w:ind w:left="6480" w:hanging="360"/>
      </w:pPr>
      <w:rPr>
        <w:rFonts w:ascii="Symbol" w:hAnsi="Symbol"/>
      </w:rPr>
    </w:lvl>
  </w:abstractNum>
  <w:abstractNum w:abstractNumId="2">
    <w:nsid w:val="0B503EE9"/>
    <w:multiLevelType w:val="hybridMultilevel"/>
    <w:tmpl w:val="D17E4C16"/>
    <w:lvl w:ilvl="0" w:tplc="BACEF886">
      <w:start w:val="201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3ED14BE"/>
    <w:multiLevelType w:val="hybridMultilevel"/>
    <w:tmpl w:val="B2D4E3B4"/>
    <w:lvl w:ilvl="0" w:tplc="04270001">
      <w:start w:val="1"/>
      <w:numFmt w:val="bullet"/>
      <w:lvlText w:val=""/>
      <w:lvlJc w:val="left"/>
      <w:pPr>
        <w:ind w:left="1348" w:hanging="360"/>
      </w:pPr>
      <w:rPr>
        <w:rFonts w:ascii="Symbol" w:hAnsi="Symbol" w:hint="default"/>
      </w:rPr>
    </w:lvl>
    <w:lvl w:ilvl="1" w:tplc="04270003" w:tentative="1">
      <w:start w:val="1"/>
      <w:numFmt w:val="bullet"/>
      <w:lvlText w:val="o"/>
      <w:lvlJc w:val="left"/>
      <w:pPr>
        <w:ind w:left="2068" w:hanging="360"/>
      </w:pPr>
      <w:rPr>
        <w:rFonts w:ascii="Courier New" w:hAnsi="Courier New" w:cs="Courier New" w:hint="default"/>
      </w:rPr>
    </w:lvl>
    <w:lvl w:ilvl="2" w:tplc="04270005" w:tentative="1">
      <w:start w:val="1"/>
      <w:numFmt w:val="bullet"/>
      <w:lvlText w:val=""/>
      <w:lvlJc w:val="left"/>
      <w:pPr>
        <w:ind w:left="2788" w:hanging="360"/>
      </w:pPr>
      <w:rPr>
        <w:rFonts w:ascii="Wingdings" w:hAnsi="Wingdings" w:hint="default"/>
      </w:rPr>
    </w:lvl>
    <w:lvl w:ilvl="3" w:tplc="04270001" w:tentative="1">
      <w:start w:val="1"/>
      <w:numFmt w:val="bullet"/>
      <w:lvlText w:val=""/>
      <w:lvlJc w:val="left"/>
      <w:pPr>
        <w:ind w:left="3508" w:hanging="360"/>
      </w:pPr>
      <w:rPr>
        <w:rFonts w:ascii="Symbol" w:hAnsi="Symbol" w:hint="default"/>
      </w:rPr>
    </w:lvl>
    <w:lvl w:ilvl="4" w:tplc="04270003" w:tentative="1">
      <w:start w:val="1"/>
      <w:numFmt w:val="bullet"/>
      <w:lvlText w:val="o"/>
      <w:lvlJc w:val="left"/>
      <w:pPr>
        <w:ind w:left="4228" w:hanging="360"/>
      </w:pPr>
      <w:rPr>
        <w:rFonts w:ascii="Courier New" w:hAnsi="Courier New" w:cs="Courier New" w:hint="default"/>
      </w:rPr>
    </w:lvl>
    <w:lvl w:ilvl="5" w:tplc="04270005" w:tentative="1">
      <w:start w:val="1"/>
      <w:numFmt w:val="bullet"/>
      <w:lvlText w:val=""/>
      <w:lvlJc w:val="left"/>
      <w:pPr>
        <w:ind w:left="4948" w:hanging="360"/>
      </w:pPr>
      <w:rPr>
        <w:rFonts w:ascii="Wingdings" w:hAnsi="Wingdings" w:hint="default"/>
      </w:rPr>
    </w:lvl>
    <w:lvl w:ilvl="6" w:tplc="04270001" w:tentative="1">
      <w:start w:val="1"/>
      <w:numFmt w:val="bullet"/>
      <w:lvlText w:val=""/>
      <w:lvlJc w:val="left"/>
      <w:pPr>
        <w:ind w:left="5668" w:hanging="360"/>
      </w:pPr>
      <w:rPr>
        <w:rFonts w:ascii="Symbol" w:hAnsi="Symbol" w:hint="default"/>
      </w:rPr>
    </w:lvl>
    <w:lvl w:ilvl="7" w:tplc="04270003" w:tentative="1">
      <w:start w:val="1"/>
      <w:numFmt w:val="bullet"/>
      <w:lvlText w:val="o"/>
      <w:lvlJc w:val="left"/>
      <w:pPr>
        <w:ind w:left="6388" w:hanging="360"/>
      </w:pPr>
      <w:rPr>
        <w:rFonts w:ascii="Courier New" w:hAnsi="Courier New" w:cs="Courier New" w:hint="default"/>
      </w:rPr>
    </w:lvl>
    <w:lvl w:ilvl="8" w:tplc="04270005" w:tentative="1">
      <w:start w:val="1"/>
      <w:numFmt w:val="bullet"/>
      <w:lvlText w:val=""/>
      <w:lvlJc w:val="left"/>
      <w:pPr>
        <w:ind w:left="7108" w:hanging="360"/>
      </w:pPr>
      <w:rPr>
        <w:rFonts w:ascii="Wingdings" w:hAnsi="Wingdings" w:hint="default"/>
      </w:rPr>
    </w:lvl>
  </w:abstractNum>
  <w:abstractNum w:abstractNumId="4">
    <w:nsid w:val="1C506C05"/>
    <w:multiLevelType w:val="hybridMultilevel"/>
    <w:tmpl w:val="9AD44B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D31290C"/>
    <w:multiLevelType w:val="hybridMultilevel"/>
    <w:tmpl w:val="E356FD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22C45ED6"/>
    <w:multiLevelType w:val="hybridMultilevel"/>
    <w:tmpl w:val="F682754A"/>
    <w:lvl w:ilvl="0" w:tplc="F652337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5A622D3"/>
    <w:multiLevelType w:val="hybridMultilevel"/>
    <w:tmpl w:val="3AAA1F56"/>
    <w:lvl w:ilvl="0" w:tplc="1449C233">
      <w:start w:val="1"/>
      <w:numFmt w:val="decimal"/>
      <w:lvlText w:val="%1."/>
      <w:lvlJc w:val="left"/>
      <w:pPr>
        <w:ind w:left="720" w:hanging="360"/>
      </w:pPr>
    </w:lvl>
    <w:lvl w:ilvl="1" w:tplc="201BCE56">
      <w:start w:val="1"/>
      <w:numFmt w:val="decimal"/>
      <w:lvlText w:val="%2."/>
      <w:lvlJc w:val="left"/>
      <w:pPr>
        <w:ind w:left="1440" w:hanging="360"/>
      </w:pPr>
    </w:lvl>
    <w:lvl w:ilvl="2" w:tplc="2EEF7512">
      <w:start w:val="1"/>
      <w:numFmt w:val="decimal"/>
      <w:lvlText w:val="%3."/>
      <w:lvlJc w:val="left"/>
      <w:pPr>
        <w:ind w:left="2160" w:hanging="360"/>
      </w:pPr>
    </w:lvl>
    <w:lvl w:ilvl="3" w:tplc="5E90BB19">
      <w:start w:val="1"/>
      <w:numFmt w:val="decimal"/>
      <w:lvlText w:val="%4."/>
      <w:lvlJc w:val="left"/>
      <w:pPr>
        <w:ind w:left="2880" w:hanging="360"/>
      </w:pPr>
    </w:lvl>
    <w:lvl w:ilvl="4" w:tplc="64FE0EDE">
      <w:start w:val="1"/>
      <w:numFmt w:val="decimal"/>
      <w:lvlText w:val="%5."/>
      <w:lvlJc w:val="left"/>
      <w:pPr>
        <w:ind w:left="3600" w:hanging="360"/>
      </w:pPr>
    </w:lvl>
    <w:lvl w:ilvl="5" w:tplc="31F52462">
      <w:start w:val="1"/>
      <w:numFmt w:val="decimal"/>
      <w:lvlText w:val="%6."/>
      <w:lvlJc w:val="left"/>
      <w:pPr>
        <w:ind w:left="4320" w:hanging="360"/>
      </w:pPr>
    </w:lvl>
    <w:lvl w:ilvl="6" w:tplc="3D39A6BD">
      <w:start w:val="1"/>
      <w:numFmt w:val="decimal"/>
      <w:lvlText w:val="%7."/>
      <w:lvlJc w:val="left"/>
      <w:pPr>
        <w:ind w:left="5040" w:hanging="360"/>
      </w:pPr>
    </w:lvl>
    <w:lvl w:ilvl="7" w:tplc="6B999989">
      <w:start w:val="1"/>
      <w:numFmt w:val="decimal"/>
      <w:lvlText w:val="%8."/>
      <w:lvlJc w:val="left"/>
      <w:pPr>
        <w:ind w:left="5760" w:hanging="360"/>
      </w:pPr>
    </w:lvl>
    <w:lvl w:ilvl="8" w:tplc="3BF28F7F">
      <w:start w:val="1"/>
      <w:numFmt w:val="decimal"/>
      <w:lvlText w:val="%9."/>
      <w:lvlJc w:val="left"/>
      <w:pPr>
        <w:ind w:left="6480" w:hanging="360"/>
      </w:pPr>
    </w:lvl>
  </w:abstractNum>
  <w:abstractNum w:abstractNumId="8">
    <w:nsid w:val="2B627934"/>
    <w:multiLevelType w:val="hybridMultilevel"/>
    <w:tmpl w:val="517EB500"/>
    <w:lvl w:ilvl="0" w:tplc="D0EA1CD4">
      <w:start w:val="20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CEE715F"/>
    <w:multiLevelType w:val="hybridMultilevel"/>
    <w:tmpl w:val="5D864A92"/>
    <w:lvl w:ilvl="0" w:tplc="C870150A">
      <w:start w:val="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nsid w:val="2DA678C9"/>
    <w:multiLevelType w:val="hybridMultilevel"/>
    <w:tmpl w:val="613CA340"/>
    <w:lvl w:ilvl="0" w:tplc="FA427EDC">
      <w:start w:val="2018"/>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1">
    <w:nsid w:val="313203A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A004807"/>
    <w:multiLevelType w:val="hybridMultilevel"/>
    <w:tmpl w:val="EBAE15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44873C22"/>
    <w:multiLevelType w:val="hybridMultilevel"/>
    <w:tmpl w:val="55947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449F4654"/>
    <w:multiLevelType w:val="hybridMultilevel"/>
    <w:tmpl w:val="7E7CE998"/>
    <w:lvl w:ilvl="0" w:tplc="095ED1D6">
      <w:numFmt w:val="bullet"/>
      <w:lvlText w:val="-"/>
      <w:lvlJc w:val="left"/>
      <w:pPr>
        <w:ind w:left="720" w:hanging="360"/>
      </w:pPr>
      <w:rPr>
        <w:rFonts w:ascii="Times New Roman" w:eastAsia="Calibri"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492C6E4C"/>
    <w:multiLevelType w:val="multilevel"/>
    <w:tmpl w:val="60DC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E33E80"/>
    <w:multiLevelType w:val="hybridMultilevel"/>
    <w:tmpl w:val="4D9E0D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6FBC582B"/>
    <w:multiLevelType w:val="hybridMultilevel"/>
    <w:tmpl w:val="6150BF5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7480108E"/>
    <w:multiLevelType w:val="hybridMultilevel"/>
    <w:tmpl w:val="8A06A9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775A0811"/>
    <w:multiLevelType w:val="hybridMultilevel"/>
    <w:tmpl w:val="6FCEC354"/>
    <w:lvl w:ilvl="0" w:tplc="88CA432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77C45967"/>
    <w:multiLevelType w:val="hybridMultilevel"/>
    <w:tmpl w:val="3606E6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790723C6"/>
    <w:multiLevelType w:val="hybridMultilevel"/>
    <w:tmpl w:val="5D48E94E"/>
    <w:lvl w:ilvl="0" w:tplc="3FF04744">
      <w:start w:val="1"/>
      <w:numFmt w:val="bullet"/>
      <w:lvlText w:val="·"/>
      <w:lvlJc w:val="left"/>
      <w:pPr>
        <w:ind w:left="720" w:hanging="360"/>
      </w:pPr>
      <w:rPr>
        <w:rFonts w:ascii="Symbol" w:hAnsi="Symbol"/>
      </w:rPr>
    </w:lvl>
    <w:lvl w:ilvl="1" w:tplc="6FDA30BD">
      <w:start w:val="1"/>
      <w:numFmt w:val="bullet"/>
      <w:lvlText w:val="o"/>
      <w:lvlJc w:val="left"/>
      <w:pPr>
        <w:ind w:left="1440" w:hanging="360"/>
      </w:pPr>
      <w:rPr>
        <w:rFonts w:ascii="Symbol" w:hAnsi="Symbol"/>
      </w:rPr>
    </w:lvl>
    <w:lvl w:ilvl="2" w:tplc="2B2776A4">
      <w:start w:val="1"/>
      <w:numFmt w:val="bullet"/>
      <w:lvlText w:val="·"/>
      <w:lvlJc w:val="left"/>
      <w:pPr>
        <w:ind w:left="2160" w:hanging="360"/>
      </w:pPr>
      <w:rPr>
        <w:rFonts w:ascii="Symbol" w:hAnsi="Symbol"/>
      </w:rPr>
    </w:lvl>
    <w:lvl w:ilvl="3" w:tplc="11404CA8">
      <w:start w:val="1"/>
      <w:numFmt w:val="bullet"/>
      <w:lvlText w:val="o"/>
      <w:lvlJc w:val="left"/>
      <w:pPr>
        <w:ind w:left="2880" w:hanging="360"/>
      </w:pPr>
      <w:rPr>
        <w:rFonts w:ascii="Symbol" w:hAnsi="Symbol"/>
      </w:rPr>
    </w:lvl>
    <w:lvl w:ilvl="4" w:tplc="7F570474">
      <w:start w:val="1"/>
      <w:numFmt w:val="bullet"/>
      <w:lvlText w:val="·"/>
      <w:lvlJc w:val="left"/>
      <w:pPr>
        <w:ind w:left="3600" w:hanging="360"/>
      </w:pPr>
      <w:rPr>
        <w:rFonts w:ascii="Symbol" w:hAnsi="Symbol"/>
      </w:rPr>
    </w:lvl>
    <w:lvl w:ilvl="5" w:tplc="6E429DED">
      <w:start w:val="1"/>
      <w:numFmt w:val="bullet"/>
      <w:lvlText w:val="o"/>
      <w:lvlJc w:val="left"/>
      <w:pPr>
        <w:ind w:left="4320" w:hanging="360"/>
      </w:pPr>
      <w:rPr>
        <w:rFonts w:ascii="Symbol" w:hAnsi="Symbol"/>
      </w:rPr>
    </w:lvl>
    <w:lvl w:ilvl="6" w:tplc="6EF8EC77">
      <w:start w:val="1"/>
      <w:numFmt w:val="bullet"/>
      <w:lvlText w:val="·"/>
      <w:lvlJc w:val="left"/>
      <w:pPr>
        <w:ind w:left="5040" w:hanging="360"/>
      </w:pPr>
      <w:rPr>
        <w:rFonts w:ascii="Symbol" w:hAnsi="Symbol"/>
      </w:rPr>
    </w:lvl>
    <w:lvl w:ilvl="7" w:tplc="4F1836BF">
      <w:start w:val="1"/>
      <w:numFmt w:val="bullet"/>
      <w:lvlText w:val="o"/>
      <w:lvlJc w:val="left"/>
      <w:pPr>
        <w:ind w:left="5760" w:hanging="360"/>
      </w:pPr>
      <w:rPr>
        <w:rFonts w:ascii="Symbol" w:hAnsi="Symbol"/>
      </w:rPr>
    </w:lvl>
    <w:lvl w:ilvl="8" w:tplc="767960D6">
      <w:start w:val="1"/>
      <w:numFmt w:val="bullet"/>
      <w:lvlText w:val="·"/>
      <w:lvlJc w:val="left"/>
      <w:pPr>
        <w:ind w:left="6480" w:hanging="360"/>
      </w:pPr>
      <w:rPr>
        <w:rFonts w:ascii="Symbol" w:hAnsi="Symbol"/>
      </w:rPr>
    </w:lvl>
  </w:abstractNum>
  <w:abstractNum w:abstractNumId="22">
    <w:nsid w:val="7AD5018E"/>
    <w:multiLevelType w:val="hybridMultilevel"/>
    <w:tmpl w:val="9A12516A"/>
    <w:lvl w:ilvl="0" w:tplc="C6D8E60A">
      <w:start w:val="1"/>
      <w:numFmt w:val="bullet"/>
      <w:lvlText w:val="-"/>
      <w:lvlJc w:val="left"/>
      <w:pPr>
        <w:ind w:left="218" w:hanging="360"/>
      </w:pPr>
      <w:rPr>
        <w:rFonts w:ascii="Times New Roman" w:eastAsiaTheme="minorHAnsi" w:hAnsi="Times New Roman" w:cs="Times New Roman" w:hint="default"/>
      </w:rPr>
    </w:lvl>
    <w:lvl w:ilvl="1" w:tplc="04270003" w:tentative="1">
      <w:start w:val="1"/>
      <w:numFmt w:val="bullet"/>
      <w:lvlText w:val="o"/>
      <w:lvlJc w:val="left"/>
      <w:pPr>
        <w:ind w:left="938" w:hanging="360"/>
      </w:pPr>
      <w:rPr>
        <w:rFonts w:ascii="Courier New" w:hAnsi="Courier New" w:cs="Courier New" w:hint="default"/>
      </w:rPr>
    </w:lvl>
    <w:lvl w:ilvl="2" w:tplc="04270005" w:tentative="1">
      <w:start w:val="1"/>
      <w:numFmt w:val="bullet"/>
      <w:lvlText w:val=""/>
      <w:lvlJc w:val="left"/>
      <w:pPr>
        <w:ind w:left="1658" w:hanging="360"/>
      </w:pPr>
      <w:rPr>
        <w:rFonts w:ascii="Wingdings" w:hAnsi="Wingdings" w:hint="default"/>
      </w:rPr>
    </w:lvl>
    <w:lvl w:ilvl="3" w:tplc="04270001" w:tentative="1">
      <w:start w:val="1"/>
      <w:numFmt w:val="bullet"/>
      <w:lvlText w:val=""/>
      <w:lvlJc w:val="left"/>
      <w:pPr>
        <w:ind w:left="2378" w:hanging="360"/>
      </w:pPr>
      <w:rPr>
        <w:rFonts w:ascii="Symbol" w:hAnsi="Symbol" w:hint="default"/>
      </w:rPr>
    </w:lvl>
    <w:lvl w:ilvl="4" w:tplc="04270003" w:tentative="1">
      <w:start w:val="1"/>
      <w:numFmt w:val="bullet"/>
      <w:lvlText w:val="o"/>
      <w:lvlJc w:val="left"/>
      <w:pPr>
        <w:ind w:left="3098" w:hanging="360"/>
      </w:pPr>
      <w:rPr>
        <w:rFonts w:ascii="Courier New" w:hAnsi="Courier New" w:cs="Courier New" w:hint="default"/>
      </w:rPr>
    </w:lvl>
    <w:lvl w:ilvl="5" w:tplc="04270005" w:tentative="1">
      <w:start w:val="1"/>
      <w:numFmt w:val="bullet"/>
      <w:lvlText w:val=""/>
      <w:lvlJc w:val="left"/>
      <w:pPr>
        <w:ind w:left="3818" w:hanging="360"/>
      </w:pPr>
      <w:rPr>
        <w:rFonts w:ascii="Wingdings" w:hAnsi="Wingdings" w:hint="default"/>
      </w:rPr>
    </w:lvl>
    <w:lvl w:ilvl="6" w:tplc="04270001" w:tentative="1">
      <w:start w:val="1"/>
      <w:numFmt w:val="bullet"/>
      <w:lvlText w:val=""/>
      <w:lvlJc w:val="left"/>
      <w:pPr>
        <w:ind w:left="4538" w:hanging="360"/>
      </w:pPr>
      <w:rPr>
        <w:rFonts w:ascii="Symbol" w:hAnsi="Symbol" w:hint="default"/>
      </w:rPr>
    </w:lvl>
    <w:lvl w:ilvl="7" w:tplc="04270003" w:tentative="1">
      <w:start w:val="1"/>
      <w:numFmt w:val="bullet"/>
      <w:lvlText w:val="o"/>
      <w:lvlJc w:val="left"/>
      <w:pPr>
        <w:ind w:left="5258" w:hanging="360"/>
      </w:pPr>
      <w:rPr>
        <w:rFonts w:ascii="Courier New" w:hAnsi="Courier New" w:cs="Courier New" w:hint="default"/>
      </w:rPr>
    </w:lvl>
    <w:lvl w:ilvl="8" w:tplc="04270005" w:tentative="1">
      <w:start w:val="1"/>
      <w:numFmt w:val="bullet"/>
      <w:lvlText w:val=""/>
      <w:lvlJc w:val="left"/>
      <w:pPr>
        <w:ind w:left="5978" w:hanging="360"/>
      </w:pPr>
      <w:rPr>
        <w:rFonts w:ascii="Wingdings" w:hAnsi="Wingdings" w:hint="default"/>
      </w:rPr>
    </w:lvl>
  </w:abstractNum>
  <w:num w:numId="1">
    <w:abstractNumId w:val="6"/>
  </w:num>
  <w:num w:numId="2">
    <w:abstractNumId w:val="21"/>
  </w:num>
  <w:num w:numId="3">
    <w:abstractNumId w:val="1"/>
  </w:num>
  <w:num w:numId="4">
    <w:abstractNumId w:val="15"/>
  </w:num>
  <w:num w:numId="5">
    <w:abstractNumId w:val="18"/>
  </w:num>
  <w:num w:numId="6">
    <w:abstractNumId w:val="7"/>
  </w:num>
  <w:num w:numId="7">
    <w:abstractNumId w:val="12"/>
  </w:num>
  <w:num w:numId="8">
    <w:abstractNumId w:val="14"/>
  </w:num>
  <w:num w:numId="9">
    <w:abstractNumId w:val="19"/>
  </w:num>
  <w:num w:numId="10">
    <w:abstractNumId w:val="5"/>
  </w:num>
  <w:num w:numId="11">
    <w:abstractNumId w:val="9"/>
  </w:num>
  <w:num w:numId="12">
    <w:abstractNumId w:val="0"/>
  </w:num>
  <w:num w:numId="13">
    <w:abstractNumId w:val="13"/>
  </w:num>
  <w:num w:numId="14">
    <w:abstractNumId w:val="2"/>
  </w:num>
  <w:num w:numId="15">
    <w:abstractNumId w:val="16"/>
  </w:num>
  <w:num w:numId="16">
    <w:abstractNumId w:val="4"/>
  </w:num>
  <w:num w:numId="17">
    <w:abstractNumId w:val="10"/>
  </w:num>
  <w:num w:numId="18">
    <w:abstractNumId w:val="11"/>
  </w:num>
  <w:num w:numId="19">
    <w:abstractNumId w:val="17"/>
  </w:num>
  <w:num w:numId="20">
    <w:abstractNumId w:val="20"/>
  </w:num>
  <w:num w:numId="21">
    <w:abstractNumId w:val="8"/>
  </w:num>
  <w:num w:numId="22">
    <w:abstractNumId w:val="3"/>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740"/>
    <w:rsid w:val="00036C9B"/>
    <w:rsid w:val="000463FC"/>
    <w:rsid w:val="000568E5"/>
    <w:rsid w:val="00063D6F"/>
    <w:rsid w:val="0008168D"/>
    <w:rsid w:val="000A6246"/>
    <w:rsid w:val="000D2193"/>
    <w:rsid w:val="000E0FF2"/>
    <w:rsid w:val="000F4E61"/>
    <w:rsid w:val="0010259B"/>
    <w:rsid w:val="00111005"/>
    <w:rsid w:val="00112FEC"/>
    <w:rsid w:val="00114A4B"/>
    <w:rsid w:val="001205F2"/>
    <w:rsid w:val="00120D14"/>
    <w:rsid w:val="001517F4"/>
    <w:rsid w:val="001658BC"/>
    <w:rsid w:val="00166524"/>
    <w:rsid w:val="00173C4E"/>
    <w:rsid w:val="00174CBD"/>
    <w:rsid w:val="00182EC2"/>
    <w:rsid w:val="00196D2C"/>
    <w:rsid w:val="001B180A"/>
    <w:rsid w:val="002404FC"/>
    <w:rsid w:val="0024632F"/>
    <w:rsid w:val="00251724"/>
    <w:rsid w:val="00254E26"/>
    <w:rsid w:val="002572F3"/>
    <w:rsid w:val="00267738"/>
    <w:rsid w:val="00283951"/>
    <w:rsid w:val="002879EE"/>
    <w:rsid w:val="002907CC"/>
    <w:rsid w:val="0029554C"/>
    <w:rsid w:val="00297D77"/>
    <w:rsid w:val="002F5336"/>
    <w:rsid w:val="002F602E"/>
    <w:rsid w:val="00315CA2"/>
    <w:rsid w:val="00323F70"/>
    <w:rsid w:val="003316EF"/>
    <w:rsid w:val="00341355"/>
    <w:rsid w:val="00343558"/>
    <w:rsid w:val="00351711"/>
    <w:rsid w:val="00357088"/>
    <w:rsid w:val="00364BD5"/>
    <w:rsid w:val="00375E81"/>
    <w:rsid w:val="00380CB2"/>
    <w:rsid w:val="00382E88"/>
    <w:rsid w:val="003A4523"/>
    <w:rsid w:val="003B0320"/>
    <w:rsid w:val="003B7DA9"/>
    <w:rsid w:val="003F5087"/>
    <w:rsid w:val="00400088"/>
    <w:rsid w:val="00420E11"/>
    <w:rsid w:val="00421F54"/>
    <w:rsid w:val="004952B0"/>
    <w:rsid w:val="004E56FE"/>
    <w:rsid w:val="004F0024"/>
    <w:rsid w:val="00523C46"/>
    <w:rsid w:val="00546EBA"/>
    <w:rsid w:val="00561308"/>
    <w:rsid w:val="00563C6C"/>
    <w:rsid w:val="00590243"/>
    <w:rsid w:val="005B54DC"/>
    <w:rsid w:val="005C1381"/>
    <w:rsid w:val="005C3976"/>
    <w:rsid w:val="005C44E5"/>
    <w:rsid w:val="005C6384"/>
    <w:rsid w:val="005D6A77"/>
    <w:rsid w:val="005F6ADD"/>
    <w:rsid w:val="00613C5B"/>
    <w:rsid w:val="00634DF1"/>
    <w:rsid w:val="00646CDD"/>
    <w:rsid w:val="0064710E"/>
    <w:rsid w:val="006662BC"/>
    <w:rsid w:val="00676CED"/>
    <w:rsid w:val="00687257"/>
    <w:rsid w:val="00696329"/>
    <w:rsid w:val="006A5604"/>
    <w:rsid w:val="006B0A30"/>
    <w:rsid w:val="006D0DD1"/>
    <w:rsid w:val="007061A3"/>
    <w:rsid w:val="007168A7"/>
    <w:rsid w:val="00725FE5"/>
    <w:rsid w:val="007424A4"/>
    <w:rsid w:val="00744CC1"/>
    <w:rsid w:val="007652C2"/>
    <w:rsid w:val="007668C2"/>
    <w:rsid w:val="007B5B45"/>
    <w:rsid w:val="007B5FE5"/>
    <w:rsid w:val="007C034B"/>
    <w:rsid w:val="007D319A"/>
    <w:rsid w:val="007D405D"/>
    <w:rsid w:val="007E1F06"/>
    <w:rsid w:val="00815894"/>
    <w:rsid w:val="00827E85"/>
    <w:rsid w:val="00841E83"/>
    <w:rsid w:val="0084520E"/>
    <w:rsid w:val="008618AA"/>
    <w:rsid w:val="00861D50"/>
    <w:rsid w:val="00863C8A"/>
    <w:rsid w:val="00886F69"/>
    <w:rsid w:val="008C3792"/>
    <w:rsid w:val="008F18CC"/>
    <w:rsid w:val="008F7763"/>
    <w:rsid w:val="009038E8"/>
    <w:rsid w:val="0093518F"/>
    <w:rsid w:val="00960522"/>
    <w:rsid w:val="00967F62"/>
    <w:rsid w:val="009C7F6C"/>
    <w:rsid w:val="009D4DFA"/>
    <w:rsid w:val="00A442E5"/>
    <w:rsid w:val="00A47A9A"/>
    <w:rsid w:val="00A51160"/>
    <w:rsid w:val="00A7013E"/>
    <w:rsid w:val="00A75D59"/>
    <w:rsid w:val="00A819D2"/>
    <w:rsid w:val="00A95557"/>
    <w:rsid w:val="00AF438B"/>
    <w:rsid w:val="00B249C7"/>
    <w:rsid w:val="00B57322"/>
    <w:rsid w:val="00B577B4"/>
    <w:rsid w:val="00B720FA"/>
    <w:rsid w:val="00B77813"/>
    <w:rsid w:val="00B87ADC"/>
    <w:rsid w:val="00BD76AA"/>
    <w:rsid w:val="00BE0F68"/>
    <w:rsid w:val="00BE2E6B"/>
    <w:rsid w:val="00BF0B01"/>
    <w:rsid w:val="00C01740"/>
    <w:rsid w:val="00C05BBA"/>
    <w:rsid w:val="00C317EA"/>
    <w:rsid w:val="00C55B38"/>
    <w:rsid w:val="00C57A83"/>
    <w:rsid w:val="00C8168C"/>
    <w:rsid w:val="00C81C48"/>
    <w:rsid w:val="00CA70EF"/>
    <w:rsid w:val="00CC76C0"/>
    <w:rsid w:val="00CD1D3B"/>
    <w:rsid w:val="00CD3C8A"/>
    <w:rsid w:val="00CE1BB0"/>
    <w:rsid w:val="00CE2FE8"/>
    <w:rsid w:val="00D05CC5"/>
    <w:rsid w:val="00D108B2"/>
    <w:rsid w:val="00D609E6"/>
    <w:rsid w:val="00D63FE8"/>
    <w:rsid w:val="00D876C0"/>
    <w:rsid w:val="00D93099"/>
    <w:rsid w:val="00DA485E"/>
    <w:rsid w:val="00DA5388"/>
    <w:rsid w:val="00DA765A"/>
    <w:rsid w:val="00DB34D7"/>
    <w:rsid w:val="00DD0818"/>
    <w:rsid w:val="00DD0A51"/>
    <w:rsid w:val="00DD1D02"/>
    <w:rsid w:val="00DD2365"/>
    <w:rsid w:val="00DD26BC"/>
    <w:rsid w:val="00DD2CB1"/>
    <w:rsid w:val="00E45973"/>
    <w:rsid w:val="00EB073D"/>
    <w:rsid w:val="00EB5451"/>
    <w:rsid w:val="00EE7170"/>
    <w:rsid w:val="00F1175E"/>
    <w:rsid w:val="00F125D8"/>
    <w:rsid w:val="00F14480"/>
    <w:rsid w:val="00F725F9"/>
    <w:rsid w:val="00F80FD8"/>
    <w:rsid w:val="00F90228"/>
    <w:rsid w:val="00F92876"/>
    <w:rsid w:val="00F96563"/>
    <w:rsid w:val="00FB6F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86F69"/>
    <w:rPr>
      <w:rFonts w:ascii="Times New Roman" w:hAnsi="Times New Roman"/>
      <w:sz w:val="24"/>
    </w:rPr>
  </w:style>
  <w:style w:type="paragraph" w:styleId="Antrat1">
    <w:name w:val="heading 1"/>
    <w:basedOn w:val="prastasis"/>
    <w:link w:val="Antrat1Diagrama"/>
    <w:uiPriority w:val="9"/>
    <w:qFormat/>
    <w:rsid w:val="00C05BBA"/>
    <w:pPr>
      <w:spacing w:before="100" w:beforeAutospacing="1" w:after="100" w:afterAutospacing="1" w:line="240" w:lineRule="auto"/>
      <w:outlineLvl w:val="0"/>
    </w:pPr>
    <w:rPr>
      <w:rFonts w:eastAsia="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01740"/>
    <w:rPr>
      <w:color w:val="0000FF" w:themeColor="hyperlink"/>
      <w:u w:val="single"/>
    </w:rPr>
  </w:style>
  <w:style w:type="paragraph" w:customStyle="1" w:styleId="tekstas">
    <w:name w:val="tekstas"/>
    <w:basedOn w:val="prastasis"/>
    <w:rsid w:val="00546EBA"/>
    <w:pPr>
      <w:spacing w:after="0" w:line="240" w:lineRule="auto"/>
      <w:ind w:firstLine="1298"/>
    </w:pPr>
    <w:rPr>
      <w:rFonts w:eastAsia="Times New Roman" w:cs="Times New Roman"/>
      <w:szCs w:val="20"/>
    </w:rPr>
  </w:style>
  <w:style w:type="character" w:styleId="Komentaronuoroda">
    <w:name w:val="annotation reference"/>
    <w:basedOn w:val="Numatytasispastraiposriftas"/>
    <w:uiPriority w:val="99"/>
    <w:semiHidden/>
    <w:unhideWhenUsed/>
    <w:rsid w:val="00CE2FE8"/>
    <w:rPr>
      <w:sz w:val="16"/>
      <w:szCs w:val="16"/>
    </w:rPr>
  </w:style>
  <w:style w:type="paragraph" w:styleId="Komentarotekstas">
    <w:name w:val="annotation text"/>
    <w:basedOn w:val="prastasis"/>
    <w:link w:val="KomentarotekstasDiagrama"/>
    <w:uiPriority w:val="99"/>
    <w:semiHidden/>
    <w:unhideWhenUsed/>
    <w:rsid w:val="00CE2F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E2FE8"/>
    <w:rPr>
      <w:rFonts w:ascii="Times New Roman" w:hAnsi="Times New Roman"/>
      <w:sz w:val="20"/>
      <w:szCs w:val="20"/>
    </w:rPr>
  </w:style>
  <w:style w:type="paragraph" w:styleId="Debesliotekstas">
    <w:name w:val="Balloon Text"/>
    <w:basedOn w:val="prastasis"/>
    <w:link w:val="DebesliotekstasDiagrama"/>
    <w:uiPriority w:val="99"/>
    <w:semiHidden/>
    <w:unhideWhenUsed/>
    <w:rsid w:val="00CE2FE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2FE8"/>
    <w:rPr>
      <w:rFonts w:ascii="Tahoma" w:hAnsi="Tahoma" w:cs="Tahoma"/>
      <w:sz w:val="16"/>
      <w:szCs w:val="16"/>
    </w:rPr>
  </w:style>
  <w:style w:type="paragraph" w:styleId="Dokumentoinaostekstas">
    <w:name w:val="endnote text"/>
    <w:basedOn w:val="prastasis"/>
    <w:link w:val="DokumentoinaostekstasDiagrama"/>
    <w:uiPriority w:val="99"/>
    <w:semiHidden/>
    <w:unhideWhenUsed/>
    <w:rsid w:val="00CA70E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A70EF"/>
    <w:rPr>
      <w:rFonts w:ascii="Times New Roman" w:hAnsi="Times New Roman"/>
      <w:sz w:val="20"/>
      <w:szCs w:val="20"/>
    </w:rPr>
  </w:style>
  <w:style w:type="character" w:styleId="Dokumentoinaosnumeris">
    <w:name w:val="endnote reference"/>
    <w:basedOn w:val="Numatytasispastraiposriftas"/>
    <w:uiPriority w:val="99"/>
    <w:semiHidden/>
    <w:unhideWhenUsed/>
    <w:rsid w:val="00CA70EF"/>
    <w:rPr>
      <w:vertAlign w:val="superscript"/>
    </w:rPr>
  </w:style>
  <w:style w:type="paragraph" w:styleId="prastasistinklapis">
    <w:name w:val="Normal (Web)"/>
    <w:basedOn w:val="prastasis"/>
    <w:uiPriority w:val="99"/>
    <w:unhideWhenUsed/>
    <w:rsid w:val="00523C46"/>
    <w:pPr>
      <w:spacing w:after="0" w:line="240" w:lineRule="auto"/>
    </w:pPr>
    <w:rPr>
      <w:rFonts w:eastAsia="Times New Roman" w:cs="Times New Roman"/>
      <w:szCs w:val="24"/>
      <w:lang w:eastAsia="lt-LT"/>
    </w:rPr>
  </w:style>
  <w:style w:type="paragraph" w:styleId="Sraopastraipa">
    <w:name w:val="List Paragraph"/>
    <w:aliases w:val="List Paragraph (numbered (a)),References,WB List Paragraph,Su numeracija,Akapit z listą,Dot pt,F5 List Paragraph,List Paragraph1,Recommendation,List Paragraph11,Numerowanie,Kolorowa lista — akcent 11,Akapit z listą1,Listaszerű bekezdés1"/>
    <w:basedOn w:val="prastasis"/>
    <w:link w:val="SraopastraipaDiagrama"/>
    <w:uiPriority w:val="34"/>
    <w:qFormat/>
    <w:rsid w:val="0084520E"/>
    <w:pPr>
      <w:ind w:left="720"/>
      <w:contextualSpacing/>
    </w:pPr>
    <w:rPr>
      <w:rFonts w:asciiTheme="minorHAnsi" w:hAnsiTheme="minorHAnsi"/>
      <w:sz w:val="22"/>
    </w:rPr>
  </w:style>
  <w:style w:type="character" w:customStyle="1" w:styleId="Antrat1Diagrama">
    <w:name w:val="Antraštė 1 Diagrama"/>
    <w:basedOn w:val="Numatytasispastraiposriftas"/>
    <w:link w:val="Antrat1"/>
    <w:uiPriority w:val="9"/>
    <w:rsid w:val="00C05BBA"/>
    <w:rPr>
      <w:rFonts w:ascii="Times New Roman" w:eastAsia="Times New Roman" w:hAnsi="Times New Roman" w:cs="Times New Roman"/>
      <w:b/>
      <w:bCs/>
      <w:kern w:val="36"/>
      <w:sz w:val="48"/>
      <w:szCs w:val="48"/>
      <w:lang w:eastAsia="lt-LT"/>
    </w:rPr>
  </w:style>
  <w:style w:type="paragraph" w:styleId="Antrats">
    <w:name w:val="header"/>
    <w:basedOn w:val="prastasis"/>
    <w:link w:val="AntratsDiagrama"/>
    <w:uiPriority w:val="99"/>
    <w:unhideWhenUsed/>
    <w:rsid w:val="00315CA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15CA2"/>
    <w:rPr>
      <w:rFonts w:ascii="Times New Roman" w:hAnsi="Times New Roman"/>
      <w:sz w:val="24"/>
    </w:rPr>
  </w:style>
  <w:style w:type="paragraph" w:styleId="Porat">
    <w:name w:val="footer"/>
    <w:basedOn w:val="prastasis"/>
    <w:link w:val="PoratDiagrama"/>
    <w:uiPriority w:val="99"/>
    <w:unhideWhenUsed/>
    <w:rsid w:val="00315C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15CA2"/>
    <w:rPr>
      <w:rFonts w:ascii="Times New Roman" w:hAnsi="Times New Roman"/>
      <w:sz w:val="24"/>
    </w:rPr>
  </w:style>
  <w:style w:type="character" w:customStyle="1" w:styleId="tlid-translation">
    <w:name w:val="tlid-translation"/>
    <w:basedOn w:val="Numatytasispastraiposriftas"/>
    <w:rsid w:val="00861D50"/>
  </w:style>
  <w:style w:type="character" w:customStyle="1" w:styleId="SraopastraipaDiagrama">
    <w:name w:val="Sąrašo pastraipa Diagrama"/>
    <w:aliases w:val="List Paragraph (numbered (a)) Diagrama,References Diagrama,WB List Paragraph Diagrama,Su numeracija Diagrama,Akapit z listą Diagrama,Dot pt Diagrama,F5 List Paragraph Diagrama,List Paragraph1 Diagrama,Recommendation Diagrama"/>
    <w:link w:val="Sraopastraipa"/>
    <w:uiPriority w:val="34"/>
    <w:qFormat/>
    <w:locked/>
    <w:rsid w:val="005C3976"/>
  </w:style>
  <w:style w:type="paragraph" w:styleId="Puslapioinaostekstas">
    <w:name w:val="footnote text"/>
    <w:basedOn w:val="prastasis"/>
    <w:link w:val="PuslapioinaostekstasDiagrama"/>
    <w:semiHidden/>
    <w:unhideWhenUsed/>
    <w:rsid w:val="00166524"/>
    <w:pPr>
      <w:spacing w:after="0" w:line="240" w:lineRule="auto"/>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rsid w:val="00166524"/>
    <w:rPr>
      <w:sz w:val="20"/>
      <w:szCs w:val="20"/>
    </w:rPr>
  </w:style>
  <w:style w:type="character" w:styleId="Puslapioinaosnuoroda">
    <w:name w:val="footnote reference"/>
    <w:basedOn w:val="Numatytasispastraiposriftas"/>
    <w:semiHidden/>
    <w:unhideWhenUsed/>
    <w:rsid w:val="00166524"/>
    <w:rPr>
      <w:vertAlign w:val="superscript"/>
    </w:rPr>
  </w:style>
  <w:style w:type="paragraph" w:customStyle="1" w:styleId="PointManual">
    <w:name w:val="Point Manual"/>
    <w:basedOn w:val="prastasis"/>
    <w:rsid w:val="008618AA"/>
    <w:pPr>
      <w:spacing w:after="0" w:line="240" w:lineRule="auto"/>
      <w:ind w:left="567" w:hanging="567"/>
    </w:pPr>
    <w:rPr>
      <w:rFonts w:cs="Times New Roman"/>
    </w:rPr>
  </w:style>
  <w:style w:type="paragraph" w:customStyle="1" w:styleId="Text1">
    <w:name w:val="Text 1"/>
    <w:basedOn w:val="prastasis"/>
    <w:rsid w:val="00827E85"/>
    <w:pPr>
      <w:spacing w:after="0" w:line="240" w:lineRule="auto"/>
      <w:ind w:left="567"/>
    </w:pPr>
    <w:rPr>
      <w:rFonts w:eastAsia="Calibri" w:cs="Times New Roman"/>
      <w:lang w:val="en-GB"/>
    </w:rPr>
  </w:style>
  <w:style w:type="character" w:styleId="Grietas">
    <w:name w:val="Strong"/>
    <w:basedOn w:val="Numatytasispastraiposriftas"/>
    <w:uiPriority w:val="22"/>
    <w:qFormat/>
    <w:rsid w:val="00827E85"/>
    <w:rPr>
      <w:b/>
      <w:bCs/>
    </w:rPr>
  </w:style>
  <w:style w:type="paragraph" w:customStyle="1" w:styleId="Default">
    <w:name w:val="Default"/>
    <w:rsid w:val="00C81C4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tRefer">
    <w:name w:val="EntRefer"/>
    <w:basedOn w:val="prastasis"/>
    <w:rsid w:val="003F5087"/>
    <w:pPr>
      <w:spacing w:after="0" w:line="240" w:lineRule="auto"/>
    </w:pPr>
    <w:rPr>
      <w:rFonts w:eastAsia="Times New Roman" w:cs="Times New Roman"/>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86F69"/>
    <w:rPr>
      <w:rFonts w:ascii="Times New Roman" w:hAnsi="Times New Roman"/>
      <w:sz w:val="24"/>
    </w:rPr>
  </w:style>
  <w:style w:type="paragraph" w:styleId="Antrat1">
    <w:name w:val="heading 1"/>
    <w:basedOn w:val="prastasis"/>
    <w:link w:val="Antrat1Diagrama"/>
    <w:uiPriority w:val="9"/>
    <w:qFormat/>
    <w:rsid w:val="00C05BBA"/>
    <w:pPr>
      <w:spacing w:before="100" w:beforeAutospacing="1" w:after="100" w:afterAutospacing="1" w:line="240" w:lineRule="auto"/>
      <w:outlineLvl w:val="0"/>
    </w:pPr>
    <w:rPr>
      <w:rFonts w:eastAsia="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01740"/>
    <w:rPr>
      <w:color w:val="0000FF" w:themeColor="hyperlink"/>
      <w:u w:val="single"/>
    </w:rPr>
  </w:style>
  <w:style w:type="paragraph" w:customStyle="1" w:styleId="tekstas">
    <w:name w:val="tekstas"/>
    <w:basedOn w:val="prastasis"/>
    <w:rsid w:val="00546EBA"/>
    <w:pPr>
      <w:spacing w:after="0" w:line="240" w:lineRule="auto"/>
      <w:ind w:firstLine="1298"/>
    </w:pPr>
    <w:rPr>
      <w:rFonts w:eastAsia="Times New Roman" w:cs="Times New Roman"/>
      <w:szCs w:val="20"/>
    </w:rPr>
  </w:style>
  <w:style w:type="character" w:styleId="Komentaronuoroda">
    <w:name w:val="annotation reference"/>
    <w:basedOn w:val="Numatytasispastraiposriftas"/>
    <w:uiPriority w:val="99"/>
    <w:semiHidden/>
    <w:unhideWhenUsed/>
    <w:rsid w:val="00CE2FE8"/>
    <w:rPr>
      <w:sz w:val="16"/>
      <w:szCs w:val="16"/>
    </w:rPr>
  </w:style>
  <w:style w:type="paragraph" w:styleId="Komentarotekstas">
    <w:name w:val="annotation text"/>
    <w:basedOn w:val="prastasis"/>
    <w:link w:val="KomentarotekstasDiagrama"/>
    <w:uiPriority w:val="99"/>
    <w:semiHidden/>
    <w:unhideWhenUsed/>
    <w:rsid w:val="00CE2F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E2FE8"/>
    <w:rPr>
      <w:rFonts w:ascii="Times New Roman" w:hAnsi="Times New Roman"/>
      <w:sz w:val="20"/>
      <w:szCs w:val="20"/>
    </w:rPr>
  </w:style>
  <w:style w:type="paragraph" w:styleId="Debesliotekstas">
    <w:name w:val="Balloon Text"/>
    <w:basedOn w:val="prastasis"/>
    <w:link w:val="DebesliotekstasDiagrama"/>
    <w:uiPriority w:val="99"/>
    <w:semiHidden/>
    <w:unhideWhenUsed/>
    <w:rsid w:val="00CE2FE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2FE8"/>
    <w:rPr>
      <w:rFonts w:ascii="Tahoma" w:hAnsi="Tahoma" w:cs="Tahoma"/>
      <w:sz w:val="16"/>
      <w:szCs w:val="16"/>
    </w:rPr>
  </w:style>
  <w:style w:type="paragraph" w:styleId="Dokumentoinaostekstas">
    <w:name w:val="endnote text"/>
    <w:basedOn w:val="prastasis"/>
    <w:link w:val="DokumentoinaostekstasDiagrama"/>
    <w:uiPriority w:val="99"/>
    <w:semiHidden/>
    <w:unhideWhenUsed/>
    <w:rsid w:val="00CA70E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A70EF"/>
    <w:rPr>
      <w:rFonts w:ascii="Times New Roman" w:hAnsi="Times New Roman"/>
      <w:sz w:val="20"/>
      <w:szCs w:val="20"/>
    </w:rPr>
  </w:style>
  <w:style w:type="character" w:styleId="Dokumentoinaosnumeris">
    <w:name w:val="endnote reference"/>
    <w:basedOn w:val="Numatytasispastraiposriftas"/>
    <w:uiPriority w:val="99"/>
    <w:semiHidden/>
    <w:unhideWhenUsed/>
    <w:rsid w:val="00CA70EF"/>
    <w:rPr>
      <w:vertAlign w:val="superscript"/>
    </w:rPr>
  </w:style>
  <w:style w:type="paragraph" w:styleId="prastasistinklapis">
    <w:name w:val="Normal (Web)"/>
    <w:basedOn w:val="prastasis"/>
    <w:uiPriority w:val="99"/>
    <w:unhideWhenUsed/>
    <w:rsid w:val="00523C46"/>
    <w:pPr>
      <w:spacing w:after="0" w:line="240" w:lineRule="auto"/>
    </w:pPr>
    <w:rPr>
      <w:rFonts w:eastAsia="Times New Roman" w:cs="Times New Roman"/>
      <w:szCs w:val="24"/>
      <w:lang w:eastAsia="lt-LT"/>
    </w:rPr>
  </w:style>
  <w:style w:type="paragraph" w:styleId="Sraopastraipa">
    <w:name w:val="List Paragraph"/>
    <w:aliases w:val="List Paragraph (numbered (a)),References,WB List Paragraph,Su numeracija,Akapit z listą,Dot pt,F5 List Paragraph,List Paragraph1,Recommendation,List Paragraph11,Numerowanie,Kolorowa lista — akcent 11,Akapit z listą1,Listaszerű bekezdés1"/>
    <w:basedOn w:val="prastasis"/>
    <w:link w:val="SraopastraipaDiagrama"/>
    <w:uiPriority w:val="34"/>
    <w:qFormat/>
    <w:rsid w:val="0084520E"/>
    <w:pPr>
      <w:ind w:left="720"/>
      <w:contextualSpacing/>
    </w:pPr>
    <w:rPr>
      <w:rFonts w:asciiTheme="minorHAnsi" w:hAnsiTheme="minorHAnsi"/>
      <w:sz w:val="22"/>
    </w:rPr>
  </w:style>
  <w:style w:type="character" w:customStyle="1" w:styleId="Antrat1Diagrama">
    <w:name w:val="Antraštė 1 Diagrama"/>
    <w:basedOn w:val="Numatytasispastraiposriftas"/>
    <w:link w:val="Antrat1"/>
    <w:uiPriority w:val="9"/>
    <w:rsid w:val="00C05BBA"/>
    <w:rPr>
      <w:rFonts w:ascii="Times New Roman" w:eastAsia="Times New Roman" w:hAnsi="Times New Roman" w:cs="Times New Roman"/>
      <w:b/>
      <w:bCs/>
      <w:kern w:val="36"/>
      <w:sz w:val="48"/>
      <w:szCs w:val="48"/>
      <w:lang w:eastAsia="lt-LT"/>
    </w:rPr>
  </w:style>
  <w:style w:type="paragraph" w:styleId="Antrats">
    <w:name w:val="header"/>
    <w:basedOn w:val="prastasis"/>
    <w:link w:val="AntratsDiagrama"/>
    <w:uiPriority w:val="99"/>
    <w:unhideWhenUsed/>
    <w:rsid w:val="00315CA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15CA2"/>
    <w:rPr>
      <w:rFonts w:ascii="Times New Roman" w:hAnsi="Times New Roman"/>
      <w:sz w:val="24"/>
    </w:rPr>
  </w:style>
  <w:style w:type="paragraph" w:styleId="Porat">
    <w:name w:val="footer"/>
    <w:basedOn w:val="prastasis"/>
    <w:link w:val="PoratDiagrama"/>
    <w:uiPriority w:val="99"/>
    <w:unhideWhenUsed/>
    <w:rsid w:val="00315C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15CA2"/>
    <w:rPr>
      <w:rFonts w:ascii="Times New Roman" w:hAnsi="Times New Roman"/>
      <w:sz w:val="24"/>
    </w:rPr>
  </w:style>
  <w:style w:type="character" w:customStyle="1" w:styleId="tlid-translation">
    <w:name w:val="tlid-translation"/>
    <w:basedOn w:val="Numatytasispastraiposriftas"/>
    <w:rsid w:val="00861D50"/>
  </w:style>
  <w:style w:type="character" w:customStyle="1" w:styleId="SraopastraipaDiagrama">
    <w:name w:val="Sąrašo pastraipa Diagrama"/>
    <w:aliases w:val="List Paragraph (numbered (a)) Diagrama,References Diagrama,WB List Paragraph Diagrama,Su numeracija Diagrama,Akapit z listą Diagrama,Dot pt Diagrama,F5 List Paragraph Diagrama,List Paragraph1 Diagrama,Recommendation Diagrama"/>
    <w:link w:val="Sraopastraipa"/>
    <w:uiPriority w:val="34"/>
    <w:qFormat/>
    <w:locked/>
    <w:rsid w:val="005C3976"/>
  </w:style>
  <w:style w:type="paragraph" w:styleId="Puslapioinaostekstas">
    <w:name w:val="footnote text"/>
    <w:basedOn w:val="prastasis"/>
    <w:link w:val="PuslapioinaostekstasDiagrama"/>
    <w:semiHidden/>
    <w:unhideWhenUsed/>
    <w:rsid w:val="00166524"/>
    <w:pPr>
      <w:spacing w:after="0" w:line="240" w:lineRule="auto"/>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rsid w:val="00166524"/>
    <w:rPr>
      <w:sz w:val="20"/>
      <w:szCs w:val="20"/>
    </w:rPr>
  </w:style>
  <w:style w:type="character" w:styleId="Puslapioinaosnuoroda">
    <w:name w:val="footnote reference"/>
    <w:basedOn w:val="Numatytasispastraiposriftas"/>
    <w:semiHidden/>
    <w:unhideWhenUsed/>
    <w:rsid w:val="00166524"/>
    <w:rPr>
      <w:vertAlign w:val="superscript"/>
    </w:rPr>
  </w:style>
  <w:style w:type="paragraph" w:customStyle="1" w:styleId="PointManual">
    <w:name w:val="Point Manual"/>
    <w:basedOn w:val="prastasis"/>
    <w:rsid w:val="008618AA"/>
    <w:pPr>
      <w:spacing w:after="0" w:line="240" w:lineRule="auto"/>
      <w:ind w:left="567" w:hanging="567"/>
    </w:pPr>
    <w:rPr>
      <w:rFonts w:cs="Times New Roman"/>
    </w:rPr>
  </w:style>
  <w:style w:type="paragraph" w:customStyle="1" w:styleId="Text1">
    <w:name w:val="Text 1"/>
    <w:basedOn w:val="prastasis"/>
    <w:rsid w:val="00827E85"/>
    <w:pPr>
      <w:spacing w:after="0" w:line="240" w:lineRule="auto"/>
      <w:ind w:left="567"/>
    </w:pPr>
    <w:rPr>
      <w:rFonts w:eastAsia="Calibri" w:cs="Times New Roman"/>
      <w:lang w:val="en-GB"/>
    </w:rPr>
  </w:style>
  <w:style w:type="character" w:styleId="Grietas">
    <w:name w:val="Strong"/>
    <w:basedOn w:val="Numatytasispastraiposriftas"/>
    <w:uiPriority w:val="22"/>
    <w:qFormat/>
    <w:rsid w:val="00827E85"/>
    <w:rPr>
      <w:b/>
      <w:bCs/>
    </w:rPr>
  </w:style>
  <w:style w:type="paragraph" w:customStyle="1" w:styleId="Default">
    <w:name w:val="Default"/>
    <w:rsid w:val="00C81C4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tRefer">
    <w:name w:val="EntRefer"/>
    <w:basedOn w:val="prastasis"/>
    <w:rsid w:val="003F5087"/>
    <w:pPr>
      <w:spacing w:after="0" w:line="240" w:lineRule="auto"/>
    </w:pPr>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520838">
      <w:bodyDiv w:val="1"/>
      <w:marLeft w:val="0"/>
      <w:marRight w:val="0"/>
      <w:marTop w:val="0"/>
      <w:marBottom w:val="0"/>
      <w:divBdr>
        <w:top w:val="none" w:sz="0" w:space="0" w:color="auto"/>
        <w:left w:val="none" w:sz="0" w:space="0" w:color="auto"/>
        <w:bottom w:val="none" w:sz="0" w:space="0" w:color="auto"/>
        <w:right w:val="none" w:sz="0" w:space="0" w:color="auto"/>
      </w:divBdr>
      <w:divsChild>
        <w:div w:id="1523015732">
          <w:marLeft w:val="0"/>
          <w:marRight w:val="0"/>
          <w:marTop w:val="0"/>
          <w:marBottom w:val="0"/>
          <w:divBdr>
            <w:top w:val="none" w:sz="0" w:space="0" w:color="auto"/>
            <w:left w:val="none" w:sz="0" w:space="0" w:color="auto"/>
            <w:bottom w:val="none" w:sz="0" w:space="0" w:color="auto"/>
            <w:right w:val="none" w:sz="0" w:space="0" w:color="auto"/>
          </w:divBdr>
        </w:div>
      </w:divsChild>
    </w:div>
    <w:div w:id="1294872405">
      <w:bodyDiv w:val="1"/>
      <w:marLeft w:val="0"/>
      <w:marRight w:val="0"/>
      <w:marTop w:val="0"/>
      <w:marBottom w:val="0"/>
      <w:divBdr>
        <w:top w:val="none" w:sz="0" w:space="0" w:color="auto"/>
        <w:left w:val="none" w:sz="0" w:space="0" w:color="auto"/>
        <w:bottom w:val="none" w:sz="0" w:space="0" w:color="auto"/>
        <w:right w:val="none" w:sz="0" w:space="0" w:color="auto"/>
      </w:divBdr>
    </w:div>
    <w:div w:id="2071800983">
      <w:bodyDiv w:val="1"/>
      <w:marLeft w:val="0"/>
      <w:marRight w:val="0"/>
      <w:marTop w:val="0"/>
      <w:marBottom w:val="0"/>
      <w:divBdr>
        <w:top w:val="none" w:sz="0" w:space="0" w:color="auto"/>
        <w:left w:val="none" w:sz="0" w:space="0" w:color="auto"/>
        <w:bottom w:val="none" w:sz="0" w:space="0" w:color="auto"/>
        <w:right w:val="none" w:sz="0" w:space="0" w:color="auto"/>
      </w:divBdr>
      <w:divsChild>
        <w:div w:id="407508289">
          <w:marLeft w:val="0"/>
          <w:marRight w:val="0"/>
          <w:marTop w:val="0"/>
          <w:marBottom w:val="0"/>
          <w:divBdr>
            <w:top w:val="none" w:sz="0" w:space="0" w:color="auto"/>
            <w:left w:val="none" w:sz="0" w:space="0" w:color="auto"/>
            <w:bottom w:val="none" w:sz="0" w:space="0" w:color="auto"/>
            <w:right w:val="none" w:sz="0" w:space="0" w:color="auto"/>
          </w:divBdr>
          <w:divsChild>
            <w:div w:id="490827250">
              <w:marLeft w:val="0"/>
              <w:marRight w:val="0"/>
              <w:marTop w:val="0"/>
              <w:marBottom w:val="0"/>
              <w:divBdr>
                <w:top w:val="none" w:sz="0" w:space="0" w:color="auto"/>
                <w:left w:val="none" w:sz="0" w:space="0" w:color="auto"/>
                <w:bottom w:val="none" w:sz="0" w:space="0" w:color="auto"/>
                <w:right w:val="none" w:sz="0" w:space="0" w:color="auto"/>
              </w:divBdr>
              <w:divsChild>
                <w:div w:id="1926068837">
                  <w:marLeft w:val="0"/>
                  <w:marRight w:val="0"/>
                  <w:marTop w:val="0"/>
                  <w:marBottom w:val="0"/>
                  <w:divBdr>
                    <w:top w:val="none" w:sz="0" w:space="0" w:color="auto"/>
                    <w:left w:val="none" w:sz="0" w:space="0" w:color="auto"/>
                    <w:bottom w:val="none" w:sz="0" w:space="0" w:color="auto"/>
                    <w:right w:val="none" w:sz="0" w:space="0" w:color="auto"/>
                  </w:divBdr>
                  <w:divsChild>
                    <w:div w:id="895094491">
                      <w:marLeft w:val="0"/>
                      <w:marRight w:val="0"/>
                      <w:marTop w:val="0"/>
                      <w:marBottom w:val="0"/>
                      <w:divBdr>
                        <w:top w:val="none" w:sz="0" w:space="0" w:color="auto"/>
                        <w:left w:val="none" w:sz="0" w:space="0" w:color="auto"/>
                        <w:bottom w:val="none" w:sz="0" w:space="0" w:color="auto"/>
                        <w:right w:val="none" w:sz="0" w:space="0" w:color="auto"/>
                      </w:divBdr>
                      <w:divsChild>
                        <w:div w:id="1682272695">
                          <w:marLeft w:val="0"/>
                          <w:marRight w:val="0"/>
                          <w:marTop w:val="0"/>
                          <w:marBottom w:val="0"/>
                          <w:divBdr>
                            <w:top w:val="none" w:sz="0" w:space="0" w:color="auto"/>
                            <w:left w:val="none" w:sz="0" w:space="0" w:color="auto"/>
                            <w:bottom w:val="none" w:sz="0" w:space="0" w:color="auto"/>
                            <w:right w:val="none" w:sz="0" w:space="0" w:color="auto"/>
                          </w:divBdr>
                        </w:div>
                        <w:div w:id="1574850277">
                          <w:marLeft w:val="0"/>
                          <w:marRight w:val="0"/>
                          <w:marTop w:val="0"/>
                          <w:marBottom w:val="0"/>
                          <w:divBdr>
                            <w:top w:val="none" w:sz="0" w:space="0" w:color="auto"/>
                            <w:left w:val="none" w:sz="0" w:space="0" w:color="auto"/>
                            <w:bottom w:val="none" w:sz="0" w:space="0" w:color="auto"/>
                            <w:right w:val="none" w:sz="0" w:space="0" w:color="auto"/>
                          </w:divBdr>
                          <w:divsChild>
                            <w:div w:id="553197089">
                              <w:marLeft w:val="0"/>
                              <w:marRight w:val="300"/>
                              <w:marTop w:val="180"/>
                              <w:marBottom w:val="0"/>
                              <w:divBdr>
                                <w:top w:val="none" w:sz="0" w:space="0" w:color="auto"/>
                                <w:left w:val="none" w:sz="0" w:space="0" w:color="auto"/>
                                <w:bottom w:val="none" w:sz="0" w:space="0" w:color="auto"/>
                                <w:right w:val="none" w:sz="0" w:space="0" w:color="auto"/>
                              </w:divBdr>
                              <w:divsChild>
                                <w:div w:id="5283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074713">
          <w:marLeft w:val="0"/>
          <w:marRight w:val="0"/>
          <w:marTop w:val="0"/>
          <w:marBottom w:val="0"/>
          <w:divBdr>
            <w:top w:val="none" w:sz="0" w:space="0" w:color="auto"/>
            <w:left w:val="none" w:sz="0" w:space="0" w:color="auto"/>
            <w:bottom w:val="none" w:sz="0" w:space="0" w:color="auto"/>
            <w:right w:val="none" w:sz="0" w:space="0" w:color="auto"/>
          </w:divBdr>
          <w:divsChild>
            <w:div w:id="1496073497">
              <w:marLeft w:val="0"/>
              <w:marRight w:val="0"/>
              <w:marTop w:val="0"/>
              <w:marBottom w:val="0"/>
              <w:divBdr>
                <w:top w:val="none" w:sz="0" w:space="0" w:color="auto"/>
                <w:left w:val="none" w:sz="0" w:space="0" w:color="auto"/>
                <w:bottom w:val="none" w:sz="0" w:space="0" w:color="auto"/>
                <w:right w:val="none" w:sz="0" w:space="0" w:color="auto"/>
              </w:divBdr>
              <w:divsChild>
                <w:div w:id="1190878957">
                  <w:marLeft w:val="0"/>
                  <w:marRight w:val="0"/>
                  <w:marTop w:val="0"/>
                  <w:marBottom w:val="0"/>
                  <w:divBdr>
                    <w:top w:val="none" w:sz="0" w:space="0" w:color="auto"/>
                    <w:left w:val="none" w:sz="0" w:space="0" w:color="auto"/>
                    <w:bottom w:val="none" w:sz="0" w:space="0" w:color="auto"/>
                    <w:right w:val="none" w:sz="0" w:space="0" w:color="auto"/>
                  </w:divBdr>
                  <w:divsChild>
                    <w:div w:id="769012965">
                      <w:marLeft w:val="0"/>
                      <w:marRight w:val="0"/>
                      <w:marTop w:val="0"/>
                      <w:marBottom w:val="0"/>
                      <w:divBdr>
                        <w:top w:val="none" w:sz="0" w:space="0" w:color="auto"/>
                        <w:left w:val="none" w:sz="0" w:space="0" w:color="auto"/>
                        <w:bottom w:val="none" w:sz="0" w:space="0" w:color="auto"/>
                        <w:right w:val="none" w:sz="0" w:space="0" w:color="auto"/>
                      </w:divBdr>
                      <w:divsChild>
                        <w:div w:id="1512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CAC48-799F-46B6-9DFE-74E307915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5</Pages>
  <Words>10570</Words>
  <Characters>6025</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Vysockaja-Mockienė</dc:creator>
  <cp:lastModifiedBy>Audronė Pavlovičienė</cp:lastModifiedBy>
  <cp:revision>43</cp:revision>
  <cp:lastPrinted>2019-05-07T05:18:00Z</cp:lastPrinted>
  <dcterms:created xsi:type="dcterms:W3CDTF">2019-02-04T05:14:00Z</dcterms:created>
  <dcterms:modified xsi:type="dcterms:W3CDTF">2019-10-04T11:01:00Z</dcterms:modified>
</cp:coreProperties>
</file>