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74d2c8417b64aa0b26c3037a62ca5e6"/>
        <w:lock w:val="sdtLocked"/>
        <w:richText/>
      </w:sdtPr>
      <w:sdtContent>
        <w:p>
          <w:pPr>
            <w:tabs>
              <w:tab w:val="center" w:pos="4819"/>
              <w:tab w:val="right" w:pos="9638"/>
            </w:tabs>
          </w:pPr>
        </w:p>
        <w:p>
          <w:pPr>
            <w:widowControl w:val="0"/>
            <w:jc w:val="right"/>
            <w:rPr>
              <w:b/>
              <w:caps/>
              <w:lang w:eastAsia="lt-LT"/>
            </w:rPr>
          </w:pPr>
          <w:r>
            <w:rPr>
              <w:b/>
              <w:lang w:eastAsia="lt-LT"/>
            </w:rPr>
            <w:t>Projektas</w:t>
          </w:r>
        </w:p>
        <w:p>
          <w:pPr>
            <w:widowControl w:val="0"/>
            <w:jc w:val="center"/>
            <w:rPr>
              <w:b/>
              <w:caps/>
              <w:lang w:eastAsia="lt-LT"/>
            </w:rPr>
          </w:pPr>
        </w:p>
        <w:p>
          <w:pPr>
            <w:jc w:val="center"/>
            <w:rPr>
              <w:b/>
              <w:lang w:eastAsia="lt-LT"/>
            </w:rPr>
          </w:pPr>
          <w:r>
            <w:rPr>
              <w:b/>
              <w:lang w:eastAsia="lt-LT"/>
            </w:rPr>
            <w:t>LIETUVOS RESPUBLIKOS VYRIAUSYBĖ</w:t>
          </w:r>
        </w:p>
        <w:p>
          <w:pPr>
            <w:keepNext/>
            <w:jc w:val="center"/>
            <w:rPr>
              <w:b/>
            </w:rPr>
          </w:pPr>
        </w:p>
        <w:p>
          <w:pPr>
            <w:keepNext/>
            <w:jc w:val="center"/>
            <w:rPr>
              <w:b/>
            </w:rPr>
          </w:pPr>
          <w:r>
            <w:rPr>
              <w:b/>
            </w:rPr>
            <w:t>NUTARIMAS</w:t>
          </w:r>
        </w:p>
        <w:p>
          <w:pPr>
            <w:widowControl w:val="0"/>
            <w:jc w:val="center"/>
            <w:rPr>
              <w:b/>
              <w:caps/>
              <w:lang w:eastAsia="lt-LT"/>
            </w:rPr>
          </w:pPr>
          <w:r>
            <w:rPr>
              <w:b/>
              <w:caps/>
              <w:lang w:eastAsia="lt-LT"/>
            </w:rPr>
            <w:t>DĖL LĖŠŲ SKYRIMO</w:t>
          </w:r>
          <w:r>
            <w:rPr>
              <w:b/>
              <w:lang w:eastAsia="lt-LT"/>
            </w:rPr>
            <w:t xml:space="preserve"> </w:t>
          </w:r>
        </w:p>
        <w:p>
          <w:pPr>
            <w:widowControl w:val="0"/>
            <w:jc w:val="center"/>
            <w:rPr>
              <w:lang w:eastAsia="lt-LT"/>
            </w:rPr>
          </w:pPr>
        </w:p>
        <w:p>
          <w:pPr>
            <w:jc w:val="center"/>
            <w:rPr>
              <w:color w:val="000000"/>
              <w:lang w:eastAsia="lt-LT"/>
            </w:rPr>
          </w:pPr>
          <w:r>
            <w:rPr>
              <w:color w:val="000000"/>
              <w:lang w:eastAsia="lt-LT"/>
            </w:rPr>
            <w:t xml:space="preserve">2020 m.                       d. Nr. </w:t>
          </w:r>
        </w:p>
        <w:p>
          <w:pPr>
            <w:jc w:val="center"/>
            <w:rPr>
              <w:color w:val="000000"/>
              <w:lang w:eastAsia="lt-LT"/>
            </w:rPr>
          </w:pPr>
          <w:r>
            <w:rPr>
              <w:color w:val="000000"/>
              <w:lang w:eastAsia="lt-LT"/>
            </w:rPr>
            <w:t>Vilnius</w:t>
          </w:r>
        </w:p>
        <w:p>
          <w:pPr>
            <w:jc w:val="center"/>
            <w:rPr>
              <w:lang w:eastAsia="lt-LT"/>
            </w:rPr>
          </w:pPr>
        </w:p>
        <w:sdt>
          <w:sdtPr>
            <w:alias w:val="preambule"/>
            <w:tag w:val="part_68555a8ee80346d4b7f55181d5d2e15b"/>
            <w:lock w:val="sdtLocked"/>
            <w:richText/>
          </w:sdtPr>
          <w:sdtContent>
            <w:p>
              <w:pPr>
                <w:spacing w:line="360" w:lineRule="atLeast"/>
                <w:ind w:firstLine="720"/>
                <w:jc w:val="both"/>
                <w:rPr>
                  <w:color w:val="000000"/>
                  <w:lang w:eastAsia="lt-LT"/>
                </w:rPr>
              </w:pPr>
              <w:r>
                <w:rPr>
                  <w:color w:val="000000"/>
                  <w:lang w:eastAsia="lt-LT"/>
                </w:rPr>
                <w:t xml:space="preserve">Vadovaudamasi Lietuvos Respublikos 2020 metų valstybės biudžeto ir savivaldybių biudžetų finansinių rodiklių patvirtinimo įstatymo 13 straipsnio 1 dalies 5 punktu ir atsižvelgdama į Lietuvos Respublikos Vyriausybės 2020 m. vasario 26 d. nutarimą Nr. 152 „Dėl valstybės lygio ekstremaliosios situacijos paskelbimo“, Lietuvos Respublikos Vyriausybė </w:t>
              </w:r>
              <w:r>
                <w:rPr>
                  <w:color w:val="000000"/>
                  <w:spacing w:val="42"/>
                  <w:lang w:eastAsia="lt-LT"/>
                </w:rPr>
                <w:t>nutari</w:t>
              </w:r>
              <w:r>
                <w:rPr>
                  <w:color w:val="000000"/>
                  <w:lang w:eastAsia="lt-LT"/>
                </w:rPr>
                <w:t>a:</w:t>
              </w:r>
            </w:p>
          </w:sdtContent>
        </w:sdt>
        <w:sdt>
          <w:sdtPr>
            <w:alias w:val="pastraipa"/>
            <w:tag w:val="part_2870472d8ae6459da9b221ec58cde379"/>
            <w:lock w:val="sdtLocked"/>
            <w:richText/>
          </w:sdtPr>
          <w:sdtContent>
            <w:p>
              <w:pPr>
                <w:spacing w:line="360" w:lineRule="atLeast"/>
                <w:ind w:firstLine="720"/>
                <w:jc w:val="both"/>
                <w:rPr>
                  <w:color w:val="000000"/>
                  <w:lang w:eastAsia="lt-LT"/>
                </w:rPr>
              </w:pPr>
              <w:r>
                <w:rPr>
                  <w:color w:val="000000"/>
                  <w:lang w:eastAsia="lt-LT"/>
                </w:rPr>
                <w:t>Skirti iš valstybės vardu pasiskolintų lėšų:</w:t>
              </w:r>
            </w:p>
          </w:sdtContent>
        </w:sdt>
        <w:sdt>
          <w:sdtPr>
            <w:alias w:val="1 p."/>
            <w:tag w:val="part_90a33ea392204eb29ac33a782691f6de"/>
            <w:lock w:val="sdtLocked"/>
            <w:richText/>
          </w:sdtPr>
          <w:sdtContent>
            <w:p>
              <w:pPr>
                <w:spacing w:line="360" w:lineRule="atLeast"/>
                <w:ind w:firstLine="720"/>
                <w:jc w:val="both"/>
                <w:rPr>
                  <w:szCs w:val="24"/>
                  <w:lang w:eastAsia="lt-LT"/>
                </w:rPr>
              </w:pPr>
              <w:sdt>
                <w:sdtPr>
                  <w:alias w:val="Numeris"/>
                  <w:tag w:val="nr_90a33ea392204eb29ac33a782691f6de"/>
                  <w:lock w:val="sdtLocked"/>
                  <w:richText/>
                </w:sdtPr>
                <w:sdtContent>
                  <w:r>
                    <w:rPr>
                      <w:color w:val="000000"/>
                      <w:lang w:eastAsia="lt-LT"/>
                    </w:rPr>
                    <w:t>1</w:t>
                  </w:r>
                </w:sdtContent>
              </w:sdt>
              <w:r>
                <w:rPr>
                  <w:color w:val="000000"/>
                  <w:lang w:eastAsia="lt-LT"/>
                </w:rPr>
                <w:t xml:space="preserve">. </w:t>
              </w:r>
              <w:r>
                <w:rPr>
                  <w:szCs w:val="24"/>
                </w:rPr>
                <w:t xml:space="preserve">Lietuvos Respublikos vyriausiajai rinkimų komisijai – 3 910 100 (trys milijonai devyni šimtai dešimt tūkstančių vienas šimtas) eurų, iš jų 3 778 800 (trys milijonai septyni šimtai septyniasdešimt aštuoni tūkstančiai aštuoni šimtai) eurų papildomoms apygardų ir apylinkių rinkimų komisijų narių darbo užmokesčio išlaidoms apmokėti ir 131 300 (vienas šimtas trisdešimt vienas tūkstantis trys šimtai) eurų Lietuvos Respublikos Seimo rinkimams organizuoti diplomatinėse atstovybėse ir konsulinėse įstaigose, įgyvendinant Lietuvos Respublikos Seimo rinkimų įstatymo 62, </w:t>
              </w:r>
              <w:r>
                <w:rPr>
                  <w:caps/>
                  <w:szCs w:val="24"/>
                </w:rPr>
                <w:t>67</w:t>
              </w:r>
              <w:r>
                <w:rPr>
                  <w:caps/>
                  <w:szCs w:val="24"/>
                  <w:vertAlign w:val="superscript"/>
                </w:rPr>
                <w:t>1</w:t>
              </w:r>
              <w:r>
                <w:rPr>
                  <w:b/>
                  <w:caps/>
                  <w:szCs w:val="24"/>
                  <w:vertAlign w:val="superscript"/>
                </w:rPr>
                <w:t xml:space="preserve"> </w:t>
              </w:r>
              <w:r>
                <w:rPr>
                  <w:szCs w:val="24"/>
                </w:rPr>
                <w:t xml:space="preserve">ir 70 straipsnius bei </w:t>
              </w:r>
              <w:r>
                <w:rPr>
                  <w:szCs w:val="24"/>
                  <w:lang w:eastAsia="lt-LT"/>
                </w:rPr>
                <w:t>Ekonomikos skatinimo ir koronaviruso (COVID-19) plitimo sukeltų pasekmių mažinimo priemonių plano, kuriam pritarta Lietuvos Respublikos Vyriausybės 2020 m. kovo 16 d. pasitarime (pasitarimo protokolas Nr. 14) ir kurio naujai redakcijai pritarta Lietuvos Respublikos Vyriausybės 2020 m. birželio 22 d. pasitarime (pasitarimo protokolas Nr. 30) (toliau – Priemonių planas), 1 tikslo „Užtikrinti išteklius, kurių reikia sveikatos ir visuomenės apsaugos sistemoms efektyviai veikti“ priemonę „Užtikrinti ekstremaliosios situacijos valdyme dalyvaujančių valstybės institucijų papildomų išlaidų, įskaitant darbuotojų atlyginimų priedus, finansavimą“.</w:t>
              </w:r>
            </w:p>
          </w:sdtContent>
        </w:sdt>
        <w:sdt>
          <w:sdtPr>
            <w:alias w:val="2 p."/>
            <w:tag w:val="part_c72147020ded4bf09183e142015f0224"/>
            <w:lock w:val="sdtLocked"/>
            <w:richText/>
          </w:sdtPr>
          <w:sdtContent>
            <w:p>
              <w:pPr>
                <w:spacing w:line="360" w:lineRule="atLeast"/>
                <w:ind w:firstLine="720"/>
                <w:jc w:val="both"/>
                <w:rPr>
                  <w:color w:val="000000"/>
                  <w:lang w:eastAsia="lt-LT"/>
                </w:rPr>
              </w:pPr>
              <w:sdt>
                <w:sdtPr>
                  <w:alias w:val="Numeris"/>
                  <w:tag w:val="nr_c72147020ded4bf09183e142015f0224"/>
                  <w:lock w:val="sdtLocked"/>
                  <w:richText/>
                </w:sdtPr>
                <w:sdtContent>
                  <w:r>
                    <w:rPr>
                      <w:color w:val="000000"/>
                      <w:lang w:eastAsia="lt-LT"/>
                    </w:rPr>
                    <w:t>2</w:t>
                  </w:r>
                </w:sdtContent>
              </w:sdt>
              <w:r>
                <w:rPr>
                  <w:color w:val="000000"/>
                  <w:lang w:eastAsia="lt-LT"/>
                </w:rPr>
                <w:t xml:space="preserve">. Lietuvos Respublikos socialinės apsaugos ir darbo ministerijai – 191 231 000 (vienas šimtas devyniasdešimt vienas milijonas du šimtai trisdešimt vienas tūkstantis) eurų </w:t>
              </w:r>
              <w:r>
                <w:rPr>
                  <w:szCs w:val="24"/>
                  <w:lang w:eastAsia="lt-LT"/>
                </w:rPr>
                <w:t>Priemonių plano</w:t>
              </w:r>
              <w:r>
                <w:rPr>
                  <w:color w:val="000000"/>
                  <w:lang w:eastAsia="lt-LT"/>
                </w:rPr>
                <w:t xml:space="preserve"> 2 tikslo „Padėti išsaugoti darbo vietas ir gyventojų pajamas“ priemonėms įgyvendinti, iš jų:</w:t>
              </w:r>
            </w:p>
            <w:sdt>
              <w:sdtPr>
                <w:alias w:val="2.1 pp."/>
                <w:tag w:val="part_a462b10aef55403094bb93d6d0005578"/>
                <w:lock w:val="sdtLocked"/>
                <w:richText/>
              </w:sdtPr>
              <w:sdtContent>
                <w:p>
                  <w:pPr>
                    <w:spacing w:line="360" w:lineRule="atLeast"/>
                    <w:ind w:firstLine="720"/>
                    <w:jc w:val="both"/>
                    <w:rPr>
                      <w:color w:val="000000"/>
                      <w:lang w:eastAsia="lt-LT"/>
                    </w:rPr>
                  </w:pPr>
                  <w:sdt>
                    <w:sdtPr>
                      <w:alias w:val="Numeris"/>
                      <w:tag w:val="nr_a462b10aef55403094bb93d6d0005578"/>
                      <w:lock w:val="sdtLocked"/>
                      <w:richText/>
                    </w:sdtPr>
                    <w:sdtContent>
                      <w:r>
                        <w:rPr>
                          <w:color w:val="000000"/>
                          <w:lang w:eastAsia="lt-LT"/>
                        </w:rPr>
                        <w:t>2.1</w:t>
                      </w:r>
                    </w:sdtContent>
                  </w:sdt>
                  <w:r>
                    <w:rPr>
                      <w:color w:val="000000"/>
                      <w:lang w:eastAsia="lt-LT"/>
                    </w:rPr>
                    <w:t>. 20 000 000 (dvidešimt milijonų) eurų – priemonei „Valstybės lėšomis solidariai prisidėti prie darbdavių pastangų išsaugoti darbo vietas, kompensuojant darbdaviams už prastovos laiką jų darbuotojams mokamo darbo užmokesčio dalį“;</w:t>
                  </w:r>
                </w:p>
              </w:sdtContent>
            </w:sdt>
            <w:sdt>
              <w:sdtPr>
                <w:alias w:val="2.2 pp."/>
                <w:tag w:val="part_1f144d60873b4916a408863b32abd758"/>
                <w:lock w:val="sdtLocked"/>
                <w:richText/>
              </w:sdtPr>
              <w:sdtContent>
                <w:p>
                  <w:pPr>
                    <w:spacing w:line="360" w:lineRule="atLeast"/>
                    <w:ind w:firstLine="720"/>
                    <w:jc w:val="both"/>
                    <w:rPr>
                      <w:color w:val="000000"/>
                      <w:lang w:eastAsia="lt-LT"/>
                    </w:rPr>
                  </w:pPr>
                  <w:sdt>
                    <w:sdtPr>
                      <w:alias w:val="Numeris"/>
                      <w:tag w:val="nr_1f144d60873b4916a408863b32abd758"/>
                      <w:lock w:val="sdtLocked"/>
                      <w:richText/>
                    </w:sdtPr>
                    <w:sdtContent>
                      <w:r>
                        <w:rPr>
                          <w:color w:val="000000"/>
                          <w:lang w:eastAsia="lt-LT"/>
                        </w:rPr>
                        <w:t>2.2</w:t>
                      </w:r>
                    </w:sdtContent>
                  </w:sdt>
                  <w:r>
                    <w:rPr>
                      <w:color w:val="000000"/>
                      <w:lang w:eastAsia="lt-LT"/>
                    </w:rPr>
                    <w:t>. 128 908 000 (vienas šimtas dvidešimt aštuoni milijonai devyni šimtai aštuoni tūkstančiai) eurų – priemonei „Pasibaigus prastovai ir (ar) karantinui, valstybės lėšomis padėti darbdaviams išlaikyti darbuotojus po prastovos ar priimti tikslinėms grupėms priklausančius bedarbius, iki 6 mėnesių mokant darbo užmokesčio subsidijas, kai intensyvesnė parama taikoma pirmuosius 2 mėnesius ir palaipsniui, kas 2 mėnesiai, mažinama iki 4 mėnesių pagal terminuoto ar sezoninio darbo sutartis“;</w:t>
                  </w:r>
                </w:p>
              </w:sdtContent>
            </w:sdt>
            <w:sdt>
              <w:sdtPr>
                <w:alias w:val="2.3 pp."/>
                <w:tag w:val="part_80fd0fa76c514e4d939e906251f7affd"/>
                <w:lock w:val="sdtLocked"/>
                <w:richText/>
              </w:sdtPr>
              <w:sdtContent>
                <w:p>
                  <w:pPr>
                    <w:spacing w:line="360" w:lineRule="atLeast"/>
                    <w:ind w:firstLine="720"/>
                    <w:jc w:val="both"/>
                    <w:rPr>
                      <w:color w:val="000000"/>
                      <w:lang w:eastAsia="lt-LT"/>
                    </w:rPr>
                  </w:pPr>
                  <w:sdt>
                    <w:sdtPr>
                      <w:alias w:val="Numeris"/>
                      <w:tag w:val="nr_80fd0fa76c514e4d939e906251f7affd"/>
                      <w:lock w:val="sdtLocked"/>
                      <w:richText/>
                    </w:sdtPr>
                    <w:sdtContent>
                      <w:r>
                        <w:rPr>
                          <w:color w:val="000000"/>
                          <w:lang w:eastAsia="lt-LT"/>
                        </w:rPr>
                        <w:t>2.3</w:t>
                      </w:r>
                    </w:sdtContent>
                  </w:sdt>
                  <w:r>
                    <w:rPr>
                      <w:color w:val="000000"/>
                      <w:lang w:eastAsia="lt-LT"/>
                    </w:rPr>
                    <w:t>. 1 436 700 (vienas milijonas keturi šimtai trisdešimt šeši tūkstančiai septyni šimtai) eurų – priemonei „Skatinti darbdavius aktyviau dalyvauti įgyvendinant profesinį mokymą pameistrystės forma“;</w:t>
                  </w:r>
                </w:p>
              </w:sdtContent>
            </w:sdt>
            <w:sdt>
              <w:sdtPr>
                <w:alias w:val="2.4 pp."/>
                <w:tag w:val="part_c5f95833cef245698e5318dd2cf1e732"/>
                <w:lock w:val="sdtLocked"/>
                <w:richText/>
              </w:sdtPr>
              <w:sdtContent>
                <w:p>
                  <w:pPr>
                    <w:spacing w:line="360" w:lineRule="atLeast"/>
                    <w:ind w:firstLine="720"/>
                    <w:jc w:val="both"/>
                    <w:rPr>
                      <w:color w:val="000000"/>
                      <w:lang w:eastAsia="lt-LT"/>
                    </w:rPr>
                  </w:pPr>
                  <w:sdt>
                    <w:sdtPr>
                      <w:alias w:val="Numeris"/>
                      <w:tag w:val="nr_c5f95833cef245698e5318dd2cf1e732"/>
                      <w:lock w:val="sdtLocked"/>
                      <w:richText/>
                    </w:sdtPr>
                    <w:sdtContent>
                      <w:r>
                        <w:rPr>
                          <w:color w:val="000000"/>
                          <w:lang w:eastAsia="lt-LT"/>
                        </w:rPr>
                        <w:t>2.4</w:t>
                      </w:r>
                    </w:sdtContent>
                  </w:sdt>
                  <w:r>
                    <w:rPr>
                      <w:color w:val="000000"/>
                      <w:lang w:eastAsia="lt-LT"/>
                    </w:rPr>
                    <w:t>. 691 300 (šeši šimtai devyniasdešimt vienas tūkstantis trys šimtai) eurų – priemonei „Organizuoti profesinį mokymą užimtiems asmenims, be to, daugiau lėšų skirti bedarbiams ir užimtiems asmenims, įgyjantiems aukštą pridėtinę vertę kuriančias profesijas ir kompetencijas“;</w:t>
                  </w:r>
                </w:p>
              </w:sdtContent>
            </w:sdt>
            <w:sdt>
              <w:sdtPr>
                <w:alias w:val="2.5 pp."/>
                <w:tag w:val="part_2cfc0838fd0a4ba6a9b5be206d1593b1"/>
                <w:lock w:val="sdtLocked"/>
                <w:richText/>
              </w:sdtPr>
              <w:sdtContent>
                <w:p>
                  <w:pPr>
                    <w:spacing w:line="360" w:lineRule="atLeast"/>
                    <w:ind w:firstLine="720"/>
                    <w:jc w:val="both"/>
                    <w:rPr>
                      <w:color w:val="000000"/>
                      <w:lang w:eastAsia="lt-LT"/>
                    </w:rPr>
                  </w:pPr>
                  <w:sdt>
                    <w:sdtPr>
                      <w:alias w:val="Numeris"/>
                      <w:tag w:val="nr_2cfc0838fd0a4ba6a9b5be206d1593b1"/>
                      <w:lock w:val="sdtLocked"/>
                      <w:richText/>
                    </w:sdtPr>
                    <w:sdtContent>
                      <w:r>
                        <w:rPr>
                          <w:color w:val="000000"/>
                          <w:lang w:eastAsia="lt-LT"/>
                        </w:rPr>
                        <w:t>2.5</w:t>
                      </w:r>
                    </w:sdtContent>
                  </w:sdt>
                  <w:r>
                    <w:rPr>
                      <w:color w:val="000000"/>
                      <w:lang w:eastAsia="lt-LT"/>
                    </w:rPr>
                    <w:t>. 1 695 000 (vienas milijonas šeši šimtai devyniasdešimt penki tūkstančiai) eurų – priemonei „Paremti darbo vietų steigimą įmonėse ir nereikalauti pateikti sutarties galiojimo užtikrinimo“ ir priemonei „Teikti paramą darbo vietoms, skirtoms bedarbiams, kuriems nustatytas 45–55 proc. darbingumas, steigti“;</w:t>
                  </w:r>
                </w:p>
              </w:sdtContent>
            </w:sdt>
            <w:sdt>
              <w:sdtPr>
                <w:alias w:val="2.6 pp."/>
                <w:tag w:val="part_b082b1be31ad45f48a048bdd8009f39c"/>
                <w:lock w:val="sdtLocked"/>
                <w:richText/>
              </w:sdtPr>
              <w:sdtContent>
                <w:p>
                  <w:pPr>
                    <w:spacing w:line="360" w:lineRule="atLeast"/>
                    <w:ind w:firstLine="720"/>
                    <w:jc w:val="both"/>
                    <w:rPr>
                      <w:color w:val="000000"/>
                      <w:lang w:eastAsia="lt-LT"/>
                    </w:rPr>
                  </w:pPr>
                  <w:sdt>
                    <w:sdtPr>
                      <w:alias w:val="Numeris"/>
                      <w:tag w:val="nr_b082b1be31ad45f48a048bdd8009f39c"/>
                      <w:lock w:val="sdtLocked"/>
                      <w:richText/>
                    </w:sdtPr>
                    <w:sdtContent>
                      <w:r>
                        <w:rPr>
                          <w:color w:val="000000"/>
                          <w:lang w:eastAsia="lt-LT"/>
                        </w:rPr>
                        <w:t>2.6</w:t>
                      </w:r>
                    </w:sdtContent>
                  </w:sdt>
                  <w:r>
                    <w:rPr>
                      <w:color w:val="000000"/>
                      <w:lang w:eastAsia="lt-LT"/>
                    </w:rPr>
                    <w:t>. 38 500 000 (trisdešimt aštuoni milijonai penki šimtai tūkstančių) eurų – priemonei „Mokėti laikiną darbo paieškos išmoką bedarbiams, nedalyvaujantiems aktyvios darbo rinkos politikos priemonėse (iki 6 mėn.)“.</w:t>
                  </w:r>
                </w:p>
              </w:sdtContent>
            </w:sdt>
          </w:sdtContent>
        </w:sdt>
        <w:sdt>
          <w:sdtPr>
            <w:alias w:val="3 p."/>
            <w:tag w:val="part_ac13ce293d1142f0a2295a9a67e8557a"/>
            <w:lock w:val="sdtLocked"/>
            <w:richText/>
          </w:sdtPr>
          <w:sdtContent>
            <w:p>
              <w:pPr>
                <w:spacing w:line="360" w:lineRule="atLeast"/>
                <w:ind w:firstLine="720"/>
                <w:jc w:val="both"/>
                <w:rPr>
                  <w:color w:val="000000"/>
                  <w:lang w:eastAsia="lt-LT"/>
                </w:rPr>
              </w:pPr>
              <w:sdt>
                <w:sdtPr>
                  <w:alias w:val="Numeris"/>
                  <w:tag w:val="nr_ac13ce293d1142f0a2295a9a67e8557a"/>
                  <w:lock w:val="sdtLocked"/>
                  <w:richText/>
                </w:sdtPr>
                <w:sdtContent>
                  <w:r>
                    <w:rPr>
                      <w:color w:val="000000"/>
                      <w:lang w:eastAsia="lt-LT"/>
                    </w:rPr>
                    <w:t>3</w:t>
                  </w:r>
                </w:sdtContent>
              </w:sdt>
              <w:r>
                <w:rPr>
                  <w:color w:val="000000"/>
                  <w:lang w:eastAsia="lt-LT"/>
                </w:rPr>
                <w:t>. Lietuvos Respublikos susisiekimo ministerijai – 8 833 (aštuoni tūkstančiai aštuoni šimtai trisdešimt trys) eurus teisinio atstovavimo paslaugų išlaidoms apmokėti pagal 2020 m. gegužės 27 d. teisinių paslaugų teikimo sutartį Nr. 1F-79 su advokatų profesine bendrija „Markevičius, Gerasičkinas ir partneriai“ dėl pareiškėjo „Skinest Rail“ AS Lietuvos Respublikos Vyriausybei (valstybei) reiškiamos pretenzijos dėl Estijos Respublikos Vyriausybės ir Lietuvos Respublikos Vyriausybės 1995 m. rugsėjo 7 d. sutarties dėl investicijų skatinimo ir abipusės apsaugos galimo pažeidimo.</w:t>
              </w:r>
            </w:p>
          </w:sdtContent>
        </w:sdt>
        <w:sdt>
          <w:sdtPr>
            <w:alias w:val="4 p."/>
            <w:tag w:val="part_359692d644e645f6a2f6caa7ee4c5009"/>
            <w:lock w:val="sdtLocked"/>
            <w:richText/>
          </w:sdtPr>
          <w:sdtContent>
            <w:p>
              <w:pPr>
                <w:spacing w:line="360" w:lineRule="atLeast"/>
                <w:ind w:firstLine="720"/>
                <w:jc w:val="both"/>
                <w:rPr>
                  <w:lang w:eastAsia="lt-LT"/>
                </w:rPr>
              </w:pPr>
              <w:sdt>
                <w:sdtPr>
                  <w:alias w:val="Numeris"/>
                  <w:tag w:val="nr_359692d644e645f6a2f6caa7ee4c5009"/>
                  <w:lock w:val="sdtLocked"/>
                  <w:richText/>
                </w:sdtPr>
                <w:sdtContent>
                  <w:r>
                    <w:rPr>
                      <w:color w:val="000000"/>
                      <w:lang w:eastAsia="lt-LT"/>
                    </w:rPr>
                    <w:t>4</w:t>
                  </w:r>
                </w:sdtContent>
              </w:sdt>
              <w:r>
                <w:rPr>
                  <w:color w:val="000000"/>
                  <w:lang w:eastAsia="lt-LT"/>
                </w:rPr>
                <w:t xml:space="preserve">. Lietuvos Respublikos </w:t>
              </w:r>
              <w:r>
                <w:rPr>
                  <w:lang w:eastAsia="lt-LT"/>
                </w:rPr>
                <w:t>kultūros ministerijai – 2 800 000 (</w:t>
              </w:r>
              <w:r>
                <w:rPr>
                  <w:szCs w:val="24"/>
                  <w:lang w:eastAsia="lt-LT"/>
                </w:rPr>
                <w:t>du milijonai aštuoni šimtai tūkstančių)</w:t>
              </w:r>
              <w:r>
                <w:rPr>
                  <w:lang w:eastAsia="lt-LT"/>
                </w:rPr>
                <w:t xml:space="preserve"> eurų P</w:t>
              </w:r>
              <w:r>
                <w:rPr>
                  <w:szCs w:val="24"/>
                  <w:lang w:eastAsia="lt-LT"/>
                </w:rPr>
                <w:t>riemonių plano 4 tikslo „Skatinti ekonomiką“ priemonei „Kino industrijai skatinti“ įgyvendinti.</w:t>
              </w:r>
            </w:p>
          </w:sdtContent>
        </w:sdt>
        <w:sdt>
          <w:sdtPr>
            <w:alias w:val="5 p."/>
            <w:tag w:val="part_f97ded791fc04bcf8d3cb9b4418e5e29"/>
            <w:lock w:val="sdtLocked"/>
            <w:richText/>
          </w:sdtPr>
          <w:sdtContent>
            <w:p>
              <w:pPr>
                <w:tabs>
                  <w:tab w:val="center" w:pos="-7800"/>
                  <w:tab w:val="left" w:pos="6237"/>
                  <w:tab w:val="right" w:pos="8306"/>
                </w:tabs>
                <w:spacing w:line="360" w:lineRule="atLeast"/>
                <w:ind w:firstLine="720"/>
                <w:jc w:val="both"/>
              </w:pPr>
              <w:sdt>
                <w:sdtPr>
                  <w:alias w:val="Numeris"/>
                  <w:tag w:val="nr_f97ded791fc04bcf8d3cb9b4418e5e29"/>
                  <w:lock w:val="sdtLocked"/>
                  <w:richText/>
                </w:sdtPr>
                <w:sdtContent>
                  <w:r>
                    <w:t>5</w:t>
                  </w:r>
                </w:sdtContent>
              </w:sdt>
              <w:r>
                <w:t>. Asignavimų valdytojams (pagal priedą) – 4 456 000 (keturi milijonai keturi šimtai penkiasdešimt šeši tūkstančiai) eurų Priemonių plano 4 tikslo „Skatinti ekonomiką“ priemonei „Kultūros ir meno paslaugoms kurti, kartu užtikrinant biudžetinių valstybės kultūros įstaigų veiklą“ įgyvendinti.</w:t>
              </w:r>
            </w:p>
            <w:p>
              <w:pPr>
                <w:ind w:left="-142" w:firstLine="142"/>
              </w:pPr>
            </w:p>
            <w:p>
              <w:pPr>
                <w:ind w:left="-142" w:firstLine="142"/>
              </w:pPr>
            </w:p>
          </w:sdtContent>
        </w:sdt>
        <w:sdt>
          <w:sdtPr>
            <w:alias w:val="signatura"/>
            <w:tag w:val="part_908c527a358c4d929a30dc51955336c6"/>
            <w:lock w:val="sdtLocked"/>
            <w:richText/>
          </w:sdtPr>
          <w:sdtContent>
            <w:p>
              <w:pPr>
                <w:ind w:left="-142" w:firstLine="142"/>
              </w:pPr>
              <w:r>
                <w:t>Ministras Pirmininkas</w:t>
              </w:r>
            </w:p>
            <w:p/>
            <w:p>
              <w:pPr>
                <w:ind w:left="-142" w:firstLine="142"/>
              </w:pPr>
              <w:r>
                <w:t>Finansų ministras</w:t>
              </w:r>
            </w:p>
            <w:p>
              <w:pPr>
                <w:ind w:left="-142" w:firstLine="142"/>
              </w:pPr>
            </w:p>
            <w:p>
              <w:pPr>
                <w:ind w:left="-142" w:firstLine="142"/>
              </w:pPr>
            </w:p>
            <w:p>
              <w:pPr>
                <w:ind w:left="-142" w:firstLine="142"/>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pPr>
            </w:p>
            <w:p>
              <w:pPr>
                <w:tabs>
                  <w:tab w:val="center" w:pos="4819"/>
                  <w:tab w:val="right" w:pos="9638"/>
                </w:tabs>
              </w:pPr>
            </w:p>
            <w:p>
              <w:pPr>
                <w:ind w:left="-142" w:firstLine="142"/>
              </w:pPr>
            </w:p>
          </w:sdtContent>
        </w:sdt>
      </w:sdtContent>
    </w:sdt>
    <w:sdt>
      <w:sdtPr>
        <w:alias w:val="pr."/>
        <w:tag w:val="part_6241155a39d44515b83d87b9ca2f0416"/>
        <w:lock w:val="sdtLocked"/>
        <w:richText/>
      </w:sdtPr>
      <w:sdtContent>
        <w:p>
          <w:pPr>
            <w:ind w:left="5040" w:firstLine="213"/>
            <w:rPr>
              <w:szCs w:val="24"/>
            </w:rPr>
          </w:pPr>
          <w:r>
            <w:rPr>
              <w:szCs w:val="24"/>
            </w:rPr>
            <w:t>Lietuvos Respublikos Vyriausybės</w:t>
          </w:r>
        </w:p>
        <w:p>
          <w:pPr>
            <w:ind w:left="5040" w:firstLine="213"/>
            <w:rPr>
              <w:szCs w:val="24"/>
            </w:rPr>
          </w:pPr>
          <w:r>
            <w:t xml:space="preserve">2020 m.                 d. </w:t>
          </w:r>
          <w:r>
            <w:rPr>
              <w:szCs w:val="24"/>
            </w:rPr>
            <w:t>nutarimo</w:t>
          </w:r>
          <w:r>
            <w:t xml:space="preserve"> Nr. </w:t>
          </w:r>
        </w:p>
        <w:p>
          <w:pPr>
            <w:ind w:left="5040" w:firstLine="213"/>
            <w:rPr>
              <w:szCs w:val="24"/>
            </w:rPr>
          </w:pPr>
          <w:r>
            <w:rPr>
              <w:szCs w:val="24"/>
            </w:rPr>
            <w:t>priedas</w:t>
          </w:r>
        </w:p>
        <w:p>
          <w:pPr>
            <w:tabs>
              <w:tab w:val="left" w:pos="8475"/>
            </w:tabs>
            <w:ind w:firstLine="8475"/>
            <w:rPr>
              <w:b/>
              <w:szCs w:val="24"/>
            </w:rPr>
          </w:pPr>
        </w:p>
        <w:p>
          <w:pPr>
            <w:jc w:val="center"/>
            <w:rPr>
              <w:b/>
              <w:szCs w:val="24"/>
            </w:rPr>
          </w:pPr>
          <w:sdt>
            <w:sdtPr>
              <w:alias w:val="Pavadinimas"/>
              <w:tag w:val="title_6241155a39d44515b83d87b9ca2f0416"/>
              <w:lock w:val="sdtLocked"/>
              <w:richText/>
            </w:sdtPr>
            <w:sdtContent>
              <w:r>
                <w:rPr>
                  <w:b/>
                  <w:szCs w:val="24"/>
                </w:rPr>
                <w:t>V</w:t>
              </w:r>
              <w:r>
                <w:rPr>
                  <w:b/>
                  <w:bCs/>
                  <w:caps/>
                  <w:szCs w:val="24"/>
                  <w:lang w:eastAsia="lt-LT"/>
                </w:rPr>
                <w:t>alstybės vardu pasiskolintŲ lėšŲ</w:t>
              </w:r>
              <w:r>
                <w:rPr>
                  <w:b/>
                  <w:bCs/>
                  <w:color w:val="000000"/>
                  <w:szCs w:val="24"/>
                  <w:lang w:eastAsia="lt-LT"/>
                </w:rPr>
                <w:t xml:space="preserve"> PASKIRSTYMAS ASIGNAVIMŲ VALDYTOJAMS</w:t>
              </w:r>
            </w:sdtContent>
          </w:sdt>
        </w:p>
        <w:p>
          <w:pPr>
            <w:ind w:left="7921" w:hanging="3101"/>
            <w:rPr>
              <w:sz w:val="20"/>
            </w:rPr>
          </w:pPr>
        </w:p>
        <w:p>
          <w:pPr>
            <w:ind w:left="7921" w:hanging="266"/>
            <w:rPr>
              <w:sz w:val="2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6261"/>
            <w:gridCol w:w="1984"/>
          </w:tblGrid>
          <w:tr>
            <w:trPr>
              <w:tblHeader/>
            </w:trPr>
            <w:tc>
              <w:tcPr>
                <w:tcW w:w="817" w:type="dxa"/>
                <w:tcMar>
                  <w:top w:w="0" w:type="dxa"/>
                  <w:left w:w="108" w:type="dxa"/>
                  <w:bottom w:w="0" w:type="dxa"/>
                  <w:right w:w="108" w:type="dxa"/>
                </w:tcMar>
                <w:hideMark/>
              </w:tcPr>
              <w:p>
                <w:pPr>
                  <w:jc w:val="center"/>
                  <w:rPr>
                    <w:szCs w:val="24"/>
                    <w:lang w:eastAsia="lt-LT"/>
                  </w:rPr>
                </w:pPr>
                <w:r>
                  <w:rPr>
                    <w:szCs w:val="24"/>
                    <w:lang w:eastAsia="lt-LT"/>
                  </w:rPr>
                  <w:t>Eil. Nr.</w:t>
                </w:r>
              </w:p>
            </w:tc>
            <w:tc>
              <w:tcPr>
                <w:tcW w:w="6261" w:type="dxa"/>
                <w:tcMar>
                  <w:top w:w="0" w:type="dxa"/>
                  <w:left w:w="108" w:type="dxa"/>
                  <w:bottom w:w="0" w:type="dxa"/>
                  <w:right w:w="108" w:type="dxa"/>
                </w:tcMar>
                <w:vAlign w:val="center"/>
                <w:hideMark/>
              </w:tcPr>
              <w:p>
                <w:pPr>
                  <w:jc w:val="center"/>
                  <w:rPr>
                    <w:szCs w:val="24"/>
                    <w:lang w:eastAsia="lt-LT"/>
                  </w:rPr>
                </w:pPr>
                <w:r>
                  <w:rPr>
                    <w:szCs w:val="24"/>
                    <w:lang w:eastAsia="lt-LT"/>
                  </w:rPr>
                  <w:t>Asignavimų valdytojas</w:t>
                </w:r>
              </w:p>
            </w:tc>
            <w:tc>
              <w:tcPr>
                <w:tcW w:w="1984" w:type="dxa"/>
                <w:tcMar>
                  <w:top w:w="0" w:type="dxa"/>
                  <w:left w:w="108" w:type="dxa"/>
                  <w:bottom w:w="0" w:type="dxa"/>
                  <w:right w:w="108" w:type="dxa"/>
                </w:tcMar>
                <w:vAlign w:val="center"/>
                <w:hideMark/>
              </w:tcPr>
              <w:p>
                <w:pPr>
                  <w:jc w:val="center"/>
                  <w:rPr>
                    <w:szCs w:val="24"/>
                    <w:lang w:eastAsia="lt-LT"/>
                  </w:rPr>
                </w:pPr>
                <w:r>
                  <w:rPr>
                    <w:szCs w:val="24"/>
                    <w:lang w:eastAsia="lt-LT"/>
                  </w:rPr>
                  <w:t>Valstybės vardu pasiskolintos lėšos, tūkst. Eur</w:t>
                </w:r>
              </w:p>
            </w:tc>
          </w:tr>
          <w:tr>
            <w:tc>
              <w:tcPr>
                <w:tcW w:w="817" w:type="dxa"/>
                <w:tcMar>
                  <w:top w:w="0" w:type="dxa"/>
                  <w:left w:w="108" w:type="dxa"/>
                  <w:bottom w:w="0" w:type="dxa"/>
                  <w:right w:w="108" w:type="dxa"/>
                </w:tcMar>
              </w:tcPr>
              <w:p>
                <w:pPr>
                  <w:rPr>
                    <w:szCs w:val="24"/>
                    <w:lang w:eastAsia="lt-LT"/>
                  </w:rPr>
                </w:pPr>
              </w:p>
            </w:tc>
            <w:tc>
              <w:tcPr>
                <w:tcW w:w="6261" w:type="dxa"/>
                <w:tcMar>
                  <w:top w:w="0" w:type="dxa"/>
                  <w:left w:w="108" w:type="dxa"/>
                  <w:bottom w:w="0" w:type="dxa"/>
                  <w:right w:w="108" w:type="dxa"/>
                </w:tcMar>
              </w:tcPr>
              <w:p>
                <w:pPr>
                  <w:rPr>
                    <w:b/>
                    <w:bCs/>
                    <w:szCs w:val="24"/>
                    <w:lang w:eastAsia="lt-LT"/>
                  </w:rPr>
                </w:pPr>
                <w:r>
                  <w:rPr>
                    <w:b/>
                    <w:bCs/>
                    <w:szCs w:val="24"/>
                    <w:lang w:eastAsia="lt-LT"/>
                  </w:rPr>
                  <w:t>I. MINISTERIJOS</w:t>
                </w:r>
              </w:p>
            </w:tc>
            <w:tc>
              <w:tcPr>
                <w:tcW w:w="1984" w:type="dxa"/>
                <w:tcMar>
                  <w:top w:w="0" w:type="dxa"/>
                  <w:left w:w="108" w:type="dxa"/>
                  <w:bottom w:w="0" w:type="dxa"/>
                  <w:right w:w="108" w:type="dxa"/>
                </w:tcMar>
              </w:tcPr>
              <w:p>
                <w:pPr>
                  <w:jc w:val="center"/>
                  <w:rPr>
                    <w:b/>
                    <w:bCs/>
                    <w:szCs w:val="24"/>
                    <w:lang w:eastAsia="lt-LT"/>
                  </w:rPr>
                </w:pPr>
                <w:r>
                  <w:rPr>
                    <w:b/>
                    <w:bCs/>
                    <w:szCs w:val="24"/>
                    <w:lang w:eastAsia="lt-LT"/>
                  </w:rPr>
                  <w:t>2 566</w:t>
                </w:r>
              </w:p>
            </w:tc>
          </w:tr>
          <w:tr>
            <w:tc>
              <w:tcPr>
                <w:tcW w:w="817" w:type="dxa"/>
                <w:tcMar>
                  <w:top w:w="0" w:type="dxa"/>
                  <w:left w:w="108" w:type="dxa"/>
                  <w:bottom w:w="0" w:type="dxa"/>
                  <w:right w:w="108" w:type="dxa"/>
                </w:tcMar>
              </w:tcPr>
              <w:p>
                <w:pPr>
                  <w:rPr>
                    <w:szCs w:val="24"/>
                    <w:lang w:eastAsia="lt-LT"/>
                  </w:rPr>
                </w:pPr>
                <w:r>
                  <w:rPr>
                    <w:szCs w:val="24"/>
                    <w:lang w:eastAsia="lt-LT"/>
                  </w:rPr>
                  <w:t>1.</w:t>
                </w:r>
              </w:p>
            </w:tc>
            <w:tc>
              <w:tcPr>
                <w:tcW w:w="6261" w:type="dxa"/>
                <w:tcMar>
                  <w:top w:w="0" w:type="dxa"/>
                  <w:left w:w="108" w:type="dxa"/>
                  <w:bottom w:w="0" w:type="dxa"/>
                  <w:right w:w="108" w:type="dxa"/>
                </w:tcMar>
              </w:tcPr>
              <w:p>
                <w:pPr>
                  <w:rPr>
                    <w:szCs w:val="24"/>
                    <w:lang w:eastAsia="lt-LT"/>
                  </w:rPr>
                </w:pPr>
                <w:r>
                  <w:rPr>
                    <w:szCs w:val="24"/>
                    <w:lang w:eastAsia="lt-LT"/>
                  </w:rPr>
                  <w:t>Lietuvos Respublikos kultūros ministerija</w:t>
                </w:r>
              </w:p>
            </w:tc>
            <w:tc>
              <w:tcPr>
                <w:tcW w:w="1984" w:type="dxa"/>
                <w:tcMar>
                  <w:top w:w="0" w:type="dxa"/>
                  <w:left w:w="108" w:type="dxa"/>
                  <w:bottom w:w="0" w:type="dxa"/>
                  <w:right w:w="108" w:type="dxa"/>
                </w:tcMar>
              </w:tcPr>
              <w:p>
                <w:pPr>
                  <w:jc w:val="center"/>
                  <w:rPr>
                    <w:szCs w:val="24"/>
                    <w:lang w:eastAsia="lt-LT"/>
                  </w:rPr>
                </w:pPr>
                <w:r>
                  <w:rPr>
                    <w:szCs w:val="24"/>
                    <w:lang w:eastAsia="lt-LT"/>
                  </w:rPr>
                  <w:t>2 566</w:t>
                </w:r>
              </w:p>
            </w:tc>
          </w:tr>
          <w:tr>
            <w:tc>
              <w:tcPr>
                <w:tcW w:w="817" w:type="dxa"/>
                <w:tcMar>
                  <w:top w:w="0" w:type="dxa"/>
                  <w:left w:w="108" w:type="dxa"/>
                  <w:bottom w:w="0" w:type="dxa"/>
                  <w:right w:w="108" w:type="dxa"/>
                </w:tcMar>
                <w:hideMark/>
              </w:tcPr>
              <w:p>
                <w:pPr>
                  <w:ind w:firstLine="60"/>
                  <w:rPr>
                    <w:szCs w:val="24"/>
                    <w:lang w:eastAsia="lt-LT"/>
                  </w:rPr>
                </w:pPr>
              </w:p>
            </w:tc>
            <w:tc>
              <w:tcPr>
                <w:tcW w:w="6261" w:type="dxa"/>
                <w:tcMar>
                  <w:top w:w="0" w:type="dxa"/>
                  <w:left w:w="108" w:type="dxa"/>
                  <w:bottom w:w="0" w:type="dxa"/>
                  <w:right w:w="108" w:type="dxa"/>
                </w:tcMar>
                <w:hideMark/>
              </w:tcPr>
              <w:p>
                <w:pPr>
                  <w:rPr>
                    <w:szCs w:val="24"/>
                    <w:lang w:eastAsia="lt-LT"/>
                  </w:rPr>
                </w:pPr>
                <w:r>
                  <w:rPr>
                    <w:b/>
                    <w:bCs/>
                    <w:szCs w:val="24"/>
                    <w:lang w:eastAsia="lt-LT"/>
                  </w:rPr>
                  <w:t>II. KULTŪROS MINISTRO VALDYMO SRITIS</w:t>
                </w:r>
              </w:p>
            </w:tc>
            <w:tc>
              <w:tcPr>
                <w:tcW w:w="1984" w:type="dxa"/>
                <w:tcMar>
                  <w:top w:w="0" w:type="dxa"/>
                  <w:left w:w="108" w:type="dxa"/>
                  <w:bottom w:w="0" w:type="dxa"/>
                  <w:right w:w="108" w:type="dxa"/>
                </w:tcMar>
                <w:hideMark/>
              </w:tcPr>
              <w:p>
                <w:pPr>
                  <w:jc w:val="center"/>
                  <w:rPr>
                    <w:b/>
                    <w:bCs/>
                    <w:szCs w:val="24"/>
                    <w:lang w:eastAsia="lt-LT"/>
                  </w:rPr>
                </w:pPr>
                <w:r>
                  <w:rPr>
                    <w:b/>
                    <w:bCs/>
                    <w:szCs w:val="24"/>
                    <w:lang w:eastAsia="lt-LT"/>
                  </w:rPr>
                  <w:t>1 890 </w:t>
                </w:r>
              </w:p>
            </w:tc>
          </w:tr>
          <w:tr>
            <w:tc>
              <w:tcPr>
                <w:tcW w:w="817" w:type="dxa"/>
                <w:tcMar>
                  <w:top w:w="0" w:type="dxa"/>
                  <w:left w:w="108" w:type="dxa"/>
                  <w:bottom w:w="0" w:type="dxa"/>
                  <w:right w:w="108" w:type="dxa"/>
                </w:tcMar>
                <w:hideMark/>
              </w:tcPr>
              <w:p>
                <w:pPr>
                  <w:spacing w:line="360" w:lineRule="auto"/>
                  <w:rPr>
                    <w:szCs w:val="24"/>
                    <w:lang w:eastAsia="lt-LT"/>
                  </w:rPr>
                </w:pPr>
                <w:r>
                  <w:rPr>
                    <w:color w:val="000000"/>
                    <w:szCs w:val="24"/>
                    <w:lang w:eastAsia="lt-LT"/>
                  </w:rPr>
                  <w:t>2.</w:t>
                </w:r>
              </w:p>
            </w:tc>
            <w:tc>
              <w:tcPr>
                <w:tcW w:w="6261" w:type="dxa"/>
                <w:tcMar>
                  <w:top w:w="0" w:type="dxa"/>
                  <w:left w:w="108" w:type="dxa"/>
                  <w:bottom w:w="0" w:type="dxa"/>
                  <w:right w:w="108" w:type="dxa"/>
                </w:tcMar>
                <w:hideMark/>
              </w:tcPr>
              <w:p>
                <w:pPr>
                  <w:rPr>
                    <w:szCs w:val="24"/>
                    <w:lang w:eastAsia="lt-LT"/>
                  </w:rPr>
                </w:pPr>
                <w:r>
                  <w:t>Lietuvos nacionalinis muziejus</w:t>
                </w:r>
              </w:p>
            </w:tc>
            <w:tc>
              <w:tcPr>
                <w:tcW w:w="1984" w:type="dxa"/>
                <w:tcMar>
                  <w:top w:w="0" w:type="dxa"/>
                  <w:left w:w="108" w:type="dxa"/>
                  <w:bottom w:w="0" w:type="dxa"/>
                  <w:right w:w="108" w:type="dxa"/>
                </w:tcMar>
                <w:hideMark/>
              </w:tcPr>
              <w:p>
                <w:pPr>
                  <w:jc w:val="center"/>
                  <w:rPr>
                    <w:szCs w:val="24"/>
                    <w:lang w:eastAsia="lt-LT"/>
                  </w:rPr>
                </w:pPr>
                <w:r>
                  <w:rPr>
                    <w:szCs w:val="24"/>
                    <w:lang w:eastAsia="lt-LT"/>
                  </w:rPr>
                  <w:t>190</w:t>
                </w:r>
              </w:p>
            </w:tc>
          </w:tr>
          <w:tr>
            <w:tc>
              <w:tcPr>
                <w:tcW w:w="817" w:type="dxa"/>
                <w:tcMar>
                  <w:top w:w="0" w:type="dxa"/>
                  <w:left w:w="108" w:type="dxa"/>
                  <w:bottom w:w="0" w:type="dxa"/>
                  <w:right w:w="108" w:type="dxa"/>
                </w:tcMar>
                <w:hideMark/>
              </w:tcPr>
              <w:p>
                <w:pPr>
                  <w:spacing w:line="360" w:lineRule="auto"/>
                  <w:rPr>
                    <w:szCs w:val="24"/>
                    <w:lang w:eastAsia="lt-LT"/>
                  </w:rPr>
                </w:pPr>
                <w:r>
                  <w:rPr>
                    <w:color w:val="000000"/>
                    <w:szCs w:val="24"/>
                    <w:lang w:eastAsia="lt-LT"/>
                  </w:rPr>
                  <w:t>3.</w:t>
                </w:r>
              </w:p>
            </w:tc>
            <w:tc>
              <w:tcPr>
                <w:tcW w:w="6261" w:type="dxa"/>
                <w:tcMar>
                  <w:top w:w="0" w:type="dxa"/>
                  <w:left w:w="108" w:type="dxa"/>
                  <w:bottom w:w="0" w:type="dxa"/>
                  <w:right w:w="108" w:type="dxa"/>
                </w:tcMar>
                <w:hideMark/>
              </w:tcPr>
              <w:p>
                <w:pPr>
                  <w:rPr>
                    <w:szCs w:val="24"/>
                    <w:lang w:eastAsia="lt-LT"/>
                  </w:rPr>
                </w:pPr>
                <w:r>
                  <w:t>Lietuvos nacionalinis dailės muziejus</w:t>
                </w:r>
              </w:p>
            </w:tc>
            <w:tc>
              <w:tcPr>
                <w:tcW w:w="1984" w:type="dxa"/>
                <w:tcMar>
                  <w:top w:w="0" w:type="dxa"/>
                  <w:left w:w="108" w:type="dxa"/>
                  <w:bottom w:w="0" w:type="dxa"/>
                  <w:right w:w="108" w:type="dxa"/>
                </w:tcMar>
                <w:hideMark/>
              </w:tcPr>
              <w:p>
                <w:pPr>
                  <w:jc w:val="center"/>
                  <w:rPr>
                    <w:szCs w:val="24"/>
                    <w:lang w:eastAsia="lt-LT"/>
                  </w:rPr>
                </w:pPr>
                <w:r>
                  <w:rPr>
                    <w:szCs w:val="24"/>
                    <w:lang w:eastAsia="lt-LT"/>
                  </w:rPr>
                  <w:t>60</w:t>
                </w:r>
              </w:p>
            </w:tc>
          </w:tr>
          <w:tr>
            <w:tc>
              <w:tcPr>
                <w:tcW w:w="817" w:type="dxa"/>
                <w:tcMar>
                  <w:top w:w="0" w:type="dxa"/>
                  <w:left w:w="108" w:type="dxa"/>
                  <w:bottom w:w="0" w:type="dxa"/>
                  <w:right w:w="108" w:type="dxa"/>
                </w:tcMar>
                <w:hideMark/>
              </w:tcPr>
              <w:p>
                <w:pPr>
                  <w:rPr>
                    <w:szCs w:val="24"/>
                    <w:lang w:eastAsia="lt-LT"/>
                  </w:rPr>
                </w:pPr>
                <w:r>
                  <w:rPr>
                    <w:szCs w:val="24"/>
                    <w:lang w:eastAsia="lt-LT"/>
                  </w:rPr>
                  <w:t>4.</w:t>
                </w:r>
              </w:p>
            </w:tc>
            <w:tc>
              <w:tcPr>
                <w:tcW w:w="6261" w:type="dxa"/>
                <w:tcMar>
                  <w:top w:w="0" w:type="dxa"/>
                  <w:left w:w="108" w:type="dxa"/>
                  <w:bottom w:w="0" w:type="dxa"/>
                  <w:right w:w="108" w:type="dxa"/>
                </w:tcMar>
                <w:hideMark/>
              </w:tcPr>
              <w:p>
                <w:pPr>
                  <w:rPr>
                    <w:szCs w:val="24"/>
                    <w:lang w:eastAsia="lt-LT"/>
                  </w:rPr>
                </w:pPr>
                <w:r>
                  <w:t>Nacionalinis muziejus Lietuvos Didžiosios Kunigaikštystės valdovų rūmai</w:t>
                </w:r>
              </w:p>
            </w:tc>
            <w:tc>
              <w:tcPr>
                <w:tcW w:w="1984" w:type="dxa"/>
                <w:tcMar>
                  <w:top w:w="0" w:type="dxa"/>
                  <w:left w:w="108" w:type="dxa"/>
                  <w:bottom w:w="0" w:type="dxa"/>
                  <w:right w:w="108" w:type="dxa"/>
                </w:tcMar>
                <w:hideMark/>
              </w:tcPr>
              <w:p>
                <w:pPr>
                  <w:jc w:val="center"/>
                  <w:rPr>
                    <w:szCs w:val="24"/>
                    <w:lang w:eastAsia="lt-LT"/>
                  </w:rPr>
                </w:pPr>
                <w:r>
                  <w:rPr>
                    <w:szCs w:val="24"/>
                    <w:lang w:eastAsia="lt-LT"/>
                  </w:rPr>
                  <w:t>80</w:t>
                </w:r>
              </w:p>
            </w:tc>
          </w:tr>
          <w:tr>
            <w:tc>
              <w:tcPr>
                <w:tcW w:w="817" w:type="dxa"/>
                <w:tcMar>
                  <w:top w:w="0" w:type="dxa"/>
                  <w:left w:w="108" w:type="dxa"/>
                  <w:bottom w:w="0" w:type="dxa"/>
                  <w:right w:w="108" w:type="dxa"/>
                </w:tcMar>
                <w:hideMark/>
              </w:tcPr>
              <w:p>
                <w:pPr>
                  <w:spacing w:line="360" w:lineRule="auto"/>
                  <w:rPr>
                    <w:szCs w:val="24"/>
                    <w:lang w:eastAsia="lt-LT"/>
                  </w:rPr>
                </w:pPr>
                <w:r>
                  <w:rPr>
                    <w:szCs w:val="24"/>
                    <w:lang w:eastAsia="lt-LT"/>
                  </w:rPr>
                  <w:t>5.</w:t>
                </w:r>
              </w:p>
            </w:tc>
            <w:tc>
              <w:tcPr>
                <w:tcW w:w="6261" w:type="dxa"/>
                <w:tcMar>
                  <w:top w:w="0" w:type="dxa"/>
                  <w:left w:w="108" w:type="dxa"/>
                  <w:bottom w:w="0" w:type="dxa"/>
                  <w:right w:w="108" w:type="dxa"/>
                </w:tcMar>
                <w:hideMark/>
              </w:tcPr>
              <w:p>
                <w:pPr>
                  <w:rPr>
                    <w:szCs w:val="24"/>
                    <w:lang w:eastAsia="lt-LT"/>
                  </w:rPr>
                </w:pPr>
                <w:r>
                  <w:t>Nacionalinis M. K. Čiurlionio dailės muziejus</w:t>
                </w:r>
              </w:p>
            </w:tc>
            <w:tc>
              <w:tcPr>
                <w:tcW w:w="1984" w:type="dxa"/>
                <w:tcMar>
                  <w:top w:w="0" w:type="dxa"/>
                  <w:left w:w="108" w:type="dxa"/>
                  <w:bottom w:w="0" w:type="dxa"/>
                  <w:right w:w="108" w:type="dxa"/>
                </w:tcMar>
                <w:hideMark/>
              </w:tcPr>
              <w:p>
                <w:pPr>
                  <w:jc w:val="center"/>
                  <w:rPr>
                    <w:szCs w:val="24"/>
                    <w:lang w:eastAsia="lt-LT"/>
                  </w:rPr>
                </w:pPr>
                <w:r>
                  <w:rPr>
                    <w:szCs w:val="24"/>
                    <w:lang w:eastAsia="lt-LT"/>
                  </w:rPr>
                  <w:t>85</w:t>
                </w:r>
              </w:p>
            </w:tc>
          </w:tr>
          <w:tr>
            <w:tc>
              <w:tcPr>
                <w:tcW w:w="817" w:type="dxa"/>
                <w:tcMar>
                  <w:top w:w="0" w:type="dxa"/>
                  <w:left w:w="108" w:type="dxa"/>
                  <w:bottom w:w="0" w:type="dxa"/>
                  <w:right w:w="108" w:type="dxa"/>
                </w:tcMar>
                <w:hideMark/>
              </w:tcPr>
              <w:p>
                <w:pPr>
                  <w:spacing w:line="360" w:lineRule="auto"/>
                  <w:rPr>
                    <w:szCs w:val="24"/>
                    <w:lang w:eastAsia="lt-LT"/>
                  </w:rPr>
                </w:pPr>
                <w:r>
                  <w:rPr>
                    <w:color w:val="000000"/>
                    <w:szCs w:val="24"/>
                    <w:lang w:eastAsia="lt-LT"/>
                  </w:rPr>
                  <w:t>6.</w:t>
                </w:r>
              </w:p>
            </w:tc>
            <w:tc>
              <w:tcPr>
                <w:tcW w:w="6261" w:type="dxa"/>
                <w:tcMar>
                  <w:top w:w="0" w:type="dxa"/>
                  <w:left w:w="108" w:type="dxa"/>
                  <w:bottom w:w="0" w:type="dxa"/>
                  <w:right w:w="108" w:type="dxa"/>
                </w:tcMar>
                <w:hideMark/>
              </w:tcPr>
              <w:p>
                <w:pPr>
                  <w:rPr>
                    <w:szCs w:val="24"/>
                    <w:lang w:eastAsia="lt-LT"/>
                  </w:rPr>
                </w:pPr>
                <w:r>
                  <w:t>Lietuvos nacionalinis operos ir baleto teatras</w:t>
                </w:r>
              </w:p>
            </w:tc>
            <w:tc>
              <w:tcPr>
                <w:tcW w:w="1984" w:type="dxa"/>
                <w:tcMar>
                  <w:top w:w="0" w:type="dxa"/>
                  <w:left w:w="108" w:type="dxa"/>
                  <w:bottom w:w="0" w:type="dxa"/>
                  <w:right w:w="108" w:type="dxa"/>
                </w:tcMar>
                <w:hideMark/>
              </w:tcPr>
              <w:p>
                <w:pPr>
                  <w:jc w:val="center"/>
                  <w:rPr>
                    <w:szCs w:val="24"/>
                    <w:lang w:eastAsia="lt-LT"/>
                  </w:rPr>
                </w:pPr>
                <w:r>
                  <w:rPr>
                    <w:szCs w:val="24"/>
                    <w:lang w:eastAsia="lt-LT"/>
                  </w:rPr>
                  <w:t>655</w:t>
                </w:r>
              </w:p>
            </w:tc>
          </w:tr>
          <w:tr>
            <w:trPr>
              <w:trHeight w:val="425"/>
            </w:trPr>
            <w:tc>
              <w:tcPr>
                <w:tcW w:w="817" w:type="dxa"/>
                <w:tcMar>
                  <w:top w:w="0" w:type="dxa"/>
                  <w:left w:w="108" w:type="dxa"/>
                  <w:bottom w:w="0" w:type="dxa"/>
                  <w:right w:w="108" w:type="dxa"/>
                </w:tcMar>
                <w:hideMark/>
              </w:tcPr>
              <w:p>
                <w:pPr>
                  <w:rPr>
                    <w:szCs w:val="24"/>
                    <w:lang w:eastAsia="lt-LT"/>
                  </w:rPr>
                </w:pPr>
                <w:r>
                  <w:rPr>
                    <w:szCs w:val="24"/>
                    <w:lang w:eastAsia="lt-LT"/>
                  </w:rPr>
                  <w:t>7.</w:t>
                </w:r>
              </w:p>
            </w:tc>
            <w:tc>
              <w:tcPr>
                <w:tcW w:w="6261" w:type="dxa"/>
                <w:tcMar>
                  <w:top w:w="0" w:type="dxa"/>
                  <w:left w:w="108" w:type="dxa"/>
                  <w:bottom w:w="0" w:type="dxa"/>
                  <w:right w:w="108" w:type="dxa"/>
                </w:tcMar>
                <w:hideMark/>
              </w:tcPr>
              <w:p>
                <w:pPr>
                  <w:rPr>
                    <w:szCs w:val="24"/>
                    <w:lang w:eastAsia="lt-LT"/>
                  </w:rPr>
                </w:pPr>
                <w:r>
                  <w:t>Lietuvos nacionalinis dramos teatras</w:t>
                </w:r>
              </w:p>
            </w:tc>
            <w:tc>
              <w:tcPr>
                <w:tcW w:w="1984" w:type="dxa"/>
                <w:tcMar>
                  <w:top w:w="0" w:type="dxa"/>
                  <w:left w:w="108" w:type="dxa"/>
                  <w:bottom w:w="0" w:type="dxa"/>
                  <w:right w:w="108" w:type="dxa"/>
                </w:tcMar>
                <w:hideMark/>
              </w:tcPr>
              <w:p>
                <w:pPr>
                  <w:jc w:val="center"/>
                  <w:rPr>
                    <w:szCs w:val="24"/>
                    <w:lang w:eastAsia="lt-LT"/>
                  </w:rPr>
                </w:pPr>
                <w:r>
                  <w:rPr>
                    <w:szCs w:val="24"/>
                    <w:lang w:eastAsia="lt-LT"/>
                  </w:rPr>
                  <w:t>346</w:t>
                </w:r>
              </w:p>
            </w:tc>
          </w:tr>
          <w:tr>
            <w:trPr>
              <w:trHeight w:val="404"/>
            </w:trPr>
            <w:tc>
              <w:tcPr>
                <w:tcW w:w="817" w:type="dxa"/>
                <w:tcMar>
                  <w:top w:w="0" w:type="dxa"/>
                  <w:left w:w="108" w:type="dxa"/>
                  <w:bottom w:w="0" w:type="dxa"/>
                  <w:right w:w="108" w:type="dxa"/>
                </w:tcMar>
                <w:hideMark/>
              </w:tcPr>
              <w:p>
                <w:pPr>
                  <w:rPr>
                    <w:szCs w:val="24"/>
                    <w:lang w:eastAsia="lt-LT"/>
                  </w:rPr>
                </w:pPr>
                <w:r>
                  <w:rPr>
                    <w:szCs w:val="24"/>
                    <w:lang w:eastAsia="lt-LT"/>
                  </w:rPr>
                  <w:t>8.</w:t>
                </w:r>
              </w:p>
            </w:tc>
            <w:tc>
              <w:tcPr>
                <w:tcW w:w="6261" w:type="dxa"/>
                <w:tcMar>
                  <w:top w:w="0" w:type="dxa"/>
                  <w:left w:w="108" w:type="dxa"/>
                  <w:bottom w:w="0" w:type="dxa"/>
                  <w:right w:w="108" w:type="dxa"/>
                </w:tcMar>
                <w:hideMark/>
              </w:tcPr>
              <w:p>
                <w:pPr>
                  <w:rPr>
                    <w:szCs w:val="24"/>
                    <w:lang w:eastAsia="lt-LT"/>
                  </w:rPr>
                </w:pPr>
                <w:r>
                  <w:t>Nacionalinis Kauno dramos teatras</w:t>
                </w:r>
              </w:p>
            </w:tc>
            <w:tc>
              <w:tcPr>
                <w:tcW w:w="1984" w:type="dxa"/>
                <w:tcMar>
                  <w:top w:w="0" w:type="dxa"/>
                  <w:left w:w="108" w:type="dxa"/>
                  <w:bottom w:w="0" w:type="dxa"/>
                  <w:right w:w="108" w:type="dxa"/>
                </w:tcMar>
                <w:hideMark/>
              </w:tcPr>
              <w:p>
                <w:pPr>
                  <w:jc w:val="center"/>
                  <w:rPr>
                    <w:szCs w:val="24"/>
                    <w:lang w:eastAsia="lt-LT"/>
                  </w:rPr>
                </w:pPr>
                <w:r>
                  <w:rPr>
                    <w:szCs w:val="24"/>
                    <w:lang w:eastAsia="lt-LT"/>
                  </w:rPr>
                  <w:t>60</w:t>
                </w:r>
              </w:p>
            </w:tc>
          </w:tr>
          <w:tr>
            <w:tc>
              <w:tcPr>
                <w:tcW w:w="817" w:type="dxa"/>
                <w:tcMar>
                  <w:top w:w="0" w:type="dxa"/>
                  <w:left w:w="108" w:type="dxa"/>
                  <w:bottom w:w="0" w:type="dxa"/>
                  <w:right w:w="108" w:type="dxa"/>
                </w:tcMar>
                <w:hideMark/>
              </w:tcPr>
              <w:p>
                <w:pPr>
                  <w:spacing w:line="360" w:lineRule="auto"/>
                  <w:rPr>
                    <w:szCs w:val="24"/>
                    <w:lang w:eastAsia="lt-LT"/>
                  </w:rPr>
                </w:pPr>
                <w:r>
                  <w:rPr>
                    <w:color w:val="000000"/>
                    <w:szCs w:val="24"/>
                    <w:lang w:eastAsia="lt-LT"/>
                  </w:rPr>
                  <w:t>9.</w:t>
                </w:r>
              </w:p>
            </w:tc>
            <w:tc>
              <w:tcPr>
                <w:tcW w:w="6261" w:type="dxa"/>
                <w:tcMar>
                  <w:top w:w="0" w:type="dxa"/>
                  <w:left w:w="108" w:type="dxa"/>
                  <w:bottom w:w="0" w:type="dxa"/>
                  <w:right w:w="108" w:type="dxa"/>
                </w:tcMar>
                <w:hideMark/>
              </w:tcPr>
              <w:p>
                <w:pPr>
                  <w:rPr>
                    <w:szCs w:val="24"/>
                    <w:lang w:eastAsia="lt-LT"/>
                  </w:rPr>
                </w:pPr>
                <w:r>
                  <w:t>Koncertinė įstaiga Lietuvos nacionalinė filharmonija</w:t>
                </w:r>
              </w:p>
            </w:tc>
            <w:tc>
              <w:tcPr>
                <w:tcW w:w="1984" w:type="dxa"/>
                <w:tcMar>
                  <w:top w:w="0" w:type="dxa"/>
                  <w:left w:w="108" w:type="dxa"/>
                  <w:bottom w:w="0" w:type="dxa"/>
                  <w:right w:w="108" w:type="dxa"/>
                </w:tcMar>
                <w:hideMark/>
              </w:tcPr>
              <w:p>
                <w:pPr>
                  <w:jc w:val="center"/>
                  <w:rPr>
                    <w:szCs w:val="24"/>
                    <w:lang w:eastAsia="lt-LT"/>
                  </w:rPr>
                </w:pPr>
                <w:r>
                  <w:rPr>
                    <w:szCs w:val="24"/>
                    <w:lang w:eastAsia="lt-LT"/>
                  </w:rPr>
                  <w:t>166</w:t>
                </w:r>
              </w:p>
            </w:tc>
          </w:tr>
          <w:tr>
            <w:trPr>
              <w:trHeight w:val="401"/>
            </w:trPr>
            <w:tc>
              <w:tcPr>
                <w:tcW w:w="817" w:type="dxa"/>
                <w:tcMar>
                  <w:top w:w="0" w:type="dxa"/>
                  <w:left w:w="108" w:type="dxa"/>
                  <w:bottom w:w="0" w:type="dxa"/>
                  <w:right w:w="108" w:type="dxa"/>
                </w:tcMar>
                <w:hideMark/>
              </w:tcPr>
              <w:p>
                <w:pPr>
                  <w:rPr>
                    <w:szCs w:val="24"/>
                    <w:lang w:eastAsia="lt-LT"/>
                  </w:rPr>
                </w:pPr>
                <w:r>
                  <w:rPr>
                    <w:szCs w:val="24"/>
                    <w:lang w:eastAsia="lt-LT"/>
                  </w:rPr>
                  <w:t>10.</w:t>
                </w:r>
              </w:p>
            </w:tc>
            <w:tc>
              <w:tcPr>
                <w:tcW w:w="6261" w:type="dxa"/>
                <w:tcMar>
                  <w:top w:w="0" w:type="dxa"/>
                  <w:left w:w="108" w:type="dxa"/>
                  <w:bottom w:w="0" w:type="dxa"/>
                  <w:right w:w="108" w:type="dxa"/>
                </w:tcMar>
                <w:hideMark/>
              </w:tcPr>
              <w:p>
                <w:pPr>
                  <w:rPr>
                    <w:szCs w:val="24"/>
                    <w:lang w:eastAsia="lt-LT"/>
                  </w:rPr>
                </w:pPr>
                <w:r>
                  <w:t>Lietuvos nacionalinė Martyno Mažvydo biblioteka</w:t>
                </w:r>
              </w:p>
            </w:tc>
            <w:tc>
              <w:tcPr>
                <w:tcW w:w="1984" w:type="dxa"/>
                <w:tcMar>
                  <w:top w:w="0" w:type="dxa"/>
                  <w:left w:w="108" w:type="dxa"/>
                  <w:bottom w:w="0" w:type="dxa"/>
                  <w:right w:w="108" w:type="dxa"/>
                </w:tcMar>
                <w:hideMark/>
              </w:tcPr>
              <w:p>
                <w:pPr>
                  <w:jc w:val="center"/>
                  <w:rPr>
                    <w:szCs w:val="24"/>
                    <w:lang w:eastAsia="lt-LT"/>
                  </w:rPr>
                </w:pPr>
                <w:r>
                  <w:rPr>
                    <w:szCs w:val="24"/>
                    <w:lang w:eastAsia="lt-LT"/>
                  </w:rPr>
                  <w:t>50</w:t>
                </w:r>
              </w:p>
            </w:tc>
          </w:tr>
          <w:tr>
            <w:trPr>
              <w:trHeight w:val="407"/>
            </w:trPr>
            <w:tc>
              <w:tcPr>
                <w:tcW w:w="817" w:type="dxa"/>
                <w:tcMar>
                  <w:top w:w="0" w:type="dxa"/>
                  <w:left w:w="108" w:type="dxa"/>
                  <w:bottom w:w="0" w:type="dxa"/>
                  <w:right w:w="108" w:type="dxa"/>
                </w:tcMar>
              </w:tcPr>
              <w:p>
                <w:pPr>
                  <w:rPr>
                    <w:szCs w:val="24"/>
                    <w:lang w:eastAsia="lt-LT"/>
                  </w:rPr>
                </w:pPr>
                <w:r>
                  <w:rPr>
                    <w:szCs w:val="24"/>
                    <w:lang w:eastAsia="lt-LT"/>
                  </w:rPr>
                  <w:t>11.</w:t>
                </w:r>
              </w:p>
            </w:tc>
            <w:tc>
              <w:tcPr>
                <w:tcW w:w="6261" w:type="dxa"/>
                <w:tcMar>
                  <w:top w:w="0" w:type="dxa"/>
                  <w:left w:w="108" w:type="dxa"/>
                  <w:bottom w:w="0" w:type="dxa"/>
                  <w:right w:w="108" w:type="dxa"/>
                </w:tcMar>
              </w:tcPr>
              <w:p>
                <w:pPr>
                  <w:rPr>
                    <w:szCs w:val="24"/>
                    <w:lang w:eastAsia="lt-LT"/>
                  </w:rPr>
                </w:pPr>
                <w:r>
                  <w:t>Lietuvos vyriausiojo archyvaro tarnyba</w:t>
                </w:r>
              </w:p>
            </w:tc>
            <w:tc>
              <w:tcPr>
                <w:tcW w:w="1984" w:type="dxa"/>
                <w:tcMar>
                  <w:top w:w="0" w:type="dxa"/>
                  <w:left w:w="108" w:type="dxa"/>
                  <w:bottom w:w="0" w:type="dxa"/>
                  <w:right w:w="108" w:type="dxa"/>
                </w:tcMar>
              </w:tcPr>
              <w:p>
                <w:pPr>
                  <w:jc w:val="center"/>
                  <w:rPr>
                    <w:szCs w:val="24"/>
                    <w:lang w:eastAsia="lt-LT"/>
                  </w:rPr>
                </w:pPr>
                <w:r>
                  <w:rPr>
                    <w:szCs w:val="24"/>
                    <w:lang w:eastAsia="lt-LT"/>
                  </w:rPr>
                  <w:t>148</w:t>
                </w:r>
              </w:p>
            </w:tc>
          </w:tr>
          <w:tr>
            <w:tc>
              <w:tcPr>
                <w:tcW w:w="817" w:type="dxa"/>
                <w:tcMar>
                  <w:top w:w="0" w:type="dxa"/>
                  <w:left w:w="108" w:type="dxa"/>
                  <w:bottom w:w="0" w:type="dxa"/>
                  <w:right w:w="108" w:type="dxa"/>
                </w:tcMar>
                <w:hideMark/>
              </w:tcPr>
              <w:p>
                <w:pPr>
                  <w:rPr>
                    <w:szCs w:val="24"/>
                    <w:lang w:eastAsia="lt-LT"/>
                  </w:rPr>
                </w:pPr>
                <w:r>
                  <w:rPr>
                    <w:szCs w:val="24"/>
                    <w:lang w:eastAsia="lt-LT"/>
                  </w:rPr>
                  <w:t>12.</w:t>
                </w:r>
              </w:p>
            </w:tc>
            <w:tc>
              <w:tcPr>
                <w:tcW w:w="6261" w:type="dxa"/>
                <w:tcMar>
                  <w:top w:w="0" w:type="dxa"/>
                  <w:left w:w="108" w:type="dxa"/>
                  <w:bottom w:w="0" w:type="dxa"/>
                  <w:right w:w="108" w:type="dxa"/>
                </w:tcMar>
                <w:hideMark/>
              </w:tcPr>
              <w:p>
                <w:pPr>
                  <w:rPr>
                    <w:szCs w:val="24"/>
                    <w:lang w:eastAsia="lt-LT"/>
                  </w:rPr>
                </w:pPr>
                <w:r>
                  <w:rPr>
                    <w:szCs w:val="24"/>
                    <w:lang w:eastAsia="lt-LT"/>
                  </w:rPr>
                  <w:t>Tautinių mažumų departamentas prie Lietuvos Respublikos Vyriausybės</w:t>
                </w:r>
              </w:p>
            </w:tc>
            <w:tc>
              <w:tcPr>
                <w:tcW w:w="1984" w:type="dxa"/>
                <w:tcMar>
                  <w:top w:w="0" w:type="dxa"/>
                  <w:left w:w="108" w:type="dxa"/>
                  <w:bottom w:w="0" w:type="dxa"/>
                  <w:right w:w="108" w:type="dxa"/>
                </w:tcMar>
                <w:hideMark/>
              </w:tcPr>
              <w:p>
                <w:pPr>
                  <w:jc w:val="center"/>
                  <w:rPr>
                    <w:szCs w:val="24"/>
                    <w:lang w:eastAsia="lt-LT"/>
                  </w:rPr>
                </w:pPr>
                <w:r>
                  <w:rPr>
                    <w:szCs w:val="24"/>
                    <w:lang w:eastAsia="lt-LT"/>
                  </w:rPr>
                  <w:t>50</w:t>
                </w:r>
              </w:p>
            </w:tc>
          </w:tr>
          <w:tr>
            <w:tc>
              <w:tcPr>
                <w:tcW w:w="817" w:type="dxa"/>
                <w:tcMar>
                  <w:top w:w="0" w:type="dxa"/>
                  <w:left w:w="108" w:type="dxa"/>
                  <w:bottom w:w="0" w:type="dxa"/>
                  <w:right w:w="108" w:type="dxa"/>
                </w:tcMar>
              </w:tcPr>
              <w:p>
                <w:pPr>
                  <w:rPr>
                    <w:szCs w:val="24"/>
                    <w:lang w:eastAsia="lt-LT"/>
                  </w:rPr>
                </w:pPr>
              </w:p>
            </w:tc>
            <w:tc>
              <w:tcPr>
                <w:tcW w:w="6261" w:type="dxa"/>
                <w:tcMar>
                  <w:top w:w="0" w:type="dxa"/>
                  <w:left w:w="108" w:type="dxa"/>
                  <w:bottom w:w="0" w:type="dxa"/>
                  <w:right w:w="108" w:type="dxa"/>
                </w:tcMar>
              </w:tcPr>
              <w:p>
                <w:pPr>
                  <w:rPr>
                    <w:szCs w:val="24"/>
                    <w:lang w:eastAsia="lt-LT"/>
                  </w:rPr>
                </w:pPr>
                <w:r>
                  <w:rPr>
                    <w:b/>
                    <w:bCs/>
                    <w:caps/>
                    <w:szCs w:val="24"/>
                    <w:lang w:eastAsia="lt-LT"/>
                  </w:rPr>
                  <w:t>Iš viso</w:t>
                </w:r>
              </w:p>
            </w:tc>
            <w:tc>
              <w:tcPr>
                <w:tcW w:w="1984" w:type="dxa"/>
                <w:tcMar>
                  <w:top w:w="0" w:type="dxa"/>
                  <w:left w:w="108" w:type="dxa"/>
                  <w:bottom w:w="0" w:type="dxa"/>
                  <w:right w:w="108" w:type="dxa"/>
                </w:tcMar>
              </w:tcPr>
              <w:p>
                <w:pPr>
                  <w:jc w:val="center"/>
                  <w:rPr>
                    <w:szCs w:val="24"/>
                    <w:lang w:eastAsia="lt-LT"/>
                  </w:rPr>
                </w:pPr>
                <w:r>
                  <w:rPr>
                    <w:b/>
                    <w:bCs/>
                    <w:szCs w:val="24"/>
                    <w:lang w:eastAsia="lt-LT"/>
                  </w:rPr>
                  <w:t>4 456</w:t>
                </w:r>
              </w:p>
            </w:tc>
          </w:tr>
        </w:tbl>
        <w:p>
          <w:pPr>
            <w:jc w:val="center"/>
            <w:rPr>
              <w:szCs w:val="24"/>
            </w:rPr>
          </w:pPr>
        </w:p>
        <w:p>
          <w:pPr>
            <w:jc w:val="center"/>
            <w:rPr>
              <w:szCs w:val="24"/>
            </w:rPr>
          </w:pPr>
        </w:p>
        <w:p>
          <w:pPr>
            <w:jc w:val="center"/>
            <w:rPr>
              <w:szCs w:val="24"/>
            </w:rPr>
          </w:pPr>
          <w:r>
            <w:rPr>
              <w:szCs w:val="24"/>
            </w:rPr>
            <w:t>_____________________</w:t>
          </w:r>
        </w:p>
      </w:sdtContent>
    </w:sdt>
    <w:sectPr>
      <w:pgSz w:w="11906" w:h="16838" w:code="9"/>
      <w:pgMar w:top="1134" w:right="1134" w:bottom="1021"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17737615">
      <w:bodyDiv w:val="1"/>
      <w:marLeft w:val="0"/>
      <w:marRight w:val="0"/>
      <w:marTop w:val="0"/>
      <w:marBottom w:val="0"/>
      <w:divBdr>
        <w:top w:val="none" w:sz="0" w:space="0" w:color="auto"/>
        <w:left w:val="none" w:sz="0" w:space="0" w:color="auto"/>
        <w:bottom w:val="none" w:sz="0" w:space="0" w:color="auto"/>
        <w:right w:val="none" w:sz="0" w:space="0" w:color="auto"/>
      </w:divBdr>
    </w:div>
    <w:div w:id="9865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9e223de6f7054ef38f8283c479d2ea2b" PartId="274d2c8417b64aa0b26c3037a62ca5e6">
    <Part Type="preambule" DocPartId="ae640c628b7b40aca0555daf787adf9d" PartId="68555a8ee80346d4b7f55181d5d2e15b"/>
    <Part Type="pastraipa" DocPartId="a3ba10d1aa8b47d1b342e1ec7f773bc4" PartId="2870472d8ae6459da9b221ec58cde379"/>
    <Part Type="punktas" Nr="1" Abbr="1 p." DocPartId="3924771d6be3427b8c944d94955ef367" PartId="90a33ea392204eb29ac33a782691f6de"/>
    <Part Type="punktas" Nr="2" Abbr="2 p." DocPartId="cf8ad45c241f47d38f991ac646ec4fc9" PartId="c72147020ded4bf09183e142015f0224">
      <Part Type="papunktis" Nr="2.1" Abbr="2.1 pp." DocPartId="c5e565358bc843f59a4399ffa20b48ef" PartId="a462b10aef55403094bb93d6d0005578"/>
      <Part Type="papunktis" Nr="2.2" Abbr="2.2 pp." DocPartId="96fb8f316fbd459d95f8cace015a1856" PartId="1f144d60873b4916a408863b32abd758"/>
      <Part Type="papunktis" Nr="2.3" Abbr="2.3 pp." DocPartId="5d2792877e504a4f9d5b4e13ae86d0e6" PartId="80fd0fa76c514e4d939e906251f7affd"/>
      <Part Type="papunktis" Nr="2.4" Abbr="2.4 pp." DocPartId="5f5bce6325f64e80abb98d50e1f4e6cb" PartId="c5f95833cef245698e5318dd2cf1e732"/>
      <Part Type="papunktis" Nr="2.5" Abbr="2.5 pp." DocPartId="4a4add4146314d96a82d1dc79872f85a" PartId="2cfc0838fd0a4ba6a9b5be206d1593b1"/>
      <Part Type="papunktis" Nr="2.6" Abbr="2.6 pp." DocPartId="89029c87352c4cda9dc9bde522312401" PartId="b082b1be31ad45f48a048bdd8009f39c"/>
    </Part>
    <Part Type="punktas" Nr="3" Abbr="3 p." DocPartId="52692842c3584780975ffaf83171e465" PartId="ac13ce293d1142f0a2295a9a67e8557a"/>
    <Part Type="punktas" Nr="4" Abbr="4 p." DocPartId="2f640680eaa945ed8491bb37c67b5467" PartId="359692d644e645f6a2f6caa7ee4c5009"/>
    <Part Type="punktas" Nr="5" Abbr="5 p." DocPartId="84d67df3365e4cf2a2551dac0f00b8b1" PartId="f97ded791fc04bcf8d3cb9b4418e5e29"/>
    <Part Type="signatura" DocPartId="13babf5d50b24c82be0fbad0484d6c22" PartId="908c527a358c4d929a30dc51955336c6"/>
  </Part>
  <Part Type="priedas" Abbr="pr." Title="VALSTYBĖS VARDU PASISKOLINTŲ LĖŠŲ PASKIRSTYMAS ASIGNAVIMŲ VALDYTOJAMS" DocPartId="aa9acaafe8d54237b9598bc043c08a19" PartId="6241155a39d44515b83d87b9ca2f0416"/>
</Parts>
</file>

<file path=customXml/itemProps1.xml><?xml version="1.0" encoding="utf-8"?>
<ds:datastoreItem xmlns:ds="http://schemas.openxmlformats.org/officeDocument/2006/customXml" ds:itemID="{FC8BDCE8-3728-4420-B782-D5285A2BA768}">
  <ds:schemaRefs>
    <ds:schemaRef ds:uri="http://schemas.openxmlformats.org/officeDocument/2006/bibliography"/>
  </ds:schemaRefs>
</ds:datastoreItem>
</file>

<file path=customXml/itemProps2.xml><?xml version="1.0" encoding="utf-8"?>
<ds:datastoreItem xmlns:ds="http://schemas.openxmlformats.org/officeDocument/2006/customXml" ds:itemID="{42CFC84F-9726-4A34-B5E7-F08D7938D6A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5136</Characters>
  <Application>Microsoft Office Word</Application>
  <DocSecurity>4</DocSecurity>
  <Lines>146</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2020-09-09T08:41:00Z</dcterms:created>
  <dc:creator>Jolanta Trakimaviciene</dc:creator>
  <cp:lastModifiedBy>Asseco</cp:lastModifiedBy>
  <cp:lastPrinted>2020-06-01T08:34:00Z</cp:lastPrinted>
  <dcterms:modified xsi:type="dcterms:W3CDTF">2020-09-09T08:41:00Z</dcterms:modified>
  <cp:revision>2</cp:revision>
</cp:coreProperties>
</file>