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5511F" w14:textId="77777777" w:rsidR="00086204" w:rsidRDefault="00086204" w:rsidP="00086204">
      <w:pPr>
        <w:spacing w:before="160"/>
        <w:ind w:left="-851" w:firstLine="851"/>
        <w:jc w:val="center"/>
        <w:rPr>
          <w:b/>
          <w:caps/>
          <w:szCs w:val="24"/>
        </w:rPr>
      </w:pPr>
      <w:r>
        <w:rPr>
          <w:noProof/>
          <w:szCs w:val="24"/>
        </w:rPr>
        <w:drawing>
          <wp:inline distT="0" distB="0" distL="0" distR="0" wp14:anchorId="074A6AA1" wp14:editId="4CE9670C">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p w14:paraId="09E5DD0B" w14:textId="77777777" w:rsidR="00086204" w:rsidRDefault="00086204" w:rsidP="00086204">
      <w:pPr>
        <w:spacing w:before="160"/>
        <w:ind w:left="-851" w:firstLine="851"/>
        <w:jc w:val="center"/>
        <w:rPr>
          <w:b/>
          <w:caps/>
          <w:szCs w:val="24"/>
        </w:rPr>
      </w:pPr>
      <w:r>
        <w:rPr>
          <w:b/>
          <w:caps/>
          <w:szCs w:val="24"/>
        </w:rPr>
        <w:t>LIETUVOS RESPUBLIKOS energetikos MINISTERIJA</w:t>
      </w:r>
    </w:p>
    <w:p w14:paraId="525DAD1C" w14:textId="77777777" w:rsidR="00086204" w:rsidRDefault="00086204" w:rsidP="00086204">
      <w:pPr>
        <w:ind w:left="-851"/>
        <w:jc w:val="center"/>
        <w:rPr>
          <w:b/>
          <w:caps/>
          <w:szCs w:val="24"/>
        </w:rPr>
      </w:pPr>
    </w:p>
    <w:p w14:paraId="6EC6FB43" w14:textId="77777777" w:rsidR="00086204" w:rsidRDefault="00086204" w:rsidP="00086204">
      <w:pPr>
        <w:spacing w:before="40"/>
        <w:ind w:left="-851"/>
        <w:jc w:val="center"/>
        <w:rPr>
          <w:sz w:val="16"/>
          <w:szCs w:val="16"/>
        </w:rPr>
      </w:pPr>
      <w:r>
        <w:rPr>
          <w:sz w:val="16"/>
          <w:szCs w:val="16"/>
        </w:rPr>
        <w:t>Biudžetinė įstaiga, Gedimino pr. 38, LT-01104 Vilnius, tel. (8 5) 203 4407,</w:t>
      </w:r>
    </w:p>
    <w:p w14:paraId="62A22F5A" w14:textId="77777777" w:rsidR="00086204" w:rsidRDefault="00086204" w:rsidP="00086204">
      <w:pPr>
        <w:spacing w:before="40"/>
        <w:ind w:left="-851"/>
        <w:jc w:val="center"/>
        <w:rPr>
          <w:sz w:val="16"/>
          <w:szCs w:val="16"/>
        </w:rPr>
      </w:pPr>
      <w:r>
        <w:rPr>
          <w:sz w:val="16"/>
          <w:szCs w:val="16"/>
        </w:rPr>
        <w:t xml:space="preserve">faks. (8 5) 203 4692, el. p. </w:t>
      </w:r>
      <w:hyperlink r:id="rId9" w:history="1">
        <w:r>
          <w:rPr>
            <w:rStyle w:val="Hipersaitas"/>
            <w:sz w:val="16"/>
            <w:szCs w:val="16"/>
          </w:rPr>
          <w:t>info@enmin.lt</w:t>
        </w:r>
      </w:hyperlink>
      <w:r>
        <w:rPr>
          <w:rStyle w:val="Hipersaitas"/>
          <w:sz w:val="16"/>
          <w:szCs w:val="16"/>
        </w:rPr>
        <w:t>.</w:t>
      </w:r>
    </w:p>
    <w:p w14:paraId="02FF6CD6" w14:textId="77777777" w:rsidR="00086204" w:rsidRDefault="00086204" w:rsidP="00086204">
      <w:pPr>
        <w:widowControl w:val="0"/>
        <w:spacing w:after="40"/>
        <w:ind w:left="-851"/>
        <w:jc w:val="center"/>
        <w:rPr>
          <w:sz w:val="16"/>
          <w:szCs w:val="16"/>
        </w:rPr>
      </w:pPr>
      <w:r>
        <w:rPr>
          <w:noProof/>
        </w:rPr>
        <mc:AlternateContent>
          <mc:Choice Requires="wps">
            <w:drawing>
              <wp:anchor distT="4294967295" distB="4294967295" distL="114300" distR="114300" simplePos="0" relativeHeight="251658240" behindDoc="1" locked="0" layoutInCell="1" allowOverlap="1" wp14:anchorId="049E6F0C" wp14:editId="4D16D5D5">
                <wp:simplePos x="0" y="0"/>
                <wp:positionH relativeFrom="column">
                  <wp:posOffset>47625</wp:posOffset>
                </wp:positionH>
                <wp:positionV relativeFrom="paragraph">
                  <wp:posOffset>129540</wp:posOffset>
                </wp:positionV>
                <wp:extent cx="6078855" cy="0"/>
                <wp:effectExtent l="0" t="0" r="0" b="0"/>
                <wp:wrapTopAndBottom/>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72242B" id="_x0000_t32" coordsize="21600,21600" o:spt="32" o:oned="t" path="m,l21600,21600e" filled="f">
                <v:path arrowok="t" fillok="f" o:connecttype="none"/>
                <o:lock v:ext="edit" shapetype="t"/>
              </v:shapetype>
              <v:shape id="Straight Arrow Connector 2" o:spid="_x0000_s1026" type="#_x0000_t32" style="position:absolute;margin-left:3.75pt;margin-top:10.2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meWG1QEAAJkDAAAOAAAAZHJzL2Uyb0RvYy54bWysU8GO2yAQvVfqPyDujZ1U2UZWnNUq2+1l 20bK9gMmgG1UzKCBxM7fF0icbttbtT4gYJg3770Zr+/H3rCTIq/R1nw+KzlTVqDUtq35j5enDyvO fAArwaBVNT8rz+8379+tB1epBXZopCIWQayvBlfzLgRXFYUXnerBz9ApG4MNUg8hHqktJMEQ0XtT LMryrhiQpCMUyvt4+3gJ8k3Gbxolwvem8SowU/PILeSV8npIa7FZQ9USuE6LKw34DxY9aBuL3qAe IQA7kv4HqteC0GMTZgL7AptGC5U1RDXz8i81+w6cylqiOd7dbPJvByu+nXbEtKz5gjMLfWzRPhDo tgvsgQgHtkVro41IbJHcGpyvYtLW7ijpFaPdu2cUPz2zuO3Atiqzfjm7CDVPGcUfKengXax5GL6i jG/gGDBbNzbUJ8hoChtzh863DqkxMBEv78pPq9VyyZmYYgVUU6IjH74o7Fna1NxfddwEzHMZOD37 kGhBNSWkqhaftDF5HIxlQyz1cVnmBI9GyxRMzzy1h60hdoI0UPnLGmPk9TPCo5UZrFMgP1/3AbS5 7GNxYxOeyjN6ZTR5c3H5gPK8o8nA2P/M+TqracBen7PNv/+ozS8AAAD//wMAUEsDBBQABgAIAAAA IQDOGoUg2gAAAAcBAAAPAAAAZHJzL2Rvd25yZXYueG1sTI/BTsMwEETvSPyDtUjcqE3VhjaNUyEQ J06kHHJ04m0SEa+j2E3Sv2cRBzjOzmjmbXZcXC8mHEPnScPjSoFAqr3tqNHweXp72IEI0ZA1vSfU cMUAx/z2JjOp9TN94FTERnAJhdRoaGMcUilD3aIzYeUHJPbOfnQmshwbaUczc7nr5VqpRDrTES+0 ZsCXFuuv4uI0nPzruduWRbUrfZlMCuf3azFrfX+3PB9ARFziXxh+8Bkdcmaq/IVsEL2Gpy0HNazV BgTb+2TDn1S/B5ln8j9//g0AAP//AwBQSwECLQAUAAYACAAAACEAtoM4kv4AAADhAQAAEwAAAAAA AAAAAAAAAAAAAAAAW0NvbnRlbnRfVHlwZXNdLnhtbFBLAQItABQABgAIAAAAIQA4/SH/1gAAAJQB AAALAAAAAAAAAAAAAAAAAC8BAABfcmVscy8ucmVsc1BLAQItABQABgAIAAAAIQDrmeWG1QEAAJkD AAAOAAAAAAAAAAAAAAAAAC4CAABkcnMvZTJvRG9jLnhtbFBLAQItABQABgAIAAAAIQDOGoUg2gAA AAcBAAAPAAAAAAAAAAAAAAAAAC8EAABkcnMvZG93bnJldi54bWxQSwUGAAAAAAQABADzAAAANgUA AAAA " strokeweight=".5pt">
                <v:shadow color="#7f7f7f" opacity=".5" offset="1pt"/>
                <w10:wrap type="topAndBottom"/>
              </v:shape>
            </w:pict>
          </mc:Fallback>
        </mc:AlternateContent>
      </w:r>
      <w:r>
        <w:rPr>
          <w:sz w:val="16"/>
          <w:szCs w:val="16"/>
        </w:rPr>
        <w:t>Duomenys kaupiami ir saugomi Juridinių asmenų registre, kodas 302308327</w:t>
      </w:r>
    </w:p>
    <w:p w14:paraId="1BFEF8C1" w14:textId="77777777" w:rsidR="00086204" w:rsidRDefault="00086204" w:rsidP="00086204">
      <w:pPr>
        <w:widowControl w:val="0"/>
        <w:spacing w:after="40"/>
        <w:ind w:left="-851"/>
        <w:jc w:val="center"/>
        <w:rPr>
          <w:szCs w:val="24"/>
        </w:rPr>
      </w:pPr>
    </w:p>
    <w:tbl>
      <w:tblPr>
        <w:tblW w:w="9639" w:type="dxa"/>
        <w:tblCellMar>
          <w:left w:w="0" w:type="dxa"/>
          <w:right w:w="28" w:type="dxa"/>
        </w:tblCellMar>
        <w:tblLook w:val="04A0" w:firstRow="1" w:lastRow="0" w:firstColumn="1" w:lastColumn="0" w:noHBand="0" w:noVBand="1"/>
      </w:tblPr>
      <w:tblGrid>
        <w:gridCol w:w="4643"/>
        <w:gridCol w:w="427"/>
        <w:gridCol w:w="1559"/>
        <w:gridCol w:w="3010"/>
      </w:tblGrid>
      <w:tr w:rsidR="00086204" w14:paraId="18C5DBAC" w14:textId="77777777" w:rsidTr="00086204">
        <w:trPr>
          <w:cantSplit/>
        </w:trPr>
        <w:tc>
          <w:tcPr>
            <w:tcW w:w="4643" w:type="dxa"/>
            <w:hideMark/>
          </w:tcPr>
          <w:p w14:paraId="1F99C1A2" w14:textId="77777777" w:rsidR="00086204" w:rsidRDefault="00086204">
            <w:pPr>
              <w:jc w:val="left"/>
              <w:rPr>
                <w:szCs w:val="24"/>
              </w:rPr>
            </w:pPr>
            <w:r>
              <w:rPr>
                <w:szCs w:val="24"/>
              </w:rPr>
              <w:t>Lietuvos Respublikos Vyriausybei</w:t>
            </w:r>
          </w:p>
        </w:tc>
        <w:tc>
          <w:tcPr>
            <w:tcW w:w="427" w:type="dxa"/>
          </w:tcPr>
          <w:p w14:paraId="68A63333" w14:textId="77777777" w:rsidR="00086204" w:rsidRDefault="00086204">
            <w:pPr>
              <w:jc w:val="left"/>
              <w:rPr>
                <w:szCs w:val="24"/>
              </w:rPr>
            </w:pPr>
          </w:p>
        </w:tc>
        <w:tc>
          <w:tcPr>
            <w:tcW w:w="1559" w:type="dxa"/>
            <w:hideMark/>
          </w:tcPr>
          <w:p w14:paraId="4B071314" w14:textId="77777777" w:rsidR="00086204" w:rsidRDefault="00086204">
            <w:pPr>
              <w:jc w:val="left"/>
              <w:rPr>
                <w:szCs w:val="24"/>
              </w:rPr>
            </w:pPr>
            <w:r>
              <w:rPr>
                <w:szCs w:val="24"/>
              </w:rPr>
              <w:t>2020-02-</w:t>
            </w:r>
          </w:p>
        </w:tc>
        <w:tc>
          <w:tcPr>
            <w:tcW w:w="3010" w:type="dxa"/>
            <w:hideMark/>
          </w:tcPr>
          <w:p w14:paraId="6973C127" w14:textId="77777777" w:rsidR="00086204" w:rsidRDefault="00086204">
            <w:pPr>
              <w:jc w:val="left"/>
              <w:rPr>
                <w:szCs w:val="24"/>
              </w:rPr>
            </w:pPr>
            <w:r>
              <w:rPr>
                <w:szCs w:val="24"/>
              </w:rPr>
              <w:t xml:space="preserve">Nr. </w:t>
            </w:r>
          </w:p>
        </w:tc>
      </w:tr>
      <w:tr w:rsidR="00086204" w14:paraId="6DED10D3" w14:textId="77777777" w:rsidTr="00086204">
        <w:trPr>
          <w:cantSplit/>
        </w:trPr>
        <w:tc>
          <w:tcPr>
            <w:tcW w:w="4643" w:type="dxa"/>
          </w:tcPr>
          <w:p w14:paraId="79891B8A" w14:textId="77777777" w:rsidR="00086204" w:rsidRDefault="00086204">
            <w:pPr>
              <w:jc w:val="left"/>
              <w:rPr>
                <w:szCs w:val="24"/>
              </w:rPr>
            </w:pPr>
          </w:p>
        </w:tc>
        <w:tc>
          <w:tcPr>
            <w:tcW w:w="427" w:type="dxa"/>
          </w:tcPr>
          <w:p w14:paraId="1BF276F8" w14:textId="77777777" w:rsidR="00086204" w:rsidRDefault="00086204">
            <w:pPr>
              <w:jc w:val="left"/>
              <w:rPr>
                <w:szCs w:val="24"/>
              </w:rPr>
            </w:pPr>
          </w:p>
        </w:tc>
        <w:tc>
          <w:tcPr>
            <w:tcW w:w="1559" w:type="dxa"/>
          </w:tcPr>
          <w:p w14:paraId="3FCAC90F" w14:textId="77777777" w:rsidR="00086204" w:rsidRDefault="00086204">
            <w:pPr>
              <w:jc w:val="left"/>
              <w:rPr>
                <w:szCs w:val="24"/>
              </w:rPr>
            </w:pPr>
          </w:p>
        </w:tc>
        <w:tc>
          <w:tcPr>
            <w:tcW w:w="3010" w:type="dxa"/>
          </w:tcPr>
          <w:p w14:paraId="61900A6E" w14:textId="77777777" w:rsidR="00086204" w:rsidRDefault="00086204">
            <w:pPr>
              <w:jc w:val="left"/>
              <w:rPr>
                <w:szCs w:val="24"/>
              </w:rPr>
            </w:pPr>
          </w:p>
        </w:tc>
      </w:tr>
      <w:tr w:rsidR="00086204" w14:paraId="5AA69D50" w14:textId="77777777" w:rsidTr="00086204">
        <w:trPr>
          <w:cantSplit/>
        </w:trPr>
        <w:tc>
          <w:tcPr>
            <w:tcW w:w="9639" w:type="dxa"/>
            <w:gridSpan w:val="4"/>
            <w:hideMark/>
          </w:tcPr>
          <w:p w14:paraId="3AAB59F3" w14:textId="77777777" w:rsidR="00086204" w:rsidRDefault="00086204">
            <w:pPr>
              <w:rPr>
                <w:b/>
                <w:bCs/>
                <w:caps/>
                <w:szCs w:val="24"/>
              </w:rPr>
            </w:pPr>
            <w:r>
              <w:rPr>
                <w:b/>
                <w:bCs/>
                <w:caps/>
                <w:szCs w:val="24"/>
                <w:lang w:eastAsia="lt-LT"/>
              </w:rPr>
              <w:t>LIETUVOS RESPUBLIKOS VYRIAUSYBĖS NUTARIMO PROJEKTO TEIKIMAS</w:t>
            </w:r>
          </w:p>
        </w:tc>
      </w:tr>
    </w:tbl>
    <w:p w14:paraId="44EDDE54" w14:textId="77777777" w:rsidR="00086204" w:rsidRDefault="00086204" w:rsidP="00086204">
      <w:pPr>
        <w:rPr>
          <w:szCs w:val="24"/>
        </w:rPr>
      </w:pPr>
    </w:p>
    <w:p w14:paraId="7477154E" w14:textId="27402143" w:rsidR="00086204" w:rsidRDefault="00086204" w:rsidP="00086204">
      <w:pPr>
        <w:spacing w:line="300" w:lineRule="exact"/>
        <w:ind w:firstLine="709"/>
        <w:rPr>
          <w:bCs/>
          <w:szCs w:val="24"/>
        </w:rPr>
      </w:pPr>
      <w:r>
        <w:rPr>
          <w:szCs w:val="24"/>
        </w:rPr>
        <w:t>Lietuvos Respublikos energetikos ministerija (toliau – Ministerija), didindama skaidrumą biokuro rinkoje ir siekdama supaprastinti energijos išteklių pirkimo–pardavimo sandorių sudarymą ir apskaitą, parengė ir teikia Lietuvos Respublikos Vyriausybei svarstyti Lietuvos Respublikos Vyriausybės nutarimo „Dėl Lietuvos Respublikos Vyriausybės 2003 m. kovo 3 d. nutarimo Nr. 277 „Dėl Įmonių, veikiančių energetikos srityje, energijos ar kuro, kurių reikia elektros ir šilumos energijai gaminti, pirkimų taisyklių patvirtinimo“ pakeitimo“ projektą (toliau – Nutarimo projektas).</w:t>
      </w:r>
      <w:r>
        <w:rPr>
          <w:bCs/>
          <w:szCs w:val="24"/>
        </w:rPr>
        <w:t xml:space="preserve"> </w:t>
      </w:r>
    </w:p>
    <w:p w14:paraId="1779348B" w14:textId="77777777" w:rsidR="00086204" w:rsidRDefault="00086204" w:rsidP="00086204">
      <w:pPr>
        <w:spacing w:line="300" w:lineRule="exact"/>
        <w:ind w:firstLine="709"/>
        <w:rPr>
          <w:szCs w:val="24"/>
        </w:rPr>
      </w:pPr>
      <w:r>
        <w:rPr>
          <w:szCs w:val="24"/>
        </w:rPr>
        <w:t xml:space="preserve">Teikiamu Nutarimo projektu </w:t>
      </w:r>
      <w:r>
        <w:rPr>
          <w:b/>
          <w:szCs w:val="24"/>
        </w:rPr>
        <w:t>siekiama</w:t>
      </w:r>
      <w:r>
        <w:rPr>
          <w:szCs w:val="24"/>
        </w:rPr>
        <w:t>:</w:t>
      </w:r>
    </w:p>
    <w:p w14:paraId="1FE17EDB" w14:textId="77777777" w:rsidR="00086204" w:rsidRDefault="00086204" w:rsidP="00086204">
      <w:pPr>
        <w:pStyle w:val="Style11"/>
        <w:widowControl/>
        <w:numPr>
          <w:ilvl w:val="0"/>
          <w:numId w:val="1"/>
        </w:numPr>
        <w:tabs>
          <w:tab w:val="left" w:pos="1134"/>
        </w:tabs>
        <w:spacing w:line="300" w:lineRule="exact"/>
        <w:ind w:left="0" w:firstLine="709"/>
      </w:pPr>
      <w:r>
        <w:t xml:space="preserve">Nustatyti, kad </w:t>
      </w:r>
      <w:r>
        <w:rPr>
          <w:color w:val="000000"/>
        </w:rPr>
        <w:t>prekyba biokuro produktais būtų vykdoma megavatvalandėmis (toliau – MWh).</w:t>
      </w:r>
    </w:p>
    <w:p w14:paraId="28CC608A" w14:textId="77777777" w:rsidR="00086204" w:rsidRDefault="00086204" w:rsidP="00086204">
      <w:pPr>
        <w:pStyle w:val="Style11"/>
        <w:widowControl/>
        <w:numPr>
          <w:ilvl w:val="0"/>
          <w:numId w:val="1"/>
        </w:numPr>
        <w:tabs>
          <w:tab w:val="left" w:pos="1134"/>
        </w:tabs>
        <w:spacing w:line="300" w:lineRule="exact"/>
        <w:ind w:left="0" w:firstLine="709"/>
      </w:pPr>
      <w:r>
        <w:t>Atlikti redakcinius pakeitimus dėl 2019 m. liepos 1 d. veiklą pradėjusios Valstybinės energetikos reguliavimo tarybos</w:t>
      </w:r>
      <w:r w:rsidR="00A03537">
        <w:t xml:space="preserve"> (toliau – VERT)</w:t>
      </w:r>
      <w:r>
        <w:t>.</w:t>
      </w:r>
    </w:p>
    <w:p w14:paraId="43A064D3" w14:textId="77777777" w:rsidR="00086204" w:rsidRDefault="00086204" w:rsidP="00086204">
      <w:pPr>
        <w:spacing w:after="240" w:line="300" w:lineRule="exact"/>
        <w:ind w:firstLine="709"/>
        <w:rPr>
          <w:szCs w:val="24"/>
        </w:rPr>
      </w:pPr>
      <w:r>
        <w:rPr>
          <w:szCs w:val="24"/>
        </w:rPr>
        <w:t>Taip pat teikiame apibendrintą informaciją apie Nutarimo projektu sprendžiamą problemą, siūlomas problemos sprendimo priemones, priemonių kaštus ir naudą visuomenei:</w:t>
      </w:r>
    </w:p>
    <w:tbl>
      <w:tblPr>
        <w:tblStyle w:val="Lentelstinklelis"/>
        <w:tblW w:w="0" w:type="auto"/>
        <w:tblInd w:w="0" w:type="dxa"/>
        <w:tblLook w:val="04A0" w:firstRow="1" w:lastRow="0" w:firstColumn="1" w:lastColumn="0" w:noHBand="0" w:noVBand="1"/>
      </w:tblPr>
      <w:tblGrid>
        <w:gridCol w:w="2689"/>
        <w:gridCol w:w="6804"/>
      </w:tblGrid>
      <w:tr w:rsidR="00086204" w14:paraId="635FCF6B" w14:textId="77777777" w:rsidTr="00086204">
        <w:tc>
          <w:tcPr>
            <w:tcW w:w="2689" w:type="dxa"/>
            <w:tcBorders>
              <w:top w:val="single" w:sz="4" w:space="0" w:color="auto"/>
              <w:left w:val="single" w:sz="4" w:space="0" w:color="auto"/>
              <w:bottom w:val="single" w:sz="4" w:space="0" w:color="auto"/>
              <w:right w:val="single" w:sz="4" w:space="0" w:color="auto"/>
            </w:tcBorders>
            <w:hideMark/>
          </w:tcPr>
          <w:p w14:paraId="7B48D28F" w14:textId="77777777" w:rsidR="00086204" w:rsidRDefault="00086204">
            <w:pPr>
              <w:rPr>
                <w:szCs w:val="24"/>
              </w:rPr>
            </w:pPr>
            <w:r>
              <w:rPr>
                <w:szCs w:val="24"/>
              </w:rPr>
              <w:t xml:space="preserve">I. Sprendžiama problema </w:t>
            </w:r>
          </w:p>
        </w:tc>
        <w:tc>
          <w:tcPr>
            <w:tcW w:w="6804" w:type="dxa"/>
            <w:tcBorders>
              <w:top w:val="single" w:sz="4" w:space="0" w:color="auto"/>
              <w:left w:val="single" w:sz="4" w:space="0" w:color="auto"/>
              <w:bottom w:val="single" w:sz="4" w:space="0" w:color="auto"/>
              <w:right w:val="single" w:sz="4" w:space="0" w:color="auto"/>
            </w:tcBorders>
            <w:hideMark/>
          </w:tcPr>
          <w:p w14:paraId="33C2A4F9" w14:textId="60AEB678" w:rsidR="00086204" w:rsidRDefault="00A03537">
            <w:pPr>
              <w:ind w:left="31" w:firstLine="284"/>
              <w:rPr>
                <w:szCs w:val="24"/>
              </w:rPr>
            </w:pPr>
            <w:r>
              <w:rPr>
                <w:szCs w:val="24"/>
              </w:rPr>
              <w:t>Įmonių, veikiančių energetikos srityje, energijos ar kuro, kurių reikia elektros ir šilumos energijai gaminti, pirkimų t</w:t>
            </w:r>
            <w:r w:rsidR="00086204">
              <w:rPr>
                <w:szCs w:val="24"/>
              </w:rPr>
              <w:t>aisyklėse įtvirtintas reikalavimas, kad perkami biokuro produktai privalo būti įsigyjami tonomis naftos ekvivalento (toliau – t</w:t>
            </w:r>
            <w:r w:rsidR="00086204">
              <w:rPr>
                <w:szCs w:val="24"/>
                <w:vertAlign w:val="subscript"/>
              </w:rPr>
              <w:t>ne</w:t>
            </w:r>
            <w:r w:rsidR="00086204">
              <w:rPr>
                <w:szCs w:val="24"/>
              </w:rPr>
              <w:t>), užkerta kelią energijos išteklių energetikos įmonėms ir operatoriui (toliau – Operatorius) vykdyti prekybą MWh.  Tai sukelia šias problemas:</w:t>
            </w:r>
          </w:p>
          <w:p w14:paraId="4D3FA306" w14:textId="77777777" w:rsidR="00086204" w:rsidRDefault="00086204" w:rsidP="005A17BB">
            <w:pPr>
              <w:pStyle w:val="Sraopastraipa"/>
              <w:numPr>
                <w:ilvl w:val="0"/>
                <w:numId w:val="2"/>
              </w:numPr>
              <w:ind w:left="31" w:firstLine="284"/>
              <w:rPr>
                <w:szCs w:val="24"/>
              </w:rPr>
            </w:pPr>
            <w:bookmarkStart w:id="0" w:name="_Hlk531868986"/>
            <w:r>
              <w:rPr>
                <w:szCs w:val="24"/>
              </w:rPr>
              <w:t>energijos išteklius perkant t</w:t>
            </w:r>
            <w:r>
              <w:rPr>
                <w:szCs w:val="24"/>
                <w:vertAlign w:val="subscript"/>
              </w:rPr>
              <w:t>ne</w:t>
            </w:r>
            <w:r>
              <w:rPr>
                <w:szCs w:val="24"/>
              </w:rPr>
              <w:t>, o galutiniams vartotojams energiją parduodant ct/kWh, atsiranda apvalinimo paklaida;</w:t>
            </w:r>
          </w:p>
          <w:p w14:paraId="1D5DEA5C" w14:textId="77777777" w:rsidR="00086204" w:rsidRDefault="00086204" w:rsidP="005A17BB">
            <w:pPr>
              <w:pStyle w:val="Sraopastraipa"/>
              <w:numPr>
                <w:ilvl w:val="0"/>
                <w:numId w:val="2"/>
              </w:numPr>
              <w:ind w:left="31" w:firstLine="284"/>
              <w:rPr>
                <w:szCs w:val="24"/>
              </w:rPr>
            </w:pPr>
            <w:r>
              <w:rPr>
                <w:szCs w:val="24"/>
              </w:rPr>
              <w:t>t</w:t>
            </w:r>
            <w:r>
              <w:rPr>
                <w:szCs w:val="24"/>
                <w:vertAlign w:val="subscript"/>
              </w:rPr>
              <w:t>ne</w:t>
            </w:r>
            <w:r>
              <w:rPr>
                <w:szCs w:val="24"/>
              </w:rPr>
              <w:t>, kaip matavimo vienetas, vartotojams nėra aiškus ir jiems sunku palyginti, kokią dalį energijos ištekliai sudaro galutinėje energijos kainoje;</w:t>
            </w:r>
          </w:p>
          <w:p w14:paraId="36F48258" w14:textId="77777777" w:rsidR="00086204" w:rsidRDefault="00086204" w:rsidP="005A17BB">
            <w:pPr>
              <w:pStyle w:val="Sraopastraipa"/>
              <w:numPr>
                <w:ilvl w:val="0"/>
                <w:numId w:val="2"/>
              </w:numPr>
              <w:ind w:left="31" w:firstLine="284"/>
              <w:rPr>
                <w:szCs w:val="24"/>
              </w:rPr>
            </w:pPr>
            <w:r>
              <w:rPr>
                <w:szCs w:val="24"/>
              </w:rPr>
              <w:t>Lietuvoje elektros ir dujų sektoriuose energijos (energijos išteklių) prekyba ir apskaita vykdoma MWh, o šilumos sektoriuje pagrindinis energijos išteklius – biokuras, perkamas t</w:t>
            </w:r>
            <w:r>
              <w:rPr>
                <w:szCs w:val="24"/>
                <w:vertAlign w:val="subscript"/>
              </w:rPr>
              <w:t>ne</w:t>
            </w:r>
            <w:bookmarkEnd w:id="0"/>
            <w:r>
              <w:rPr>
                <w:szCs w:val="24"/>
              </w:rPr>
              <w:t xml:space="preserve">. </w:t>
            </w:r>
            <w:r>
              <w:rPr>
                <w:szCs w:val="24"/>
              </w:rPr>
              <w:lastRenderedPageBreak/>
              <w:t>Lyginant šiuos skirtingus energijos išteklius būtina konvertuoti vieną energijos išteklių į kitą, taip be reikalo apsunkinami skaičiavimai;</w:t>
            </w:r>
          </w:p>
          <w:p w14:paraId="5D394947" w14:textId="77777777" w:rsidR="00086204" w:rsidRDefault="00086204" w:rsidP="005A17BB">
            <w:pPr>
              <w:pStyle w:val="Sraopastraipa"/>
              <w:numPr>
                <w:ilvl w:val="0"/>
                <w:numId w:val="2"/>
              </w:numPr>
              <w:ind w:left="31" w:firstLine="284"/>
              <w:rPr>
                <w:szCs w:val="24"/>
              </w:rPr>
            </w:pPr>
            <w:r>
              <w:rPr>
                <w:szCs w:val="24"/>
              </w:rPr>
              <w:t>kaimyninėse valstybėse (Latvija, Estija, Suomija, Švedija ir kt.) energijos išteklių prekyba vykdoma MWh, todėl Operatoriui, plečiant veiklą kaimyninėse valstybėse ir užtikrinant energijos išteklių importą ar eksportą, be tikslo yra apsunkinamas energijos išteklių sandorių sudarymas ir apskaita;</w:t>
            </w:r>
          </w:p>
          <w:p w14:paraId="79BD046D" w14:textId="77777777" w:rsidR="00086204" w:rsidRDefault="00086204" w:rsidP="005A17BB">
            <w:pPr>
              <w:pStyle w:val="Sraopastraipa"/>
              <w:numPr>
                <w:ilvl w:val="0"/>
                <w:numId w:val="2"/>
              </w:numPr>
              <w:ind w:left="31" w:firstLine="284"/>
              <w:rPr>
                <w:szCs w:val="24"/>
              </w:rPr>
            </w:pPr>
            <w:r>
              <w:rPr>
                <w:szCs w:val="24"/>
              </w:rPr>
              <w:t xml:space="preserve">valstybės strateginiuose energetikos dokumentuose deklaruojama atsinaujinančių energijos išteklių plėtra, tačiau biokuras, sudarantis didžiąją dalį energijos išteklių šilumos sektoriuje, apskaičiuojamas tonomis </w:t>
            </w:r>
            <w:r>
              <w:rPr>
                <w:i/>
                <w:iCs/>
                <w:szCs w:val="24"/>
              </w:rPr>
              <w:t>naftos</w:t>
            </w:r>
            <w:r>
              <w:rPr>
                <w:szCs w:val="24"/>
              </w:rPr>
              <w:t xml:space="preserve"> ekvivalento.</w:t>
            </w:r>
          </w:p>
        </w:tc>
      </w:tr>
      <w:tr w:rsidR="00086204" w14:paraId="6093A7BE" w14:textId="77777777" w:rsidTr="00086204">
        <w:tc>
          <w:tcPr>
            <w:tcW w:w="2689" w:type="dxa"/>
            <w:tcBorders>
              <w:top w:val="single" w:sz="4" w:space="0" w:color="auto"/>
              <w:left w:val="single" w:sz="4" w:space="0" w:color="auto"/>
              <w:bottom w:val="single" w:sz="4" w:space="0" w:color="auto"/>
              <w:right w:val="single" w:sz="4" w:space="0" w:color="auto"/>
            </w:tcBorders>
            <w:hideMark/>
          </w:tcPr>
          <w:p w14:paraId="6DA52598" w14:textId="77777777" w:rsidR="00086204" w:rsidRDefault="00086204">
            <w:pPr>
              <w:rPr>
                <w:szCs w:val="24"/>
              </w:rPr>
            </w:pPr>
            <w:r>
              <w:rPr>
                <w:szCs w:val="24"/>
              </w:rPr>
              <w:lastRenderedPageBreak/>
              <w:t>II. Siūlomos priemonės</w:t>
            </w:r>
          </w:p>
        </w:tc>
        <w:tc>
          <w:tcPr>
            <w:tcW w:w="6804" w:type="dxa"/>
            <w:tcBorders>
              <w:top w:val="single" w:sz="4" w:space="0" w:color="auto"/>
              <w:left w:val="single" w:sz="4" w:space="0" w:color="auto"/>
              <w:bottom w:val="single" w:sz="4" w:space="0" w:color="auto"/>
              <w:right w:val="single" w:sz="4" w:space="0" w:color="auto"/>
            </w:tcBorders>
            <w:hideMark/>
          </w:tcPr>
          <w:p w14:paraId="73A01D5E" w14:textId="77777777" w:rsidR="00086204" w:rsidRDefault="00086204">
            <w:pPr>
              <w:ind w:left="31" w:firstLine="284"/>
              <w:rPr>
                <w:szCs w:val="24"/>
              </w:rPr>
            </w:pPr>
            <w:r>
              <w:rPr>
                <w:szCs w:val="24"/>
              </w:rPr>
              <w:t>Įtvirtinti, kad biokuro energijos išteklių prekyba būtų vykdoma MWh.</w:t>
            </w:r>
          </w:p>
        </w:tc>
      </w:tr>
      <w:tr w:rsidR="00086204" w14:paraId="7C6528F5" w14:textId="77777777" w:rsidTr="00086204">
        <w:tc>
          <w:tcPr>
            <w:tcW w:w="2689" w:type="dxa"/>
            <w:tcBorders>
              <w:top w:val="single" w:sz="4" w:space="0" w:color="auto"/>
              <w:left w:val="single" w:sz="4" w:space="0" w:color="auto"/>
              <w:bottom w:val="single" w:sz="4" w:space="0" w:color="auto"/>
              <w:right w:val="single" w:sz="4" w:space="0" w:color="auto"/>
            </w:tcBorders>
            <w:hideMark/>
          </w:tcPr>
          <w:p w14:paraId="1B9702F6" w14:textId="77777777" w:rsidR="00086204" w:rsidRDefault="00086204">
            <w:pPr>
              <w:rPr>
                <w:szCs w:val="24"/>
              </w:rPr>
            </w:pPr>
            <w:r>
              <w:rPr>
                <w:szCs w:val="24"/>
              </w:rPr>
              <w:t>III. Priemonių kaštai</w:t>
            </w:r>
          </w:p>
        </w:tc>
        <w:tc>
          <w:tcPr>
            <w:tcW w:w="6804" w:type="dxa"/>
            <w:tcBorders>
              <w:top w:val="single" w:sz="4" w:space="0" w:color="auto"/>
              <w:left w:val="single" w:sz="4" w:space="0" w:color="auto"/>
              <w:bottom w:val="single" w:sz="4" w:space="0" w:color="auto"/>
              <w:right w:val="single" w:sz="4" w:space="0" w:color="auto"/>
            </w:tcBorders>
            <w:hideMark/>
          </w:tcPr>
          <w:p w14:paraId="0B59502B" w14:textId="299AF263" w:rsidR="00086204" w:rsidRDefault="00086204">
            <w:pPr>
              <w:tabs>
                <w:tab w:val="left" w:pos="325"/>
              </w:tabs>
              <w:ind w:left="31" w:firstLine="284"/>
              <w:rPr>
                <w:b/>
                <w:szCs w:val="24"/>
              </w:rPr>
            </w:pPr>
            <w:r>
              <w:rPr>
                <w:szCs w:val="24"/>
              </w:rPr>
              <w:t>Papildomi kaštai energetikos įmonėms nenumatom</w:t>
            </w:r>
            <w:r w:rsidR="0039722C">
              <w:rPr>
                <w:szCs w:val="24"/>
              </w:rPr>
              <w:t>i</w:t>
            </w:r>
            <w:r>
              <w:rPr>
                <w:szCs w:val="24"/>
              </w:rPr>
              <w:t>, kadangi įsigyto biokuro kiekio apskaita atliekama pagal energetikos ministro tvirtinamas Kietojo biokuro apskaitos taisykles, pagal kurias apskaita vykdoma tiek t</w:t>
            </w:r>
            <w:r>
              <w:rPr>
                <w:szCs w:val="24"/>
                <w:vertAlign w:val="subscript"/>
              </w:rPr>
              <w:t>ne</w:t>
            </w:r>
            <w:r>
              <w:rPr>
                <w:szCs w:val="24"/>
              </w:rPr>
              <w:t>, tiek MWh. Papildomi kaštai energijos išteklių biržos Operatoriui (BALTPOOL UAB) nenumatomi, kadangi elektroninės prekybos sistema jau yra pritaikyta prekybai kitais energetinio matavimo vienetais (MWh) kaimyninėse valstybėse (Latvija, Estija ir kt.).</w:t>
            </w:r>
          </w:p>
        </w:tc>
      </w:tr>
      <w:tr w:rsidR="00086204" w14:paraId="7954224D" w14:textId="77777777" w:rsidTr="00086204">
        <w:tc>
          <w:tcPr>
            <w:tcW w:w="2689" w:type="dxa"/>
            <w:tcBorders>
              <w:top w:val="single" w:sz="4" w:space="0" w:color="auto"/>
              <w:left w:val="single" w:sz="4" w:space="0" w:color="auto"/>
              <w:bottom w:val="single" w:sz="4" w:space="0" w:color="auto"/>
              <w:right w:val="single" w:sz="4" w:space="0" w:color="auto"/>
            </w:tcBorders>
            <w:hideMark/>
          </w:tcPr>
          <w:p w14:paraId="4FE126B4" w14:textId="77777777" w:rsidR="00086204" w:rsidRDefault="00086204">
            <w:pPr>
              <w:rPr>
                <w:szCs w:val="24"/>
              </w:rPr>
            </w:pPr>
            <w:r>
              <w:rPr>
                <w:szCs w:val="24"/>
              </w:rPr>
              <w:t>IV. Nauda visuomenei</w:t>
            </w:r>
          </w:p>
        </w:tc>
        <w:tc>
          <w:tcPr>
            <w:tcW w:w="6804" w:type="dxa"/>
            <w:tcBorders>
              <w:top w:val="single" w:sz="4" w:space="0" w:color="auto"/>
              <w:left w:val="single" w:sz="4" w:space="0" w:color="auto"/>
              <w:bottom w:val="single" w:sz="4" w:space="0" w:color="auto"/>
              <w:right w:val="single" w:sz="4" w:space="0" w:color="auto"/>
            </w:tcBorders>
            <w:hideMark/>
          </w:tcPr>
          <w:p w14:paraId="0B96B038" w14:textId="292DD78F" w:rsidR="00086204" w:rsidRDefault="00086204">
            <w:pPr>
              <w:ind w:left="31" w:firstLine="284"/>
              <w:rPr>
                <w:szCs w:val="24"/>
              </w:rPr>
            </w:pPr>
            <w:r>
              <w:rPr>
                <w:szCs w:val="24"/>
              </w:rPr>
              <w:t xml:space="preserve">Priėmus Nutarimo projektą, bus prisidedama prie vienos iš </w:t>
            </w:r>
            <w:r w:rsidR="00D704C9">
              <w:t xml:space="preserve">Lietuvos Respublikos </w:t>
            </w:r>
            <w:r w:rsidR="00D704C9">
              <w:rPr>
                <w:szCs w:val="24"/>
              </w:rPr>
              <w:t>n</w:t>
            </w:r>
            <w:r>
              <w:rPr>
                <w:szCs w:val="24"/>
              </w:rPr>
              <w:t>acionalinio energetikos ir klimato srities veiksmų plano 2021–2030 m. prioritetinių reguliacinių rinkos gerinimo krypčių šilumos sektoriuje įgyvendinimo – didinamas skaidrumas biokuro rinkoje, kadangi:</w:t>
            </w:r>
          </w:p>
          <w:p w14:paraId="2EF30C3E" w14:textId="77777777" w:rsidR="00086204" w:rsidRDefault="00086204" w:rsidP="005A17BB">
            <w:pPr>
              <w:pStyle w:val="Sraopastraipa"/>
              <w:numPr>
                <w:ilvl w:val="0"/>
                <w:numId w:val="3"/>
              </w:numPr>
              <w:ind w:left="31" w:firstLine="284"/>
              <w:rPr>
                <w:szCs w:val="24"/>
              </w:rPr>
            </w:pPr>
            <w:r>
              <w:rPr>
                <w:szCs w:val="24"/>
              </w:rPr>
              <w:t>bus paprasčiau palyginti rinkoje perkamus skirtingus energijos išteklius (dujas, biokurą ir kt.) ir energijos išteklių dalį galutinėje energijos kainoje;</w:t>
            </w:r>
          </w:p>
          <w:p w14:paraId="3D296D55" w14:textId="77777777" w:rsidR="00086204" w:rsidRDefault="00086204" w:rsidP="005A17BB">
            <w:pPr>
              <w:pStyle w:val="Sraopastraipa"/>
              <w:numPr>
                <w:ilvl w:val="0"/>
                <w:numId w:val="3"/>
              </w:numPr>
              <w:ind w:left="31" w:firstLine="284"/>
              <w:rPr>
                <w:szCs w:val="24"/>
              </w:rPr>
            </w:pPr>
            <w:r>
              <w:rPr>
                <w:szCs w:val="24"/>
              </w:rPr>
              <w:t>suvienodinus matavimo vienetus kaimyninėse valstybėse, bus sudaromos palankesnės sąlygos prekybai ir didinama konkurencija.</w:t>
            </w:r>
          </w:p>
        </w:tc>
      </w:tr>
    </w:tbl>
    <w:p w14:paraId="2BB4EEAB" w14:textId="77777777" w:rsidR="00086204" w:rsidRDefault="00086204" w:rsidP="00086204">
      <w:pPr>
        <w:rPr>
          <w:rFonts w:eastAsia="Calibri"/>
          <w:b/>
          <w:bCs/>
          <w:szCs w:val="24"/>
        </w:rPr>
      </w:pPr>
    </w:p>
    <w:p w14:paraId="5734D1FD" w14:textId="5B6F2E13" w:rsidR="00086204" w:rsidRDefault="00086204" w:rsidP="00086204">
      <w:pPr>
        <w:ind w:firstLine="709"/>
        <w:rPr>
          <w:rFonts w:eastAsia="Calibri"/>
          <w:szCs w:val="24"/>
        </w:rPr>
      </w:pPr>
      <w:r>
        <w:rPr>
          <w:rFonts w:eastAsia="Calibri"/>
          <w:szCs w:val="24"/>
        </w:rPr>
        <w:t>Nutarimo projektas 2020 m. sausio 20 d. pateiktas viešajam derinimui ir paskelbtas Lietuvos Respublikos Seimo kanceliarijos teisės aktų informacinėje sistemoje (TAIS). Nutarimo projektas derintas su Lietuvos Respublikos ekonomikos ir inovacijų ministerija, Lietuvos Respublikos konkurencijos taryba, VERT, Viešųjų pirkimų tarnyba, Lietuvos savivaldybių asociacija, Lietuvos šilumos tiekėjų asociacija, Lietuvos nepriklausomų šilumos gamintojų asociacija, Lietuvos elektros energijos gamintojų asociacija, Lietuvos biomasės energetikos asociacija LITBIOMA, BALTPOOL UAB.</w:t>
      </w:r>
    </w:p>
    <w:p w14:paraId="2068B5C6" w14:textId="77777777" w:rsidR="00086204" w:rsidRDefault="00086204" w:rsidP="00086204">
      <w:pPr>
        <w:ind w:firstLine="709"/>
        <w:rPr>
          <w:rFonts w:eastAsia="Calibri"/>
          <w:szCs w:val="24"/>
        </w:rPr>
      </w:pPr>
      <w:r>
        <w:rPr>
          <w:rFonts w:eastAsia="Calibri"/>
          <w:szCs w:val="24"/>
        </w:rPr>
        <w:t>Lietuvos šilumos tiekėjų asociacija ir Lietuvos biomasės energetikos asociacija LITBIOMA pritarė pateiktam Nutarimo projektui. VERT ir Viešųjų pirkimų tarnyba išreiškė pastabas dėl Nutarimo projekto.</w:t>
      </w:r>
    </w:p>
    <w:p w14:paraId="6C121EC1" w14:textId="77777777" w:rsidR="00086204" w:rsidRDefault="00086204" w:rsidP="00086204">
      <w:pPr>
        <w:ind w:firstLine="709"/>
        <w:rPr>
          <w:rFonts w:eastAsia="Calibri"/>
          <w:szCs w:val="24"/>
        </w:rPr>
      </w:pPr>
      <w:r>
        <w:rPr>
          <w:rFonts w:eastAsia="Calibri"/>
          <w:szCs w:val="24"/>
        </w:rPr>
        <w:t xml:space="preserve">2020 m. vasario 12 d. suorganizuotas tarpinstitucinis pasitarimas tarp Ministerijos, VERT ir BALTPOOL UAB, kuriame suderinta dalis pateiktų pasiūlymų, o pateiktos pastabos, į kurias nebuvo atsižvelgta, įvertintos pridedamoje derinimo pažymoje. Susitarta, kad </w:t>
      </w:r>
      <w:r>
        <w:rPr>
          <w:color w:val="000000"/>
          <w:szCs w:val="24"/>
        </w:rPr>
        <w:t xml:space="preserve">prekyba biokuro produktais bus vykdoma MWh, tačiau biokuro kiekio apskaita ir toliau </w:t>
      </w:r>
      <w:r>
        <w:rPr>
          <w:szCs w:val="24"/>
        </w:rPr>
        <w:t>bus vykdoma tiek t</w:t>
      </w:r>
      <w:r>
        <w:rPr>
          <w:szCs w:val="24"/>
          <w:vertAlign w:val="subscript"/>
        </w:rPr>
        <w:t>ne</w:t>
      </w:r>
      <w:r>
        <w:rPr>
          <w:szCs w:val="24"/>
        </w:rPr>
        <w:t>, tiek MWh. Atitinkamai Operatorius, siekdamas palengvinti skaičiavimus energetikos įmonėms, ir toliau teikdamas sąskaitas, pateiks nupirkto biokuro kiekį tiek MWh, tiek t</w:t>
      </w:r>
      <w:r>
        <w:rPr>
          <w:szCs w:val="24"/>
          <w:vertAlign w:val="subscript"/>
        </w:rPr>
        <w:t>ne</w:t>
      </w:r>
      <w:r>
        <w:rPr>
          <w:szCs w:val="24"/>
        </w:rPr>
        <w:t>.</w:t>
      </w:r>
    </w:p>
    <w:p w14:paraId="0E32CA4D" w14:textId="77777777" w:rsidR="00086204" w:rsidRDefault="00086204" w:rsidP="00086204">
      <w:pPr>
        <w:tabs>
          <w:tab w:val="left" w:pos="709"/>
        </w:tabs>
        <w:ind w:firstLine="851"/>
        <w:rPr>
          <w:szCs w:val="24"/>
        </w:rPr>
      </w:pPr>
      <w:r>
        <w:rPr>
          <w:szCs w:val="24"/>
        </w:rPr>
        <w:lastRenderedPageBreak/>
        <w:t xml:space="preserve">Nutarimo projektą parengė Ministerijos Energetikos konkurencingumo grupė (grupės vadovas Karolis Švaikauskas, tel. (8 5) 203 4474, papild. 1, el. p. </w:t>
      </w:r>
      <w:hyperlink r:id="rId10" w:history="1">
        <w:r>
          <w:rPr>
            <w:rStyle w:val="Hipersaitas"/>
            <w:szCs w:val="24"/>
          </w:rPr>
          <w:t>karolis.svaikauskas@enmin.lt</w:t>
        </w:r>
      </w:hyperlink>
      <w:r>
        <w:rPr>
          <w:szCs w:val="24"/>
        </w:rPr>
        <w:t xml:space="preserve">, tiesioginė rengėja – vyr. specialistė Gintarė Palšauskaitė, tel. (8 5) 203 4474, papild. 6, el. p. </w:t>
      </w:r>
      <w:hyperlink r:id="rId11" w:history="1">
        <w:r>
          <w:rPr>
            <w:rStyle w:val="Hipersaitas"/>
            <w:szCs w:val="24"/>
          </w:rPr>
          <w:t>gintare.palsauskaite@enmin.lt</w:t>
        </w:r>
      </w:hyperlink>
      <w:r w:rsidR="00A03537">
        <w:t>)</w:t>
      </w:r>
      <w:r>
        <w:rPr>
          <w:szCs w:val="24"/>
        </w:rPr>
        <w:t>. Nutarimo projektas parengtas atsižvelgiant į BALTPOOL UAB pateiktus siūlymus.</w:t>
      </w:r>
    </w:p>
    <w:p w14:paraId="4D87ACEF" w14:textId="77777777" w:rsidR="00086204" w:rsidRDefault="00086204" w:rsidP="00D00F63">
      <w:pPr>
        <w:tabs>
          <w:tab w:val="left" w:pos="709"/>
        </w:tabs>
        <w:ind w:hanging="142"/>
        <w:rPr>
          <w:szCs w:val="24"/>
        </w:rPr>
      </w:pPr>
      <w:r>
        <w:rPr>
          <w:szCs w:val="24"/>
        </w:rPr>
        <w:t xml:space="preserve">              PRIDEDAMA: </w:t>
      </w:r>
    </w:p>
    <w:p w14:paraId="6902392B" w14:textId="77777777" w:rsidR="00086204" w:rsidRDefault="00086204" w:rsidP="00086204">
      <w:pPr>
        <w:pStyle w:val="Sraopastraipa"/>
        <w:numPr>
          <w:ilvl w:val="0"/>
          <w:numId w:val="4"/>
        </w:numPr>
        <w:tabs>
          <w:tab w:val="left" w:pos="993"/>
        </w:tabs>
        <w:ind w:left="0" w:firstLine="709"/>
        <w:rPr>
          <w:szCs w:val="24"/>
        </w:rPr>
      </w:pPr>
      <w:r>
        <w:rPr>
          <w:szCs w:val="24"/>
        </w:rPr>
        <w:t>Lietuvos Respublikos Vyriausybės nutarimo „Dėl Lietuvos Respublikos Vyriausybės</w:t>
      </w:r>
      <w:r>
        <w:rPr>
          <w:szCs w:val="24"/>
        </w:rPr>
        <w:br/>
        <w:t>2003 m. kovo 3 d. nutarimo Nr. 277 „Dėl Įmonių, veikiančių energetikos srityje, energijos ar kuro, kurių reikia elektros ir šilumos energijai gaminti, pirkimų taisyklių patvirtinimo“ pakeitimo“ projektas, 2 lapai.</w:t>
      </w:r>
    </w:p>
    <w:p w14:paraId="1558197D" w14:textId="77777777" w:rsidR="00086204" w:rsidRDefault="00086204" w:rsidP="00086204">
      <w:pPr>
        <w:pStyle w:val="Sraopastraipa"/>
        <w:numPr>
          <w:ilvl w:val="0"/>
          <w:numId w:val="4"/>
        </w:numPr>
        <w:tabs>
          <w:tab w:val="left" w:pos="993"/>
        </w:tabs>
        <w:ind w:left="0" w:firstLine="709"/>
        <w:rPr>
          <w:szCs w:val="24"/>
        </w:rPr>
      </w:pPr>
      <w:r>
        <w:rPr>
          <w:szCs w:val="24"/>
        </w:rPr>
        <w:t>Lietuvos Respublikos Vyriausybės nutarimo „Dėl Lietuvos Respublikos Vyriausybės</w:t>
      </w:r>
      <w:r>
        <w:rPr>
          <w:szCs w:val="24"/>
        </w:rPr>
        <w:br/>
        <w:t>2003 m. kovo 3 d. nutarimo Nr. 277 „Dėl Įmonių, veikiančių energetikos srityje, energijos ar kuro, kurių reikia elektros ir šilumos energijai gaminti, pirkimų taisyklių patvirtinimo“ pakeitimo“ projekto lyginamasis variantas, 2 lapai.</w:t>
      </w:r>
    </w:p>
    <w:p w14:paraId="6FD69557" w14:textId="77777777" w:rsidR="00086204" w:rsidRDefault="00086204" w:rsidP="00086204">
      <w:pPr>
        <w:pStyle w:val="Sraopastraipa"/>
        <w:numPr>
          <w:ilvl w:val="0"/>
          <w:numId w:val="4"/>
        </w:numPr>
        <w:tabs>
          <w:tab w:val="left" w:pos="993"/>
        </w:tabs>
        <w:ind w:left="0" w:firstLine="709"/>
        <w:rPr>
          <w:szCs w:val="24"/>
        </w:rPr>
      </w:pPr>
      <w:r>
        <w:rPr>
          <w:szCs w:val="24"/>
          <w:lang w:eastAsia="lt-LT"/>
        </w:rPr>
        <w:t>Nutarimo projekto derinimo pažyma, 4 lapai.</w:t>
      </w:r>
    </w:p>
    <w:p w14:paraId="162C2F02" w14:textId="17364960" w:rsidR="00086204" w:rsidRDefault="00086204" w:rsidP="00086204">
      <w:pPr>
        <w:pStyle w:val="Sraopastraipa"/>
        <w:numPr>
          <w:ilvl w:val="0"/>
          <w:numId w:val="4"/>
        </w:numPr>
        <w:tabs>
          <w:tab w:val="left" w:pos="993"/>
        </w:tabs>
        <w:ind w:left="0" w:firstLine="709"/>
        <w:rPr>
          <w:szCs w:val="24"/>
        </w:rPr>
      </w:pPr>
      <w:r>
        <w:rPr>
          <w:szCs w:val="24"/>
          <w:lang w:eastAsia="lt-LT"/>
        </w:rPr>
        <w:t xml:space="preserve">Suinteresuotų institucijų pateiktų išvadų kopijos, </w:t>
      </w:r>
      <w:r w:rsidR="00D00F63">
        <w:rPr>
          <w:szCs w:val="24"/>
          <w:lang w:eastAsia="lt-LT"/>
        </w:rPr>
        <w:t>11</w:t>
      </w:r>
      <w:r>
        <w:rPr>
          <w:szCs w:val="24"/>
          <w:lang w:eastAsia="lt-LT"/>
        </w:rPr>
        <w:t xml:space="preserve"> lap</w:t>
      </w:r>
      <w:r w:rsidR="00D00F63">
        <w:rPr>
          <w:szCs w:val="24"/>
          <w:lang w:eastAsia="lt-LT"/>
        </w:rPr>
        <w:t>ų</w:t>
      </w:r>
      <w:r>
        <w:rPr>
          <w:szCs w:val="24"/>
          <w:lang w:eastAsia="lt-LT"/>
        </w:rPr>
        <w:t>.</w:t>
      </w:r>
    </w:p>
    <w:p w14:paraId="381411B4" w14:textId="77777777" w:rsidR="00086204" w:rsidRDefault="00086204" w:rsidP="00086204">
      <w:pPr>
        <w:pStyle w:val="Sraopastraipa"/>
        <w:tabs>
          <w:tab w:val="left" w:pos="993"/>
        </w:tabs>
        <w:rPr>
          <w:color w:val="000000"/>
          <w:szCs w:val="24"/>
        </w:rPr>
      </w:pPr>
    </w:p>
    <w:p w14:paraId="74F80625" w14:textId="77777777" w:rsidR="00086204" w:rsidRDefault="00086204" w:rsidP="00086204">
      <w:pPr>
        <w:pStyle w:val="Sraopastraipa"/>
        <w:tabs>
          <w:tab w:val="left" w:pos="993"/>
        </w:tabs>
        <w:rPr>
          <w:color w:val="000000"/>
          <w:szCs w:val="24"/>
        </w:rPr>
      </w:pPr>
    </w:p>
    <w:p w14:paraId="6A10BEE3" w14:textId="77777777" w:rsidR="00086204" w:rsidRDefault="00086204" w:rsidP="00086204">
      <w:pPr>
        <w:pStyle w:val="Sraopastraipa"/>
        <w:tabs>
          <w:tab w:val="left" w:pos="993"/>
        </w:tabs>
        <w:rPr>
          <w:color w:val="000000"/>
          <w:szCs w:val="24"/>
        </w:rPr>
      </w:pPr>
    </w:p>
    <w:tbl>
      <w:tblPr>
        <w:tblW w:w="9464" w:type="dxa"/>
        <w:tblLook w:val="04A0" w:firstRow="1" w:lastRow="0" w:firstColumn="1" w:lastColumn="0" w:noHBand="0" w:noVBand="1"/>
      </w:tblPr>
      <w:tblGrid>
        <w:gridCol w:w="4786"/>
        <w:gridCol w:w="4678"/>
      </w:tblGrid>
      <w:tr w:rsidR="00086204" w14:paraId="0DAD1BE9" w14:textId="77777777" w:rsidTr="00086204">
        <w:tc>
          <w:tcPr>
            <w:tcW w:w="4786" w:type="dxa"/>
            <w:hideMark/>
          </w:tcPr>
          <w:p w14:paraId="1F77F7A3" w14:textId="77777777" w:rsidR="00086204" w:rsidRDefault="00086204">
            <w:pPr>
              <w:pStyle w:val="Betarp"/>
              <w:jc w:val="left"/>
              <w:rPr>
                <w:szCs w:val="24"/>
              </w:rPr>
            </w:pPr>
            <w:r>
              <w:rPr>
                <w:szCs w:val="24"/>
              </w:rPr>
              <w:t>Energetikos ministras</w:t>
            </w:r>
          </w:p>
        </w:tc>
        <w:tc>
          <w:tcPr>
            <w:tcW w:w="4678" w:type="dxa"/>
            <w:hideMark/>
          </w:tcPr>
          <w:p w14:paraId="5863F4A4" w14:textId="77777777" w:rsidR="00086204" w:rsidRDefault="00086204">
            <w:pPr>
              <w:pStyle w:val="Betarp"/>
              <w:ind w:firstLine="720"/>
              <w:jc w:val="right"/>
              <w:rPr>
                <w:szCs w:val="24"/>
              </w:rPr>
            </w:pPr>
            <w:r>
              <w:rPr>
                <w:szCs w:val="24"/>
              </w:rPr>
              <w:t>Žygimantas Vaičiūnas</w:t>
            </w:r>
          </w:p>
        </w:tc>
      </w:tr>
    </w:tbl>
    <w:p w14:paraId="45147570" w14:textId="77777777" w:rsidR="00086204" w:rsidRDefault="00086204" w:rsidP="00086204">
      <w:pPr>
        <w:ind w:firstLine="720"/>
        <w:rPr>
          <w:color w:val="000000"/>
          <w:szCs w:val="24"/>
        </w:rPr>
      </w:pPr>
    </w:p>
    <w:p w14:paraId="3CEA2194" w14:textId="77777777" w:rsidR="001A2958" w:rsidRDefault="001A2958" w:rsidP="001A2958">
      <w:pPr>
        <w:pStyle w:val="Porat"/>
        <w:rPr>
          <w:szCs w:val="24"/>
        </w:rPr>
      </w:pPr>
    </w:p>
    <w:p w14:paraId="7D170713" w14:textId="77777777" w:rsidR="001A2958" w:rsidRDefault="001A2958" w:rsidP="001A2958">
      <w:pPr>
        <w:pStyle w:val="Porat"/>
        <w:rPr>
          <w:szCs w:val="24"/>
        </w:rPr>
      </w:pPr>
    </w:p>
    <w:p w14:paraId="77775BB6" w14:textId="77777777" w:rsidR="001A2958" w:rsidRDefault="001A2958" w:rsidP="001A2958">
      <w:pPr>
        <w:pStyle w:val="Porat"/>
        <w:rPr>
          <w:szCs w:val="24"/>
        </w:rPr>
      </w:pPr>
    </w:p>
    <w:p w14:paraId="3906400A" w14:textId="77777777" w:rsidR="001A2958" w:rsidRDefault="001A2958" w:rsidP="001A2958">
      <w:pPr>
        <w:pStyle w:val="Porat"/>
        <w:rPr>
          <w:szCs w:val="24"/>
        </w:rPr>
      </w:pPr>
    </w:p>
    <w:p w14:paraId="3FD3A144" w14:textId="77777777" w:rsidR="001A2958" w:rsidRDefault="001A2958" w:rsidP="001A2958">
      <w:pPr>
        <w:pStyle w:val="Porat"/>
        <w:rPr>
          <w:szCs w:val="24"/>
        </w:rPr>
      </w:pPr>
    </w:p>
    <w:p w14:paraId="34DE7B2E" w14:textId="77777777" w:rsidR="001A2958" w:rsidRDefault="001A2958" w:rsidP="001A2958">
      <w:pPr>
        <w:pStyle w:val="Porat"/>
        <w:rPr>
          <w:szCs w:val="24"/>
        </w:rPr>
      </w:pPr>
    </w:p>
    <w:p w14:paraId="56286681" w14:textId="77777777" w:rsidR="001A2958" w:rsidRDefault="001A2958" w:rsidP="001A2958">
      <w:pPr>
        <w:pStyle w:val="Porat"/>
        <w:rPr>
          <w:szCs w:val="24"/>
        </w:rPr>
      </w:pPr>
    </w:p>
    <w:p w14:paraId="66F1580D" w14:textId="77777777" w:rsidR="001A2958" w:rsidRDefault="001A2958" w:rsidP="001A2958">
      <w:pPr>
        <w:pStyle w:val="Porat"/>
        <w:rPr>
          <w:szCs w:val="24"/>
        </w:rPr>
      </w:pPr>
    </w:p>
    <w:p w14:paraId="53CBC7DC" w14:textId="77777777" w:rsidR="001A2958" w:rsidRDefault="001A2958" w:rsidP="001A2958">
      <w:pPr>
        <w:pStyle w:val="Porat"/>
        <w:rPr>
          <w:szCs w:val="24"/>
        </w:rPr>
      </w:pPr>
    </w:p>
    <w:p w14:paraId="4BBF144B" w14:textId="77777777" w:rsidR="001A2958" w:rsidRDefault="001A2958" w:rsidP="001A2958">
      <w:pPr>
        <w:pStyle w:val="Porat"/>
        <w:rPr>
          <w:szCs w:val="24"/>
        </w:rPr>
      </w:pPr>
    </w:p>
    <w:p w14:paraId="7C7A651F" w14:textId="77777777" w:rsidR="001A2958" w:rsidRDefault="001A2958" w:rsidP="001A2958">
      <w:pPr>
        <w:pStyle w:val="Porat"/>
        <w:rPr>
          <w:szCs w:val="24"/>
        </w:rPr>
      </w:pPr>
    </w:p>
    <w:p w14:paraId="7E865B55" w14:textId="77777777" w:rsidR="001A2958" w:rsidRDefault="001A2958" w:rsidP="001A2958">
      <w:pPr>
        <w:pStyle w:val="Porat"/>
        <w:rPr>
          <w:szCs w:val="24"/>
        </w:rPr>
      </w:pPr>
    </w:p>
    <w:p w14:paraId="036ABC80" w14:textId="77777777" w:rsidR="001A2958" w:rsidRDefault="001A2958" w:rsidP="001A2958">
      <w:pPr>
        <w:pStyle w:val="Porat"/>
        <w:rPr>
          <w:szCs w:val="24"/>
        </w:rPr>
      </w:pPr>
    </w:p>
    <w:p w14:paraId="30CE2E47" w14:textId="77777777" w:rsidR="001A2958" w:rsidRDefault="001A2958" w:rsidP="001A2958">
      <w:pPr>
        <w:pStyle w:val="Porat"/>
        <w:rPr>
          <w:szCs w:val="24"/>
        </w:rPr>
      </w:pPr>
    </w:p>
    <w:p w14:paraId="70D220F9" w14:textId="77777777" w:rsidR="001A2958" w:rsidRDefault="001A2958" w:rsidP="001A2958">
      <w:pPr>
        <w:pStyle w:val="Porat"/>
        <w:rPr>
          <w:szCs w:val="24"/>
        </w:rPr>
      </w:pPr>
    </w:p>
    <w:p w14:paraId="4847DFBA" w14:textId="77777777" w:rsidR="001A2958" w:rsidRDefault="001A2958" w:rsidP="001A2958">
      <w:pPr>
        <w:pStyle w:val="Porat"/>
        <w:rPr>
          <w:szCs w:val="24"/>
        </w:rPr>
      </w:pPr>
    </w:p>
    <w:p w14:paraId="085EB25F" w14:textId="77777777" w:rsidR="001A2958" w:rsidRDefault="001A2958" w:rsidP="001A2958">
      <w:pPr>
        <w:pStyle w:val="Porat"/>
        <w:rPr>
          <w:szCs w:val="24"/>
        </w:rPr>
      </w:pPr>
    </w:p>
    <w:p w14:paraId="33EDAB26" w14:textId="77777777" w:rsidR="001A2958" w:rsidRDefault="001A2958" w:rsidP="001A2958">
      <w:pPr>
        <w:pStyle w:val="Porat"/>
        <w:rPr>
          <w:szCs w:val="24"/>
        </w:rPr>
      </w:pPr>
    </w:p>
    <w:p w14:paraId="3FCB92F7" w14:textId="77777777" w:rsidR="001A2958" w:rsidRDefault="001A2958" w:rsidP="001A2958">
      <w:pPr>
        <w:pStyle w:val="Porat"/>
        <w:rPr>
          <w:szCs w:val="24"/>
        </w:rPr>
      </w:pPr>
    </w:p>
    <w:p w14:paraId="7FD1F67A" w14:textId="77777777" w:rsidR="001A2958" w:rsidRDefault="001A2958" w:rsidP="001A2958">
      <w:pPr>
        <w:pStyle w:val="Porat"/>
        <w:rPr>
          <w:szCs w:val="24"/>
        </w:rPr>
      </w:pPr>
    </w:p>
    <w:p w14:paraId="34E9A3FA" w14:textId="77777777" w:rsidR="001A2958" w:rsidRDefault="001A2958" w:rsidP="001A2958">
      <w:pPr>
        <w:pStyle w:val="Porat"/>
        <w:rPr>
          <w:szCs w:val="24"/>
        </w:rPr>
      </w:pPr>
    </w:p>
    <w:p w14:paraId="024478D4" w14:textId="77777777" w:rsidR="001A2958" w:rsidRDefault="001A2958" w:rsidP="001A2958">
      <w:pPr>
        <w:pStyle w:val="Porat"/>
        <w:rPr>
          <w:szCs w:val="24"/>
        </w:rPr>
      </w:pPr>
    </w:p>
    <w:p w14:paraId="17DC09AD" w14:textId="77777777" w:rsidR="001A2958" w:rsidRDefault="001A2958" w:rsidP="001A2958">
      <w:pPr>
        <w:pStyle w:val="Porat"/>
        <w:rPr>
          <w:szCs w:val="24"/>
        </w:rPr>
      </w:pPr>
    </w:p>
    <w:p w14:paraId="6F6BEF37" w14:textId="77777777" w:rsidR="001A2958" w:rsidRDefault="001A2958" w:rsidP="001A2958">
      <w:pPr>
        <w:pStyle w:val="Porat"/>
        <w:rPr>
          <w:szCs w:val="24"/>
        </w:rPr>
      </w:pPr>
    </w:p>
    <w:p w14:paraId="1AC4F8C2" w14:textId="77777777" w:rsidR="001A2958" w:rsidRDefault="001A2958" w:rsidP="001A2958">
      <w:pPr>
        <w:pStyle w:val="Porat"/>
        <w:rPr>
          <w:szCs w:val="24"/>
        </w:rPr>
      </w:pPr>
    </w:p>
    <w:p w14:paraId="1187F3FC" w14:textId="77777777" w:rsidR="001A2958" w:rsidRDefault="001A2958" w:rsidP="001A2958">
      <w:pPr>
        <w:pStyle w:val="Porat"/>
        <w:rPr>
          <w:szCs w:val="24"/>
        </w:rPr>
      </w:pPr>
    </w:p>
    <w:p w14:paraId="245ABBD6" w14:textId="77777777" w:rsidR="0080735D" w:rsidRDefault="0080735D" w:rsidP="001A2958">
      <w:pPr>
        <w:pStyle w:val="Porat"/>
        <w:rPr>
          <w:szCs w:val="24"/>
        </w:rPr>
      </w:pPr>
    </w:p>
    <w:p w14:paraId="4B9373A4" w14:textId="4A58522A" w:rsidR="001A2958" w:rsidRPr="00D00F63" w:rsidRDefault="001A2958" w:rsidP="001A2958">
      <w:pPr>
        <w:pStyle w:val="Porat"/>
        <w:rPr>
          <w:color w:val="0000FF"/>
          <w:szCs w:val="24"/>
          <w:u w:val="single"/>
        </w:rPr>
      </w:pPr>
      <w:bookmarkStart w:id="1" w:name="_GoBack"/>
      <w:bookmarkEnd w:id="1"/>
      <w:r w:rsidRPr="00382E56">
        <w:rPr>
          <w:szCs w:val="24"/>
        </w:rPr>
        <w:t xml:space="preserve">Gintarė Palšauskaitė, tel. (8 5) 203 4474, papild. 6, el. p. </w:t>
      </w:r>
      <w:r w:rsidRPr="00D00F63">
        <w:t>gintare.palsauskaite@enmin.lt</w:t>
      </w:r>
    </w:p>
    <w:p w14:paraId="72C83FF4" w14:textId="77777777" w:rsidR="001E2AFC" w:rsidRDefault="001E2AFC"/>
    <w:sectPr w:rsidR="001E2AFC" w:rsidSect="00D00F63">
      <w:headerReference w:type="defaul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335E1" w14:textId="77777777" w:rsidR="00F121B2" w:rsidRDefault="00F121B2" w:rsidP="001A2958">
      <w:r>
        <w:separator/>
      </w:r>
    </w:p>
  </w:endnote>
  <w:endnote w:type="continuationSeparator" w:id="0">
    <w:p w14:paraId="46CB91F9" w14:textId="77777777" w:rsidR="00F121B2" w:rsidRDefault="00F121B2" w:rsidP="001A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FBEA" w14:textId="51408F38" w:rsidR="00D00F63" w:rsidRDefault="00D00F63">
    <w:pPr>
      <w:pStyle w:val="Porat"/>
    </w:pPr>
    <w:r>
      <w:rPr>
        <w:noProof/>
      </w:rPr>
      <w:drawing>
        <wp:anchor distT="0" distB="0" distL="114300" distR="114300" simplePos="0" relativeHeight="251658240" behindDoc="0" locked="0" layoutInCell="1" allowOverlap="1" wp14:anchorId="03181E45" wp14:editId="0785CF75">
          <wp:simplePos x="1076325" y="9553575"/>
          <wp:positionH relativeFrom="margin">
            <wp:align>right</wp:align>
          </wp:positionH>
          <wp:positionV relativeFrom="margin">
            <wp:align>bottom</wp:align>
          </wp:positionV>
          <wp:extent cx="1066800" cy="733425"/>
          <wp:effectExtent l="0" t="0" r="0" b="952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6132C" w14:textId="77777777" w:rsidR="00F121B2" w:rsidRDefault="00F121B2" w:rsidP="001A2958">
      <w:r>
        <w:separator/>
      </w:r>
    </w:p>
  </w:footnote>
  <w:footnote w:type="continuationSeparator" w:id="0">
    <w:p w14:paraId="05E0FB95" w14:textId="77777777" w:rsidR="00F121B2" w:rsidRDefault="00F121B2" w:rsidP="001A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443753"/>
      <w:docPartObj>
        <w:docPartGallery w:val="Page Numbers (Top of Page)"/>
        <w:docPartUnique/>
      </w:docPartObj>
    </w:sdtPr>
    <w:sdtEndPr/>
    <w:sdtContent>
      <w:p w14:paraId="1FD4EF5E" w14:textId="77777777" w:rsidR="001A2958" w:rsidRDefault="001A2958">
        <w:pPr>
          <w:pStyle w:val="Antrats"/>
          <w:jc w:val="center"/>
        </w:pPr>
        <w:r>
          <w:fldChar w:fldCharType="begin"/>
        </w:r>
        <w:r>
          <w:instrText>PAGE   \* MERGEFORMAT</w:instrText>
        </w:r>
        <w:r>
          <w:fldChar w:fldCharType="separate"/>
        </w:r>
        <w:r>
          <w:t>2</w:t>
        </w:r>
        <w:r>
          <w:fldChar w:fldCharType="end"/>
        </w:r>
      </w:p>
    </w:sdtContent>
  </w:sdt>
  <w:p w14:paraId="46EFBCD8" w14:textId="77777777" w:rsidR="001A2958" w:rsidRDefault="001A29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D0BC6"/>
    <w:multiLevelType w:val="hybridMultilevel"/>
    <w:tmpl w:val="FE663F7A"/>
    <w:lvl w:ilvl="0" w:tplc="04090011">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 w15:restartNumberingAfterBreak="0">
    <w:nsid w:val="22012B6F"/>
    <w:multiLevelType w:val="hybridMultilevel"/>
    <w:tmpl w:val="F42619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3E12912"/>
    <w:multiLevelType w:val="hybridMultilevel"/>
    <w:tmpl w:val="BDB8D9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9F774F8"/>
    <w:multiLevelType w:val="hybridMultilevel"/>
    <w:tmpl w:val="4DE47E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04"/>
    <w:rsid w:val="00086204"/>
    <w:rsid w:val="001A2958"/>
    <w:rsid w:val="001E2AFC"/>
    <w:rsid w:val="002C21E1"/>
    <w:rsid w:val="0039722C"/>
    <w:rsid w:val="004B0D57"/>
    <w:rsid w:val="0080735D"/>
    <w:rsid w:val="00A03537"/>
    <w:rsid w:val="00D00F63"/>
    <w:rsid w:val="00D704C9"/>
    <w:rsid w:val="00D827D8"/>
    <w:rsid w:val="00F121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C167D"/>
  <w15:chartTrackingRefBased/>
  <w15:docId w15:val="{7F21760A-1D8E-4091-880E-1287F7B5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086204"/>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086204"/>
    <w:rPr>
      <w:color w:val="0000FF"/>
      <w:u w:val="single"/>
    </w:rPr>
  </w:style>
  <w:style w:type="paragraph" w:styleId="Betarp">
    <w:name w:val="No Spacing"/>
    <w:uiPriority w:val="1"/>
    <w:qFormat/>
    <w:rsid w:val="00086204"/>
    <w:pPr>
      <w:spacing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uiPriority w:val="34"/>
    <w:qFormat/>
    <w:rsid w:val="00086204"/>
    <w:pPr>
      <w:ind w:left="720"/>
      <w:contextualSpacing/>
    </w:pPr>
  </w:style>
  <w:style w:type="paragraph" w:customStyle="1" w:styleId="Style11">
    <w:name w:val="Style11"/>
    <w:basedOn w:val="prastasis"/>
    <w:rsid w:val="00086204"/>
    <w:pPr>
      <w:widowControl w:val="0"/>
      <w:autoSpaceDE w:val="0"/>
      <w:autoSpaceDN w:val="0"/>
      <w:adjustRightInd w:val="0"/>
      <w:spacing w:line="278" w:lineRule="exact"/>
      <w:ind w:firstLine="427"/>
    </w:pPr>
    <w:rPr>
      <w:szCs w:val="24"/>
      <w:lang w:eastAsia="lt-LT"/>
    </w:rPr>
  </w:style>
  <w:style w:type="table" w:styleId="Lentelstinklelis">
    <w:name w:val="Table Grid"/>
    <w:basedOn w:val="prastojilentel"/>
    <w:uiPriority w:val="59"/>
    <w:rsid w:val="00086204"/>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35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537"/>
    <w:rPr>
      <w:rFonts w:ascii="Segoe UI" w:eastAsia="Times New Roman" w:hAnsi="Segoe UI" w:cs="Segoe UI"/>
      <w:sz w:val="18"/>
      <w:szCs w:val="18"/>
    </w:rPr>
  </w:style>
  <w:style w:type="paragraph" w:styleId="Porat">
    <w:name w:val="footer"/>
    <w:basedOn w:val="prastasis"/>
    <w:link w:val="PoratDiagrama"/>
    <w:uiPriority w:val="99"/>
    <w:rsid w:val="001A2958"/>
    <w:pPr>
      <w:tabs>
        <w:tab w:val="center" w:pos="4153"/>
        <w:tab w:val="right" w:pos="8306"/>
      </w:tabs>
    </w:pPr>
  </w:style>
  <w:style w:type="character" w:customStyle="1" w:styleId="PoratDiagrama">
    <w:name w:val="Poraštė Diagrama"/>
    <w:basedOn w:val="Numatytasispastraiposriftas"/>
    <w:link w:val="Porat"/>
    <w:uiPriority w:val="99"/>
    <w:rsid w:val="001A2958"/>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1A2958"/>
    <w:pPr>
      <w:tabs>
        <w:tab w:val="center" w:pos="4819"/>
        <w:tab w:val="right" w:pos="9638"/>
      </w:tabs>
    </w:pPr>
  </w:style>
  <w:style w:type="character" w:customStyle="1" w:styleId="AntratsDiagrama">
    <w:name w:val="Antraštės Diagrama"/>
    <w:basedOn w:val="Numatytasispastraiposriftas"/>
    <w:link w:val="Antrats"/>
    <w:uiPriority w:val="99"/>
    <w:rsid w:val="001A2958"/>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827D8"/>
    <w:rPr>
      <w:sz w:val="16"/>
      <w:szCs w:val="16"/>
    </w:rPr>
  </w:style>
  <w:style w:type="paragraph" w:styleId="Komentarotekstas">
    <w:name w:val="annotation text"/>
    <w:basedOn w:val="prastasis"/>
    <w:link w:val="KomentarotekstasDiagrama"/>
    <w:uiPriority w:val="99"/>
    <w:semiHidden/>
    <w:unhideWhenUsed/>
    <w:rsid w:val="00D827D8"/>
    <w:rPr>
      <w:sz w:val="20"/>
    </w:rPr>
  </w:style>
  <w:style w:type="character" w:customStyle="1" w:styleId="KomentarotekstasDiagrama">
    <w:name w:val="Komentaro tekstas Diagrama"/>
    <w:basedOn w:val="Numatytasispastraiposriftas"/>
    <w:link w:val="Komentarotekstas"/>
    <w:uiPriority w:val="99"/>
    <w:semiHidden/>
    <w:rsid w:val="00D827D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27D8"/>
    <w:rPr>
      <w:b/>
      <w:bCs/>
    </w:rPr>
  </w:style>
  <w:style w:type="character" w:customStyle="1" w:styleId="KomentarotemaDiagrama">
    <w:name w:val="Komentaro tema Diagrama"/>
    <w:basedOn w:val="KomentarotekstasDiagrama"/>
    <w:link w:val="Komentarotema"/>
    <w:uiPriority w:val="99"/>
    <w:semiHidden/>
    <w:rsid w:val="00D827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karolis.svaikauskas@enmin.lt" TargetMode="External"
                 Type="http://schemas.openxmlformats.org/officeDocument/2006/relationships/hyperlink"/>
   <Relationship Id="rId11" Target="mailto:gintare.palsauskaite@enmin.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info@enmin.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10F2-CC20-4788-8662-9F419F10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4333</Words>
  <Characters>2471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2020-02-27T14:02:00Z</dcterms:created>
  <dc:creator>Aušra Siniuvienė</dc:creator>
  <cp:lastModifiedBy>Gintarė Palšauskaitė</cp:lastModifiedBy>
  <dcterms:modified xsi:type="dcterms:W3CDTF">2020-02-28T09:07:00Z</dcterms:modified>
  <cp:revision>11</cp:revision>
</cp:coreProperties>
</file>