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A3DE0" w14:textId="77777777" w:rsidR="00925D64" w:rsidRDefault="00C94D63">
      <w:pPr>
        <w:jc w:val="center"/>
      </w:pPr>
      <w:r>
        <w:rPr>
          <w:rFonts w:ascii="Times New Roman" w:hAnsi="Times New Roman"/>
          <w:b/>
          <w:bCs/>
          <w:sz w:val="24"/>
          <w:szCs w:val="24"/>
        </w:rPr>
        <w:t>LIETUVOS RESPUBLIKOS SAUGAUS EISMO AUTOMOBILIŲ KELIAIS ĮSTATYMO</w:t>
      </w:r>
      <w:r>
        <w:rPr>
          <w:rFonts w:ascii="Times New Roman" w:hAnsi="Times New Roman"/>
          <w:b/>
          <w:sz w:val="24"/>
          <w:szCs w:val="24"/>
        </w:rPr>
        <w:t xml:space="preserve"> NR. VIII-2043 </w:t>
      </w:r>
      <w:r w:rsidR="00F441AC">
        <w:rPr>
          <w:rFonts w:ascii="Times New Roman" w:hAnsi="Times New Roman"/>
          <w:b/>
          <w:sz w:val="24"/>
          <w:szCs w:val="24"/>
        </w:rPr>
        <w:t xml:space="preserve">1, </w:t>
      </w:r>
      <w:r>
        <w:rPr>
          <w:rFonts w:ascii="Times New Roman" w:hAnsi="Times New Roman"/>
          <w:b/>
          <w:sz w:val="24"/>
          <w:szCs w:val="24"/>
        </w:rPr>
        <w:t>20 IR 27 STRAIPSNIŲ PAKEITIMO ĮSTATYMO PROJEKTO IR LIETUVOS RESPUBLIKOS ADMINISTRACINIŲ NUSIŽENGIMŲ KODEKSO 589 IR 611 STRAIPSNIŲ PAKEITIMO ĮSTATYMO PROJEKTO</w:t>
      </w:r>
    </w:p>
    <w:p w14:paraId="62946814" w14:textId="77777777" w:rsidR="00925D64" w:rsidRDefault="00C94D63">
      <w:pPr>
        <w:pStyle w:val="Standard"/>
        <w:spacing w:after="0" w:line="240" w:lineRule="auto"/>
        <w:jc w:val="center"/>
        <w:rPr>
          <w:rFonts w:ascii="Times New Roman" w:hAnsi="Times New Roman"/>
          <w:b/>
          <w:sz w:val="24"/>
          <w:szCs w:val="24"/>
        </w:rPr>
      </w:pPr>
      <w:r>
        <w:rPr>
          <w:rFonts w:ascii="Times New Roman" w:hAnsi="Times New Roman"/>
          <w:b/>
          <w:sz w:val="24"/>
          <w:szCs w:val="24"/>
        </w:rPr>
        <w:t>AIŠKINAMASIS RAŠTAS</w:t>
      </w:r>
    </w:p>
    <w:p w14:paraId="7269BFD3" w14:textId="77777777" w:rsidR="00925D64" w:rsidRDefault="00925D64">
      <w:pPr>
        <w:pStyle w:val="Standard"/>
        <w:spacing w:after="0" w:line="240" w:lineRule="auto"/>
        <w:jc w:val="both"/>
        <w:rPr>
          <w:rFonts w:ascii="Times New Roman" w:hAnsi="Times New Roman"/>
          <w:b/>
          <w:sz w:val="24"/>
          <w:szCs w:val="24"/>
        </w:rPr>
      </w:pPr>
    </w:p>
    <w:p w14:paraId="5DF0E575" w14:textId="77777777" w:rsidR="00925D64" w:rsidRDefault="00C94D63">
      <w:pPr>
        <w:pStyle w:val="Standard"/>
        <w:numPr>
          <w:ilvl w:val="0"/>
          <w:numId w:val="1"/>
        </w:numPr>
        <w:tabs>
          <w:tab w:val="left" w:pos="1134"/>
        </w:tabs>
        <w:spacing w:after="0" w:line="240" w:lineRule="auto"/>
        <w:ind w:left="0" w:firstLine="851"/>
        <w:jc w:val="both"/>
        <w:rPr>
          <w:rFonts w:ascii="Times New Roman" w:hAnsi="Times New Roman"/>
          <w:sz w:val="24"/>
          <w:szCs w:val="24"/>
        </w:rPr>
      </w:pPr>
      <w:r>
        <w:rPr>
          <w:rFonts w:ascii="Times New Roman" w:hAnsi="Times New Roman"/>
          <w:b/>
          <w:bCs/>
          <w:sz w:val="24"/>
          <w:szCs w:val="24"/>
          <w:lang w:eastAsia="lt-LT"/>
        </w:rPr>
        <w:t xml:space="preserve">Įstatymų projektų rengimą paskatinusios priežastys, </w:t>
      </w:r>
      <w:r>
        <w:rPr>
          <w:rFonts w:ascii="Times New Roman" w:hAnsi="Times New Roman"/>
          <w:b/>
          <w:bCs/>
          <w:sz w:val="24"/>
          <w:szCs w:val="24"/>
          <w:lang w:eastAsia="en-GB"/>
        </w:rPr>
        <w:t>parengtų projektų tikslai ir uždaviniai</w:t>
      </w:r>
    </w:p>
    <w:p w14:paraId="7D9F913E" w14:textId="77777777" w:rsidR="00925D64" w:rsidRDefault="00C94D63">
      <w:pPr>
        <w:pStyle w:val="Betarp"/>
        <w:tabs>
          <w:tab w:val="left" w:pos="1134"/>
        </w:tabs>
        <w:ind w:firstLine="851"/>
        <w:jc w:val="both"/>
        <w:rPr>
          <w:lang w:val="lt-LT"/>
        </w:rPr>
      </w:pPr>
      <w:r>
        <w:rPr>
          <w:rFonts w:ascii="Times New Roman" w:hAnsi="Times New Roman"/>
          <w:bCs/>
          <w:sz w:val="24"/>
          <w:szCs w:val="24"/>
          <w:lang w:val="lt-LT"/>
        </w:rPr>
        <w:t xml:space="preserve">Lietuvos Respublikos saugaus eismo automobilių keliais įstatymo Nr. VIII-2043 </w:t>
      </w:r>
      <w:r w:rsidR="00F441AC">
        <w:rPr>
          <w:rFonts w:ascii="Times New Roman" w:hAnsi="Times New Roman"/>
          <w:bCs/>
          <w:sz w:val="24"/>
          <w:szCs w:val="24"/>
          <w:lang w:val="lt-LT"/>
        </w:rPr>
        <w:t xml:space="preserve">1, </w:t>
      </w:r>
      <w:r>
        <w:rPr>
          <w:rFonts w:ascii="Times New Roman" w:hAnsi="Times New Roman"/>
          <w:bCs/>
          <w:sz w:val="24"/>
          <w:szCs w:val="24"/>
          <w:lang w:val="lt-LT"/>
        </w:rPr>
        <w:t xml:space="preserve">20 ir 27 straipsnių pakeitimo įstatymo projektas (toliau – SEAKĮ projektas) ir Lietuvos Respublikos administracinių nusižengimų kodekso 589 ir 611 straipsnių pakeitimo įstatymo projektas (toliau – ANK projektas) parengti siekiant užkardyti sudaromus </w:t>
      </w:r>
      <w:r>
        <w:rPr>
          <w:rFonts w:ascii="Times New Roman" w:hAnsi="Times New Roman"/>
          <w:sz w:val="24"/>
          <w:szCs w:val="24"/>
          <w:lang w:val="lt-LT"/>
        </w:rPr>
        <w:t>fiktyvius sandorius transporto priemonių prekybos srityje, sudaryti galimybę kontrolės institucijoms nustatyti tikruosius transporto priemonių pardavėjus (perpardavinėtojus) bei savininkus ir užtikrinti jiems tenkančių mokestinių prievolių ir (ar) kitos teisinės atsakomybės už nustatytus teisės pažeidimus neišvengiamumą.</w:t>
      </w:r>
    </w:p>
    <w:p w14:paraId="6D93EC42" w14:textId="73B33802" w:rsidR="00925D64" w:rsidRDefault="00C94D63">
      <w:pPr>
        <w:pStyle w:val="Betarp"/>
        <w:tabs>
          <w:tab w:val="left" w:pos="1134"/>
        </w:tabs>
        <w:ind w:firstLine="851"/>
        <w:jc w:val="both"/>
        <w:rPr>
          <w:rFonts w:ascii="Times New Roman" w:hAnsi="Times New Roman"/>
          <w:sz w:val="24"/>
          <w:szCs w:val="24"/>
          <w:lang w:val="lt-LT"/>
        </w:rPr>
      </w:pPr>
      <w:r>
        <w:rPr>
          <w:rFonts w:ascii="Times New Roman" w:hAnsi="Times New Roman"/>
          <w:bCs/>
          <w:sz w:val="24"/>
          <w:szCs w:val="24"/>
          <w:lang w:val="lt-LT"/>
        </w:rPr>
        <w:t>Atkreiptinas dėmesys į tai, kad d</w:t>
      </w:r>
      <w:r>
        <w:rPr>
          <w:rFonts w:ascii="Times New Roman" w:hAnsi="Times New Roman"/>
          <w:sz w:val="24"/>
          <w:szCs w:val="24"/>
          <w:lang w:val="lt-LT"/>
        </w:rPr>
        <w:t xml:space="preserve">idžioji dalis automobilių pirkimo–pardavimo sandorių Lietuvos Respublikoje įvyksta atsiskaitant grynaisiais pinigais. Labai dažnai naudotų transporto priemonių pirkėjai, norėdami mažiau mokėti už įsigyjamą transporto priemonę, sutinka transporto priemonės pirkimo ir pardavimo sutartyse nurodyti ne tikruosius automobilių pardavėjus, o pirminį, užsienyje </w:t>
      </w:r>
      <w:r w:rsidR="009267C0">
        <w:rPr>
          <w:rFonts w:ascii="Times New Roman" w:hAnsi="Times New Roman"/>
          <w:sz w:val="24"/>
          <w:szCs w:val="24"/>
          <w:lang w:val="lt-LT"/>
        </w:rPr>
        <w:t>buvusį</w:t>
      </w:r>
      <w:r>
        <w:rPr>
          <w:rFonts w:ascii="Times New Roman" w:hAnsi="Times New Roman"/>
          <w:sz w:val="24"/>
          <w:szCs w:val="24"/>
          <w:lang w:val="lt-LT"/>
        </w:rPr>
        <w:t xml:space="preserve"> (o kai kuriais atvejais netgi neegzistuojantį), automobilio savininką. Atitinkamai tikrieji transporto priemonių pardavėjai (perpardavinėtojai) yra nefiksuojami jokiuose dokumentuose, lieka šešėlyje, nes</w:t>
      </w:r>
      <w:r w:rsidR="009267C0">
        <w:rPr>
          <w:rFonts w:ascii="Times New Roman" w:hAnsi="Times New Roman"/>
          <w:sz w:val="24"/>
          <w:szCs w:val="24"/>
          <w:lang w:val="lt-LT"/>
        </w:rPr>
        <w:t xml:space="preserve"> tokiu būdu</w:t>
      </w:r>
      <w:r>
        <w:rPr>
          <w:rFonts w:ascii="Times New Roman" w:hAnsi="Times New Roman"/>
          <w:sz w:val="24"/>
          <w:szCs w:val="24"/>
          <w:lang w:val="lt-LT"/>
        </w:rPr>
        <w:t xml:space="preserve"> nuslepia tikrąsias gautas pajamas, nuo kurių nesumokami gyventojų pajamų ir pridėtinės vertės mokesčiai. Transporto priemonę įsigijus iš tokio perpardavinėtojo, sudaromas įspūdis, kad sandoris vyksta tarp Europos Sąjungos (toliau – ES) piliečio ir Lietuvos Respublikos piliečio, nes klastojama (nuslepiama) dažniausiai Vokietijos Federacinėje Respublikoje </w:t>
      </w:r>
      <w:r w:rsidR="009267C0">
        <w:rPr>
          <w:rFonts w:ascii="Times New Roman" w:hAnsi="Times New Roman"/>
          <w:sz w:val="24"/>
          <w:szCs w:val="24"/>
          <w:lang w:val="lt-LT"/>
        </w:rPr>
        <w:t>sudaryta</w:t>
      </w:r>
      <w:r>
        <w:rPr>
          <w:rFonts w:ascii="Times New Roman" w:hAnsi="Times New Roman"/>
          <w:sz w:val="24"/>
          <w:szCs w:val="24"/>
          <w:lang w:val="lt-LT"/>
        </w:rPr>
        <w:t xml:space="preserve"> tikroji pirkimo–pardavimo sutartis („Kauferis“). Atitinkamai pirkėjas dėl nežinojimo ar nesupratimo negali pasinaudoti Civiliniame kodekse (toliau – CK) numatytomis teisėmis (pvz., gauti teisingą informaciją apie įsigyjamos transporto priemonės galimus trūkumus), taip pat esant nustatytiems pagrindams grąžinti netinkamą transporto priemonę ją pardavusiam asmeniui</w:t>
      </w:r>
      <w:r w:rsidR="009267C0">
        <w:rPr>
          <w:rFonts w:ascii="Times New Roman" w:hAnsi="Times New Roman"/>
          <w:sz w:val="24"/>
          <w:szCs w:val="24"/>
          <w:lang w:val="lt-LT"/>
        </w:rPr>
        <w:t xml:space="preserve"> ir atgauti visus faktiškai sumokėtus (o net tik nurodytus „Kauferyje“)</w:t>
      </w:r>
      <w:r w:rsidR="00CD2B30" w:rsidRPr="00CD2B30">
        <w:rPr>
          <w:rFonts w:ascii="Times New Roman" w:hAnsi="Times New Roman"/>
          <w:sz w:val="24"/>
          <w:szCs w:val="24"/>
          <w:lang w:val="lt-LT"/>
        </w:rPr>
        <w:t xml:space="preserve"> </w:t>
      </w:r>
      <w:r w:rsidR="00CD2B30">
        <w:rPr>
          <w:rFonts w:ascii="Times New Roman" w:hAnsi="Times New Roman"/>
          <w:sz w:val="24"/>
          <w:szCs w:val="24"/>
          <w:lang w:val="lt-LT"/>
        </w:rPr>
        <w:t>pinigus.</w:t>
      </w:r>
    </w:p>
    <w:p w14:paraId="5EDBA02D" w14:textId="4DAA0F53" w:rsidR="00925D64" w:rsidRDefault="00C94D63">
      <w:pPr>
        <w:pStyle w:val="Betarp"/>
        <w:tabs>
          <w:tab w:val="left" w:pos="1134"/>
        </w:tabs>
        <w:ind w:firstLine="851"/>
        <w:jc w:val="both"/>
        <w:rPr>
          <w:rFonts w:ascii="Times New Roman" w:hAnsi="Times New Roman"/>
          <w:sz w:val="24"/>
          <w:szCs w:val="24"/>
          <w:lang w:val="lt-LT"/>
        </w:rPr>
      </w:pPr>
      <w:r>
        <w:rPr>
          <w:rFonts w:ascii="Times New Roman" w:hAnsi="Times New Roman"/>
          <w:sz w:val="24"/>
          <w:szCs w:val="24"/>
          <w:lang w:val="lt-LT"/>
        </w:rPr>
        <w:t>Pagal VĮ „Regitra“ surinktą 201</w:t>
      </w:r>
      <w:r w:rsidR="00535A4E">
        <w:rPr>
          <w:rFonts w:ascii="Times New Roman" w:hAnsi="Times New Roman"/>
          <w:sz w:val="24"/>
          <w:szCs w:val="24"/>
          <w:lang w:val="lt-LT"/>
        </w:rPr>
        <w:t>9</w:t>
      </w:r>
      <w:r>
        <w:rPr>
          <w:rFonts w:ascii="Times New Roman" w:hAnsi="Times New Roman"/>
          <w:sz w:val="24"/>
          <w:szCs w:val="24"/>
          <w:lang w:val="lt-LT"/>
        </w:rPr>
        <w:t xml:space="preserve"> metų informaciją</w:t>
      </w:r>
      <w:r w:rsidR="00535A4E">
        <w:rPr>
          <w:rFonts w:ascii="Times New Roman" w:hAnsi="Times New Roman"/>
          <w:sz w:val="24"/>
          <w:szCs w:val="24"/>
          <w:lang w:val="lt-LT"/>
        </w:rPr>
        <w:t xml:space="preserve"> (laikotarpiu nuo 2018</w:t>
      </w:r>
      <w:r w:rsidR="009354ED">
        <w:rPr>
          <w:rFonts w:ascii="Times New Roman" w:hAnsi="Times New Roman"/>
          <w:sz w:val="24"/>
          <w:szCs w:val="24"/>
          <w:lang w:val="lt-LT"/>
        </w:rPr>
        <w:t xml:space="preserve"> m. spalio </w:t>
      </w:r>
      <w:r w:rsidR="00535A4E">
        <w:rPr>
          <w:rFonts w:ascii="Times New Roman" w:hAnsi="Times New Roman"/>
          <w:sz w:val="24"/>
          <w:szCs w:val="24"/>
          <w:lang w:val="lt-LT"/>
        </w:rPr>
        <w:t>31</w:t>
      </w:r>
      <w:r w:rsidR="009354ED">
        <w:rPr>
          <w:rFonts w:ascii="Times New Roman" w:hAnsi="Times New Roman"/>
          <w:sz w:val="24"/>
          <w:szCs w:val="24"/>
          <w:lang w:val="lt-LT"/>
        </w:rPr>
        <w:t xml:space="preserve"> d.</w:t>
      </w:r>
      <w:r w:rsidR="00535A4E">
        <w:rPr>
          <w:rFonts w:ascii="Times New Roman" w:hAnsi="Times New Roman"/>
          <w:sz w:val="24"/>
          <w:szCs w:val="24"/>
          <w:lang w:val="lt-LT"/>
        </w:rPr>
        <w:t xml:space="preserve"> iki 2019</w:t>
      </w:r>
      <w:r w:rsidR="009354ED">
        <w:rPr>
          <w:rFonts w:ascii="Times New Roman" w:hAnsi="Times New Roman"/>
          <w:sz w:val="24"/>
          <w:szCs w:val="24"/>
          <w:lang w:val="lt-LT"/>
        </w:rPr>
        <w:t xml:space="preserve"> m. spalio </w:t>
      </w:r>
      <w:r w:rsidR="00535A4E">
        <w:rPr>
          <w:rFonts w:ascii="Times New Roman" w:hAnsi="Times New Roman"/>
          <w:sz w:val="24"/>
          <w:szCs w:val="24"/>
          <w:lang w:val="lt-LT"/>
        </w:rPr>
        <w:t>31</w:t>
      </w:r>
      <w:r w:rsidR="009354ED">
        <w:rPr>
          <w:rFonts w:ascii="Times New Roman" w:hAnsi="Times New Roman"/>
          <w:sz w:val="24"/>
          <w:szCs w:val="24"/>
          <w:lang w:val="lt-LT"/>
        </w:rPr>
        <w:t xml:space="preserve"> d.</w:t>
      </w:r>
      <w:r w:rsidR="00535A4E">
        <w:rPr>
          <w:rFonts w:ascii="Times New Roman" w:hAnsi="Times New Roman"/>
          <w:sz w:val="24"/>
          <w:szCs w:val="24"/>
          <w:lang w:val="lt-LT"/>
        </w:rPr>
        <w:t>)</w:t>
      </w:r>
      <w:r>
        <w:rPr>
          <w:rFonts w:ascii="Times New Roman" w:hAnsi="Times New Roman"/>
          <w:sz w:val="24"/>
          <w:szCs w:val="24"/>
          <w:lang w:val="lt-LT"/>
        </w:rPr>
        <w:t xml:space="preserve">, „Kauferių“ problema akivaizdi:  </w:t>
      </w:r>
    </w:p>
    <w:p w14:paraId="2A9CD676" w14:textId="03982DD2" w:rsidR="00925D64" w:rsidRDefault="00535A4E">
      <w:pPr>
        <w:pStyle w:val="Betarp"/>
        <w:tabs>
          <w:tab w:val="left" w:pos="1134"/>
        </w:tabs>
        <w:ind w:firstLine="851"/>
        <w:jc w:val="both"/>
        <w:rPr>
          <w:rFonts w:ascii="Times New Roman" w:hAnsi="Times New Roman"/>
          <w:sz w:val="24"/>
          <w:szCs w:val="24"/>
          <w:lang w:val="lt-LT"/>
        </w:rPr>
      </w:pPr>
      <w:r>
        <w:rPr>
          <w:rFonts w:ascii="Times New Roman" w:hAnsi="Times New Roman"/>
          <w:noProof/>
          <w:sz w:val="24"/>
          <w:szCs w:val="24"/>
          <w:lang w:val="lt-LT" w:eastAsia="lt-LT"/>
        </w:rPr>
        <w:drawing>
          <wp:inline distT="0" distB="0" distL="0" distR="0" wp14:anchorId="6E88FAEC" wp14:editId="2BC6C59F">
            <wp:extent cx="4580890" cy="2752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0890" cy="2752090"/>
                    </a:xfrm>
                    <a:prstGeom prst="rect">
                      <a:avLst/>
                    </a:prstGeom>
                    <a:noFill/>
                  </pic:spPr>
                </pic:pic>
              </a:graphicData>
            </a:graphic>
          </wp:inline>
        </w:drawing>
      </w:r>
    </w:p>
    <w:p w14:paraId="5DDC26DC" w14:textId="77777777" w:rsidR="00925D64" w:rsidRDefault="00C94D63">
      <w:pPr>
        <w:pStyle w:val="Betarp"/>
        <w:tabs>
          <w:tab w:val="left" w:pos="1134"/>
        </w:tabs>
        <w:ind w:firstLine="851"/>
        <w:jc w:val="both"/>
        <w:rPr>
          <w:rFonts w:ascii="Times New Roman" w:eastAsia="Times New Roman" w:hAnsi="Times New Roman"/>
          <w:sz w:val="24"/>
          <w:szCs w:val="24"/>
          <w:lang w:val="lt-LT" w:eastAsia="lt-LT"/>
        </w:rPr>
      </w:pPr>
      <w:r>
        <w:rPr>
          <w:rFonts w:ascii="Times New Roman" w:hAnsi="Times New Roman"/>
          <w:sz w:val="24"/>
          <w:szCs w:val="24"/>
          <w:lang w:val="lt-LT" w:eastAsia="lt-LT"/>
        </w:rPr>
        <w:t xml:space="preserve">Remiantis Valstybinės mokesčių inspekcijos prie Finansų ministerijos (toliau – VMI) duomenimis (vadovaujantis Analizės, modeliavimo ir rizikos valdymo kompetencijų centro ir Kauno technologijos universiteto atliktu 2018 metų Lietuvos PVM atotrūkio vertinimu), </w:t>
      </w:r>
      <w:r>
        <w:rPr>
          <w:rFonts w:ascii="Times New Roman" w:hAnsi="Times New Roman"/>
          <w:bCs/>
          <w:sz w:val="24"/>
          <w:szCs w:val="24"/>
          <w:lang w:val="lt-LT" w:eastAsia="lt-LT"/>
        </w:rPr>
        <w:t>automobilių prekybos srityje PVM atotrūkis siekė 38 mln. eurų</w:t>
      </w:r>
      <w:r>
        <w:rPr>
          <w:rFonts w:ascii="Times New Roman" w:hAnsi="Times New Roman"/>
          <w:sz w:val="24"/>
          <w:szCs w:val="24"/>
          <w:lang w:val="lt-LT" w:eastAsia="lt-LT"/>
        </w:rPr>
        <w:t>. Finansinių nusikaltimų tyrimo tarnybos prie Vidaus reikalų ministerijos d</w:t>
      </w:r>
      <w:r>
        <w:rPr>
          <w:rFonts w:ascii="Times New Roman" w:eastAsia="Helvetica" w:hAnsi="Times New Roman"/>
          <w:sz w:val="24"/>
          <w:szCs w:val="24"/>
          <w:lang w:val="lt-LT" w:eastAsia="lt-LT"/>
        </w:rPr>
        <w:t xml:space="preserve">uomenimis, 2017–2019 metais buvo pradėti </w:t>
      </w:r>
      <w:r>
        <w:rPr>
          <w:rFonts w:ascii="Times New Roman" w:eastAsia="Helvetica" w:hAnsi="Times New Roman"/>
          <w:bCs/>
          <w:sz w:val="24"/>
          <w:szCs w:val="24"/>
          <w:lang w:val="lt-LT" w:eastAsia="lt-LT"/>
        </w:rPr>
        <w:t xml:space="preserve">25 ikiteisminiai tyrimai </w:t>
      </w:r>
      <w:r>
        <w:rPr>
          <w:rFonts w:ascii="Times New Roman" w:eastAsia="Helvetica" w:hAnsi="Times New Roman"/>
          <w:sz w:val="24"/>
          <w:szCs w:val="24"/>
          <w:lang w:val="lt-LT" w:eastAsia="lt-LT"/>
        </w:rPr>
        <w:t xml:space="preserve">dėl neapskaitytos </w:t>
      </w:r>
      <w:r>
        <w:rPr>
          <w:rFonts w:ascii="Times New Roman" w:eastAsia="Helvetica" w:hAnsi="Times New Roman"/>
          <w:sz w:val="24"/>
          <w:szCs w:val="24"/>
          <w:lang w:val="lt-LT" w:eastAsia="lt-LT"/>
        </w:rPr>
        <w:lastRenderedPageBreak/>
        <w:t>prekybos naudotais lengvaisiais automobiliais (nustatyta daugiau kaip 900 tūkst. eurų žala valstybės biudžetui, neįskaitant tęsiamų patikrinimų ir ikiteisminių tyrimų, kuriuose žala vis dar nustatoma, nes atliekami objektų tyrimai).</w:t>
      </w:r>
    </w:p>
    <w:p w14:paraId="61CBB663" w14:textId="77777777" w:rsidR="00925D64" w:rsidRDefault="00C94D63">
      <w:pPr>
        <w:pStyle w:val="Betarp"/>
        <w:tabs>
          <w:tab w:val="left" w:pos="1134"/>
        </w:tabs>
        <w:ind w:firstLine="851"/>
        <w:jc w:val="both"/>
        <w:rPr>
          <w:rFonts w:ascii="Times New Roman" w:hAnsi="Times New Roman"/>
          <w:bCs/>
          <w:sz w:val="24"/>
          <w:szCs w:val="24"/>
          <w:lang w:val="lt-LT"/>
        </w:rPr>
      </w:pPr>
      <w:r>
        <w:rPr>
          <w:rFonts w:ascii="Times New Roman" w:hAnsi="Times New Roman"/>
          <w:bCs/>
          <w:sz w:val="24"/>
          <w:szCs w:val="24"/>
          <w:lang w:val="lt-LT"/>
        </w:rPr>
        <w:t xml:space="preserve">SEAKĮ projektu siūloma įtvirtinti privalomo transporto priemonių savininkų bei transporto priemonių įvežimo į Lietuvos Respubliką pardavimui deklaravimo modelį ir įdiegti centralizuotą transporto priemonių savininkų apskaitos sistemą (toliau – TPSAS). Žinant tikruosius transporto priemonių pardavėjus ir savininkus atsiras galimybė užtikrinti jiems tenkančių mokestinių prievolių ir (ar) kitos teisinės atsakomybės už nustatytus teisės pažeidimus neišvengiamumą. Atitinkamai bus užtikrintas tikrųjų transporto priemonių savininkų </w:t>
      </w:r>
      <w:r w:rsidR="007746C3">
        <w:rPr>
          <w:rFonts w:ascii="Times New Roman" w:hAnsi="Times New Roman"/>
          <w:bCs/>
          <w:sz w:val="24"/>
          <w:szCs w:val="24"/>
          <w:lang w:val="lt-LT"/>
        </w:rPr>
        <w:t xml:space="preserve">ir valdytojų </w:t>
      </w:r>
      <w:r>
        <w:rPr>
          <w:rFonts w:ascii="Times New Roman" w:hAnsi="Times New Roman"/>
          <w:bCs/>
          <w:sz w:val="24"/>
          <w:szCs w:val="24"/>
          <w:lang w:val="lt-LT"/>
        </w:rPr>
        <w:t>atsekamumas</w:t>
      </w:r>
      <w:r w:rsidR="007746C3">
        <w:rPr>
          <w:rFonts w:ascii="Times New Roman" w:hAnsi="Times New Roman"/>
          <w:bCs/>
          <w:sz w:val="24"/>
          <w:szCs w:val="24"/>
          <w:lang w:val="lt-LT"/>
        </w:rPr>
        <w:t xml:space="preserve"> (nustatymas)</w:t>
      </w:r>
      <w:r>
        <w:rPr>
          <w:rFonts w:ascii="Times New Roman" w:hAnsi="Times New Roman"/>
          <w:bCs/>
          <w:sz w:val="24"/>
          <w:szCs w:val="24"/>
          <w:lang w:val="lt-LT"/>
        </w:rPr>
        <w:t xml:space="preserve">, kuris pagal šiuo metu galiojantį reglamentavimą nėra užtikrinamas. Pažymėtina, kad šiems pasiūlymams </w:t>
      </w:r>
      <w:r>
        <w:rPr>
          <w:rFonts w:ascii="Times New Roman" w:eastAsia="Times New Roman" w:hAnsi="Times New Roman"/>
          <w:sz w:val="24"/>
          <w:szCs w:val="24"/>
          <w:lang w:val="lt-LT" w:eastAsia="x-none"/>
        </w:rPr>
        <w:t xml:space="preserve">pritarta </w:t>
      </w:r>
      <w:r>
        <w:rPr>
          <w:rFonts w:ascii="Times New Roman" w:hAnsi="Times New Roman"/>
          <w:bCs/>
          <w:sz w:val="24"/>
          <w:szCs w:val="24"/>
          <w:lang w:val="lt-LT"/>
        </w:rPr>
        <w:t xml:space="preserve">Lietuvos Respublikos Vyriausybės 2019 m. birželio 19 d. pasitarimo metu (protokolo Nr. 26 2 klausimo nutariamosios dalies 2.3 papunktis). </w:t>
      </w:r>
    </w:p>
    <w:p w14:paraId="5F20E674" w14:textId="77777777" w:rsidR="00925D64" w:rsidRDefault="00C94D63">
      <w:pPr>
        <w:pStyle w:val="Betarp"/>
        <w:tabs>
          <w:tab w:val="left" w:pos="1134"/>
        </w:tabs>
        <w:ind w:firstLine="851"/>
        <w:jc w:val="both"/>
        <w:rPr>
          <w:rFonts w:ascii="Times New Roman" w:hAnsi="Times New Roman"/>
          <w:bCs/>
          <w:sz w:val="24"/>
          <w:szCs w:val="24"/>
          <w:lang w:val="lt-LT"/>
        </w:rPr>
      </w:pPr>
      <w:r>
        <w:rPr>
          <w:rFonts w:ascii="Times New Roman" w:hAnsi="Times New Roman"/>
          <w:bCs/>
          <w:sz w:val="24"/>
          <w:szCs w:val="24"/>
          <w:lang w:val="lt-LT"/>
        </w:rPr>
        <w:t>Papildomai SEAKĮ projektu siūloma pripažinti netekusia galios Lietuvos Respublikos saugaus eismo automobilių keliais įstatymo (toliau – SEAKĮ) 27 straipsnio 3 dalį siekiant sumažinti asmenims tenkančią administracinę naštą, kai transporto priemonėms, kurios įregistruotos, laikinai išduodamuose valstybinio numerio ženkluose turi būti privalomai nurodomas laikinosios registracijos terminas, kuris jau ir taip pažymėtas Kelių transporto priemonių registre (toliau – KTPR).</w:t>
      </w:r>
    </w:p>
    <w:p w14:paraId="0C35DEF7" w14:textId="5196652A" w:rsidR="00925D64" w:rsidRDefault="00C94D63">
      <w:pPr>
        <w:ind w:firstLine="851"/>
        <w:jc w:val="both"/>
        <w:rPr>
          <w:rFonts w:ascii="Times New Roman" w:hAnsi="Times New Roman"/>
          <w:sz w:val="24"/>
          <w:szCs w:val="24"/>
        </w:rPr>
      </w:pPr>
      <w:r>
        <w:rPr>
          <w:rFonts w:ascii="Times New Roman" w:hAnsi="Times New Roman"/>
          <w:sz w:val="24"/>
          <w:szCs w:val="24"/>
        </w:rPr>
        <w:t xml:space="preserve">Taip pat siūloma pakeisti SEAKĮ 27 straipsnio 4 ir 11 dalis, atsisakant privalomo reikalavimo, kad KTPR registruojamos tik tos transporto priemonės, kurioms </w:t>
      </w:r>
      <w:r w:rsidR="000E7CD7" w:rsidRPr="000E7CD7">
        <w:rPr>
          <w:rFonts w:ascii="Times New Roman" w:hAnsi="Times New Roman"/>
          <w:sz w:val="24"/>
          <w:szCs w:val="24"/>
        </w:rPr>
        <w:t>atliktos išleidimo į laisvą apyvartą muitinės procedūros</w:t>
      </w:r>
      <w:r>
        <w:rPr>
          <w:rFonts w:ascii="Times New Roman" w:hAnsi="Times New Roman"/>
          <w:sz w:val="24"/>
          <w:szCs w:val="24"/>
        </w:rPr>
        <w:t xml:space="preserve">, ir taip supaprastinti transporto priemonių registravimo procedūras transporto priemones registruojantiems asmenims pateikus ne Lietuvos Respublikoje išduotus muitinės procedūrų atlikimą patvirtinančius dokumentus. </w:t>
      </w:r>
    </w:p>
    <w:p w14:paraId="09B74FA6" w14:textId="77777777" w:rsidR="00925D64" w:rsidRDefault="00C94D63">
      <w:pPr>
        <w:ind w:firstLine="851"/>
        <w:jc w:val="both"/>
      </w:pPr>
      <w:r>
        <w:rPr>
          <w:rFonts w:ascii="Times New Roman" w:hAnsi="Times New Roman"/>
          <w:bCs/>
          <w:sz w:val="24"/>
          <w:szCs w:val="24"/>
        </w:rPr>
        <w:t xml:space="preserve">Kartu su SEAKĮ projektu teikiamas ANK projektas, kuriame siūloma </w:t>
      </w:r>
      <w:r>
        <w:rPr>
          <w:rFonts w:ascii="Times New Roman" w:hAnsi="Times New Roman"/>
          <w:sz w:val="24"/>
          <w:szCs w:val="24"/>
        </w:rPr>
        <w:t>praplėsti ANK 589 straipsnyje numatytų subjektų, kuriems suteikta teisė pradėti a</w:t>
      </w:r>
      <w:r>
        <w:rPr>
          <w:rFonts w:ascii="Times New Roman" w:hAnsi="Times New Roman"/>
          <w:color w:val="000000"/>
          <w:sz w:val="24"/>
          <w:szCs w:val="24"/>
        </w:rPr>
        <w:t xml:space="preserve">dministracinių nusižengimų teiseną, atlikti administracinių nusižengimų tyrimą ir surašyti administracinių nusižengimų protokolus už </w:t>
      </w:r>
      <w:r>
        <w:rPr>
          <w:rFonts w:ascii="Times New Roman" w:hAnsi="Times New Roman"/>
          <w:sz w:val="24"/>
          <w:szCs w:val="24"/>
        </w:rPr>
        <w:t xml:space="preserve">Lietuvos Respublikos administracinių nusižengimų kodekso (toliau – ANK) </w:t>
      </w:r>
      <w:r>
        <w:rPr>
          <w:rFonts w:ascii="Times New Roman" w:hAnsi="Times New Roman"/>
          <w:color w:val="000000"/>
          <w:sz w:val="24"/>
          <w:szCs w:val="24"/>
        </w:rPr>
        <w:t xml:space="preserve">431 straipsnyje numatytus nusižengimus (t. y. už </w:t>
      </w:r>
      <w:r>
        <w:rPr>
          <w:rFonts w:ascii="Times New Roman" w:hAnsi="Times New Roman"/>
          <w:bCs/>
          <w:color w:val="000000"/>
          <w:sz w:val="24"/>
          <w:szCs w:val="24"/>
        </w:rPr>
        <w:t>transporto priemonės savininkui (valdytojui) nustatytų reikalavimų nevykdymą), ratą įtraukiant VMI pareigūnus.</w:t>
      </w:r>
      <w:r>
        <w:rPr>
          <w:rFonts w:ascii="Times New Roman" w:hAnsi="Times New Roman"/>
          <w:bCs/>
          <w:sz w:val="24"/>
          <w:szCs w:val="24"/>
        </w:rPr>
        <w:t xml:space="preserve"> Tai</w:t>
      </w:r>
      <w:r w:rsidR="00F441AC">
        <w:rPr>
          <w:rFonts w:ascii="Times New Roman" w:hAnsi="Times New Roman"/>
          <w:bCs/>
          <w:sz w:val="24"/>
          <w:szCs w:val="24"/>
        </w:rPr>
        <w:t>p</w:t>
      </w:r>
      <w:r>
        <w:rPr>
          <w:rFonts w:ascii="Times New Roman" w:hAnsi="Times New Roman"/>
          <w:bCs/>
          <w:sz w:val="24"/>
          <w:szCs w:val="24"/>
        </w:rPr>
        <w:t xml:space="preserve"> pat, siekiant efektyviau naudoti valstybės išteklius, palengvinti daug žmogiškųjų išteklių ir išlaidų reikalaujantį darbą tiriant tokio pobūdžio administracinius nusižengimus, siūloma numatyti galimybę už ANK 431 straipsnio 1 ir 2 dalyse numatytus nusižengimus protokolą su administraciniu nurodymu (tais atvejais, kai pagal ANK 610 straipsnio 2 dalį administracinis nurodymas negali būti surašomas, – tik administracinio nusižengimo protokolą) automatiškai suformuoti Administracinių nusižengimų registre.</w:t>
      </w:r>
    </w:p>
    <w:p w14:paraId="58774355" w14:textId="77777777" w:rsidR="00925D64" w:rsidRDefault="00925D64">
      <w:pPr>
        <w:ind w:firstLine="851"/>
        <w:jc w:val="both"/>
        <w:rPr>
          <w:rFonts w:ascii="Times New Roman" w:eastAsia="Times New Roman" w:hAnsi="Times New Roman"/>
          <w:sz w:val="24"/>
          <w:szCs w:val="24"/>
          <w:lang w:eastAsia="x-none"/>
        </w:rPr>
      </w:pPr>
    </w:p>
    <w:p w14:paraId="725EFE46" w14:textId="77777777" w:rsidR="00925D64" w:rsidRDefault="00C94D63">
      <w:pPr>
        <w:pStyle w:val="Betarp"/>
        <w:tabs>
          <w:tab w:val="left" w:pos="1134"/>
        </w:tabs>
        <w:ind w:firstLine="851"/>
        <w:jc w:val="both"/>
        <w:rPr>
          <w:rFonts w:ascii="Times New Roman" w:hAnsi="Times New Roman"/>
          <w:sz w:val="24"/>
          <w:szCs w:val="24"/>
          <w:lang w:val="lt-LT"/>
        </w:rPr>
      </w:pPr>
      <w:r>
        <w:rPr>
          <w:rFonts w:ascii="Times New Roman" w:hAnsi="Times New Roman"/>
          <w:b/>
          <w:bCs/>
          <w:sz w:val="24"/>
          <w:szCs w:val="24"/>
          <w:lang w:val="lt-LT"/>
        </w:rPr>
        <w:t xml:space="preserve">2. </w:t>
      </w:r>
      <w:r>
        <w:rPr>
          <w:rFonts w:ascii="Times New Roman" w:hAnsi="Times New Roman"/>
          <w:b/>
          <w:sz w:val="24"/>
          <w:szCs w:val="24"/>
          <w:lang w:val="lt-LT" w:eastAsia="lt-LT"/>
        </w:rPr>
        <w:t>Įstatymų</w:t>
      </w:r>
      <w:r>
        <w:rPr>
          <w:rFonts w:ascii="Times New Roman" w:hAnsi="Times New Roman"/>
          <w:b/>
          <w:bCs/>
          <w:sz w:val="24"/>
          <w:szCs w:val="24"/>
          <w:lang w:val="lt-LT"/>
        </w:rPr>
        <w:t xml:space="preserve"> projektų</w:t>
      </w:r>
      <w:r>
        <w:rPr>
          <w:rFonts w:ascii="Times New Roman" w:hAnsi="Times New Roman"/>
          <w:b/>
          <w:sz w:val="24"/>
          <w:szCs w:val="24"/>
          <w:lang w:val="lt-LT" w:eastAsia="en-GB"/>
        </w:rPr>
        <w:t xml:space="preserve"> iniciatoriai (institucija, asmenys ar piliečių įgalioti atstovai) ir rengėjai</w:t>
      </w:r>
    </w:p>
    <w:p w14:paraId="414DC0EF" w14:textId="77777777" w:rsidR="00925D64" w:rsidRDefault="00C94D63">
      <w:pPr>
        <w:tabs>
          <w:tab w:val="left" w:pos="851"/>
        </w:tabs>
        <w:ind w:left="-142" w:firstLine="993"/>
        <w:jc w:val="both"/>
      </w:pPr>
      <w:r>
        <w:rPr>
          <w:rFonts w:ascii="Times New Roman" w:hAnsi="Times New Roman"/>
          <w:sz w:val="24"/>
          <w:szCs w:val="24"/>
          <w:lang w:eastAsia="lt-LT"/>
        </w:rPr>
        <w:t xml:space="preserve">Įstatymų projektų rengimą inicijavo </w:t>
      </w:r>
      <w:r>
        <w:rPr>
          <w:rFonts w:ascii="Times New Roman" w:eastAsia="Times New Roman" w:hAnsi="Times New Roman"/>
          <w:sz w:val="24"/>
          <w:szCs w:val="24"/>
          <w:lang w:eastAsia="x-none"/>
        </w:rPr>
        <w:t xml:space="preserve">Lietuvos Respublikos vidaus reikalų ministro 2018 m. rugsėjo 3 d. įsakymu Nr. 1V-638 sudaryta darbo grupė (2019 m. balandžio 8 d. įsakymo Nr. 1V-344 redakcija). </w:t>
      </w:r>
      <w:r>
        <w:rPr>
          <w:rFonts w:ascii="Times New Roman" w:hAnsi="Times New Roman"/>
          <w:sz w:val="24"/>
          <w:szCs w:val="24"/>
          <w:lang w:eastAsia="lt-LT"/>
        </w:rPr>
        <w:t xml:space="preserve">Įstatymų projektų rengimą koordinavo Vidaus reikalų ministerijos (toliau – VRM) Viešojo saugumo politikos grupės </w:t>
      </w:r>
      <w:r>
        <w:rPr>
          <w:rFonts w:ascii="Times New Roman" w:eastAsia="Times New Roman" w:hAnsi="Times New Roman"/>
          <w:sz w:val="24"/>
          <w:szCs w:val="24"/>
        </w:rPr>
        <w:t xml:space="preserve">(vadovas – </w:t>
      </w:r>
      <w:r>
        <w:rPr>
          <w:rFonts w:ascii="Times New Roman" w:hAnsi="Times New Roman"/>
          <w:sz w:val="24"/>
          <w:szCs w:val="24"/>
        </w:rPr>
        <w:t>vyriausiasis patarėjas Rustamas Liubajevas, tel. (8 5) 271 7248, el. p. rustamas.liubajevas@vrm.lt</w:t>
      </w:r>
      <w:r>
        <w:rPr>
          <w:rFonts w:ascii="Times New Roman" w:eastAsia="Times New Roman" w:hAnsi="Times New Roman"/>
          <w:sz w:val="24"/>
          <w:szCs w:val="24"/>
        </w:rPr>
        <w:t xml:space="preserve">) </w:t>
      </w:r>
      <w:r>
        <w:rPr>
          <w:rFonts w:ascii="Times New Roman" w:hAnsi="Times New Roman"/>
          <w:sz w:val="24"/>
          <w:szCs w:val="24"/>
          <w:lang w:eastAsia="lt-LT"/>
        </w:rPr>
        <w:t xml:space="preserve">vyresnysis patarėjas Darius Vasaris (tel. (8 5) 271 7138, el. p. darius.vasaris@vrm.lt) ir </w:t>
      </w:r>
      <w:r>
        <w:rPr>
          <w:rFonts w:ascii="Times New Roman" w:eastAsia="Times New Roman" w:hAnsi="Times New Roman"/>
          <w:sz w:val="24"/>
          <w:szCs w:val="24"/>
        </w:rPr>
        <w:t xml:space="preserve">patarėja Jurgita Laskevičiūtė (tel. (8 5) 271 8432, el. p. </w:t>
      </w:r>
      <w:hyperlink r:id="rId12">
        <w:r>
          <w:rPr>
            <w:rStyle w:val="ListLabel82"/>
          </w:rPr>
          <w:t>jurgita.laskeviciute@vrm.lt</w:t>
        </w:r>
      </w:hyperlink>
      <w:r>
        <w:rPr>
          <w:rFonts w:ascii="Times New Roman" w:eastAsia="Times New Roman" w:hAnsi="Times New Roman"/>
          <w:sz w:val="24"/>
          <w:szCs w:val="24"/>
        </w:rPr>
        <w:t>).</w:t>
      </w:r>
      <w:r>
        <w:rPr>
          <w:rFonts w:ascii="Times New Roman" w:hAnsi="Times New Roman"/>
          <w:sz w:val="24"/>
          <w:szCs w:val="24"/>
          <w:lang w:eastAsia="en-GB"/>
        </w:rPr>
        <w:t xml:space="preserve"> </w:t>
      </w:r>
    </w:p>
    <w:p w14:paraId="5EEF7441" w14:textId="77777777" w:rsidR="00925D64" w:rsidRDefault="00925D64">
      <w:pPr>
        <w:tabs>
          <w:tab w:val="left" w:pos="851"/>
        </w:tabs>
        <w:ind w:left="-142" w:firstLine="993"/>
        <w:jc w:val="both"/>
        <w:rPr>
          <w:rFonts w:ascii="Times New Roman" w:hAnsi="Times New Roman"/>
          <w:sz w:val="24"/>
          <w:szCs w:val="24"/>
          <w:lang w:eastAsia="lt-LT"/>
        </w:rPr>
      </w:pPr>
    </w:p>
    <w:p w14:paraId="234BBCE1" w14:textId="77777777" w:rsidR="00925D64" w:rsidRDefault="00C94D63">
      <w:pPr>
        <w:pStyle w:val="Standard"/>
        <w:numPr>
          <w:ilvl w:val="0"/>
          <w:numId w:val="2"/>
        </w:numPr>
        <w:tabs>
          <w:tab w:val="left" w:pos="1134"/>
        </w:tabs>
        <w:spacing w:after="0" w:line="240" w:lineRule="auto"/>
        <w:ind w:left="0" w:firstLine="851"/>
        <w:jc w:val="both"/>
        <w:rPr>
          <w:rFonts w:ascii="Times New Roman" w:hAnsi="Times New Roman"/>
          <w:b/>
          <w:bCs/>
          <w:sz w:val="24"/>
          <w:szCs w:val="24"/>
          <w:lang w:eastAsia="en-GB"/>
        </w:rPr>
      </w:pPr>
      <w:r>
        <w:rPr>
          <w:rFonts w:ascii="Times New Roman" w:hAnsi="Times New Roman"/>
          <w:b/>
          <w:bCs/>
          <w:sz w:val="24"/>
          <w:szCs w:val="24"/>
          <w:lang w:eastAsia="en-GB"/>
        </w:rPr>
        <w:t xml:space="preserve">Kaip šiuo metu reguliuojami įstatymų projektuose aptarti teisiniai santykiai  </w:t>
      </w:r>
    </w:p>
    <w:p w14:paraId="2B99C05B" w14:textId="77777777" w:rsidR="00925D64" w:rsidRDefault="00C94D63">
      <w:pPr>
        <w:suppressAutoHyphens w:val="0"/>
        <w:ind w:firstLine="851"/>
        <w:jc w:val="both"/>
        <w:textAlignment w:val="auto"/>
        <w:rPr>
          <w:rFonts w:ascii="Times New Roman" w:hAnsi="Times New Roman"/>
          <w:sz w:val="24"/>
          <w:szCs w:val="24"/>
        </w:rPr>
      </w:pPr>
      <w:r>
        <w:rPr>
          <w:rFonts w:ascii="Times New Roman" w:hAnsi="Times New Roman"/>
          <w:sz w:val="24"/>
          <w:szCs w:val="24"/>
        </w:rPr>
        <w:t>Nors šiuo metu galiojantis teisinis reguliavimas (Motorinių transporto priemonių ir jų priekabų registravimo taisyklės, patvirtintos vidaus reikalų ministro 2001 m. gegužės 25 d. įsakymu Nr. 260) ir nustato pareigą pranešti apie pasikeitusį transporto priemonės savininką, tačiau už šios pareigos nevykdymą nėra jokios atsakomybės. Labai dažnai pasitaiko atvejų, kai transporto priemonė jau būna parduota (ir po kelis kartus), tačiau KTPR tvarkytojas jokių duomenų apie tai neturi ir jo toliau tvarkoma ir naudojama informacija apie transporto priemonės savininką (valdytoją) neatitinka tikrovės.</w:t>
      </w:r>
    </w:p>
    <w:p w14:paraId="44753AE0" w14:textId="66D67586" w:rsidR="00925D64" w:rsidRDefault="00C94D63">
      <w:pPr>
        <w:suppressAutoHyphens w:val="0"/>
        <w:ind w:firstLine="851"/>
        <w:jc w:val="both"/>
        <w:textAlignment w:val="auto"/>
        <w:rPr>
          <w:rFonts w:ascii="Times New Roman" w:hAnsi="Times New Roman"/>
          <w:sz w:val="24"/>
          <w:szCs w:val="24"/>
        </w:rPr>
      </w:pPr>
      <w:bookmarkStart w:id="0" w:name="_Hlk25653027"/>
      <w:r>
        <w:rPr>
          <w:rFonts w:ascii="Times New Roman" w:hAnsi="Times New Roman"/>
          <w:sz w:val="24"/>
          <w:szCs w:val="24"/>
        </w:rPr>
        <w:lastRenderedPageBreak/>
        <w:t>VĮ „Regitra“ duomenimis, nuo 201</w:t>
      </w:r>
      <w:r w:rsidR="006F3F5B">
        <w:rPr>
          <w:rFonts w:ascii="Times New Roman" w:hAnsi="Times New Roman"/>
          <w:sz w:val="24"/>
          <w:szCs w:val="24"/>
        </w:rPr>
        <w:t>8</w:t>
      </w:r>
      <w:r>
        <w:rPr>
          <w:rFonts w:ascii="Times New Roman" w:hAnsi="Times New Roman"/>
          <w:sz w:val="24"/>
          <w:szCs w:val="24"/>
        </w:rPr>
        <w:t xml:space="preserve"> m. </w:t>
      </w:r>
      <w:r w:rsidR="006F3F5B">
        <w:rPr>
          <w:rFonts w:ascii="Times New Roman" w:hAnsi="Times New Roman"/>
          <w:sz w:val="24"/>
          <w:szCs w:val="24"/>
        </w:rPr>
        <w:t>spalio</w:t>
      </w:r>
      <w:r>
        <w:rPr>
          <w:rFonts w:ascii="Times New Roman" w:hAnsi="Times New Roman"/>
          <w:sz w:val="24"/>
          <w:szCs w:val="24"/>
        </w:rPr>
        <w:t xml:space="preserve"> </w:t>
      </w:r>
      <w:r w:rsidR="006F3F5B">
        <w:rPr>
          <w:rFonts w:ascii="Times New Roman" w:hAnsi="Times New Roman"/>
          <w:sz w:val="24"/>
          <w:szCs w:val="24"/>
        </w:rPr>
        <w:t>3</w:t>
      </w:r>
      <w:r>
        <w:rPr>
          <w:rFonts w:ascii="Times New Roman" w:hAnsi="Times New Roman"/>
          <w:sz w:val="24"/>
          <w:szCs w:val="24"/>
        </w:rPr>
        <w:t>1 d. iki 201</w:t>
      </w:r>
      <w:r w:rsidR="006F3F5B">
        <w:rPr>
          <w:rFonts w:ascii="Times New Roman" w:hAnsi="Times New Roman"/>
          <w:sz w:val="24"/>
          <w:szCs w:val="24"/>
        </w:rPr>
        <w:t>9</w:t>
      </w:r>
      <w:r>
        <w:rPr>
          <w:rFonts w:ascii="Times New Roman" w:hAnsi="Times New Roman"/>
          <w:sz w:val="24"/>
          <w:szCs w:val="24"/>
        </w:rPr>
        <w:t xml:space="preserve"> m. </w:t>
      </w:r>
      <w:r w:rsidR="006F3F5B">
        <w:rPr>
          <w:rFonts w:ascii="Times New Roman" w:hAnsi="Times New Roman"/>
          <w:sz w:val="24"/>
          <w:szCs w:val="24"/>
        </w:rPr>
        <w:t>spalio</w:t>
      </w:r>
      <w:r>
        <w:rPr>
          <w:rFonts w:ascii="Times New Roman" w:hAnsi="Times New Roman"/>
          <w:sz w:val="24"/>
          <w:szCs w:val="24"/>
        </w:rPr>
        <w:t xml:space="preserve"> </w:t>
      </w:r>
      <w:r w:rsidR="006F3F5B">
        <w:rPr>
          <w:rFonts w:ascii="Times New Roman" w:hAnsi="Times New Roman"/>
          <w:sz w:val="24"/>
          <w:szCs w:val="24"/>
        </w:rPr>
        <w:t>30</w:t>
      </w:r>
      <w:r>
        <w:rPr>
          <w:rFonts w:ascii="Times New Roman" w:hAnsi="Times New Roman"/>
          <w:sz w:val="24"/>
          <w:szCs w:val="24"/>
        </w:rPr>
        <w:t xml:space="preserve"> d. buvo pranešta apie 1</w:t>
      </w:r>
      <w:r w:rsidR="002679DF">
        <w:rPr>
          <w:rFonts w:ascii="Times New Roman" w:hAnsi="Times New Roman"/>
          <w:sz w:val="24"/>
          <w:szCs w:val="24"/>
        </w:rPr>
        <w:t>65</w:t>
      </w:r>
      <w:r>
        <w:rPr>
          <w:rFonts w:ascii="Times New Roman" w:hAnsi="Times New Roman"/>
          <w:sz w:val="24"/>
          <w:szCs w:val="24"/>
        </w:rPr>
        <w:t xml:space="preserve"> tūkst. transporto priemonių pardavimą Lietuvos fiziniams ir juridiniams asmenims, tačiau iš jų </w:t>
      </w:r>
      <w:r w:rsidR="00BE5A7B">
        <w:rPr>
          <w:rFonts w:ascii="Times New Roman" w:hAnsi="Times New Roman"/>
          <w:sz w:val="24"/>
          <w:szCs w:val="24"/>
        </w:rPr>
        <w:t>47</w:t>
      </w:r>
      <w:r>
        <w:rPr>
          <w:rFonts w:ascii="Times New Roman" w:hAnsi="Times New Roman"/>
          <w:sz w:val="24"/>
          <w:szCs w:val="24"/>
        </w:rPr>
        <w:t xml:space="preserve"> tūkst. buvo įregistruotos ne to asmens vardu, kurio duomenys buvo nurodyti deklaruojant pasikeitusį transporto priemonės savininką. Šios transporto priemonės buvo kartą ar daugiau perparduotos ir dėl to galėjo likti nesumokėtų mokesčių, apsunkintas teisės pažeidimų kontrolės funkcijas vykdančių institucijų darbas siekiant nustatyti tikrąjį transporto priemonės savininką.</w:t>
      </w:r>
      <w:bookmarkStart w:id="1" w:name="_GoBack"/>
      <w:bookmarkEnd w:id="1"/>
    </w:p>
    <w:bookmarkEnd w:id="0"/>
    <w:p w14:paraId="606078B7" w14:textId="77777777" w:rsidR="00925D64" w:rsidRDefault="00C94D63">
      <w:pPr>
        <w:suppressAutoHyphens w:val="0"/>
        <w:ind w:firstLine="851"/>
        <w:jc w:val="both"/>
        <w:textAlignment w:val="auto"/>
        <w:rPr>
          <w:rFonts w:ascii="Times New Roman" w:hAnsi="Times New Roman"/>
          <w:sz w:val="24"/>
          <w:szCs w:val="24"/>
        </w:rPr>
      </w:pPr>
      <w:r>
        <w:rPr>
          <w:rFonts w:ascii="Times New Roman" w:hAnsi="Times New Roman"/>
          <w:sz w:val="24"/>
          <w:szCs w:val="24"/>
        </w:rPr>
        <w:t>Tokiais atvejais ieškant transporto priemonės esamo savininko eikvojamos valstybės lėšos, nes visos valstybės institucijos visų pirma vadovaujasi registro duomenimis, o tik po to, kai šie neatitinka realios situacijos, – faktiniais duomenimis (pirkimo–pardavimo sutartimis ir pan.). Tokios pareigos įstatymuose nustatytas reguliavimas ypač aktualus valstybės mokesčių administratoriui, kuris pirmiausia remiasi registro duomenimis pateikdamas mokesčių nepriemokos nurodymus.</w:t>
      </w:r>
    </w:p>
    <w:p w14:paraId="70040069" w14:textId="77777777" w:rsidR="00925D64" w:rsidRDefault="00C94D63">
      <w:pPr>
        <w:suppressAutoHyphens w:val="0"/>
        <w:ind w:firstLine="851"/>
        <w:jc w:val="both"/>
        <w:textAlignment w:val="auto"/>
        <w:rPr>
          <w:rFonts w:ascii="Times New Roman" w:hAnsi="Times New Roman"/>
          <w:sz w:val="24"/>
          <w:szCs w:val="24"/>
        </w:rPr>
      </w:pPr>
      <w:bookmarkStart w:id="2" w:name="pnTP1_9000152"/>
      <w:bookmarkStart w:id="3" w:name="pnTP1_9000153"/>
      <w:bookmarkEnd w:id="2"/>
      <w:bookmarkEnd w:id="3"/>
      <w:r>
        <w:rPr>
          <w:rFonts w:ascii="Times New Roman" w:hAnsi="Times New Roman"/>
          <w:sz w:val="24"/>
          <w:szCs w:val="24"/>
        </w:rPr>
        <w:t>Šiuo metu galiojančiuose Lietuvos Respublikos teisės aktuose nėra nuostatų, įpareigojančių transporto priemonės savininką ar valdytoją, jei transporto priemonės savininkas yra užsienio šalies gyventojas, KTPR tvarkytojui nustatyta tvarka deklaruoti apie į Lietuvos Respubliką įvežtą ir parduodamą transporto priemonę. Transporto priemonių pirkimo ir pardavimo veikla Lietuvos Respublikoje nėra licencijuojama, o fizinių ir juridinių asmenų transporto priemonių pirkimo ir pardavimo sandorių ar bendrai prekybos kontrolė įmanoma tik vertinant oficialius sandorių dokumentus bei kitus įrodymus (liudytojų parodymus, šalies, iš kurios gyventojo buvo įsigyta transporto priemonė, pateiktą oficialią informaciją ir kt.). Tačiau tokia jau įvykusių sandorių tikrinimo veikla sukelia sandorio šalių (ypač pirkėjų) didelį nepasitenkinimą ir pareikalauja neproporcingai didelių kontrolės institucijų veiklos sąnaudų. Dėl to transporto priemonių prekybos kontrolė vykdoma gana fragmentiškai, patikrinimai trunka labai ilgai ir tai nedaro esminės įtakos šešėlinei transporto priemonių prekybos sričiai.</w:t>
      </w:r>
    </w:p>
    <w:p w14:paraId="6490A69E" w14:textId="77777777" w:rsidR="00925D64" w:rsidRDefault="00C94D63">
      <w:pPr>
        <w:suppressAutoHyphens w:val="0"/>
        <w:ind w:firstLine="851"/>
        <w:jc w:val="both"/>
        <w:textAlignment w:val="auto"/>
        <w:rPr>
          <w:rFonts w:ascii="Times New Roman" w:hAnsi="Times New Roman"/>
          <w:sz w:val="24"/>
          <w:szCs w:val="24"/>
        </w:rPr>
      </w:pPr>
      <w:r>
        <w:rPr>
          <w:rFonts w:ascii="Times New Roman" w:hAnsi="Times New Roman"/>
          <w:sz w:val="24"/>
          <w:szCs w:val="24"/>
        </w:rPr>
        <w:t xml:space="preserve">Šiuo metu galiojančio SEAKĮ 27 straipsnio 3 dalis nustato pareigą laikinai įregistruotas transporto priemones ženklinti laikinaisiais valstybinio numerio ženklais, ant kurių nurodomas jų galiojimo (transporto priemonės registracijos) terminas. Siekdamas įgyvendinti SEAKĮ 10 straipsnio 5 dalies 3 punkto nuostatas, Lietuvos Respublikos vidaus reikalų ministras 2001 m. gegužės 25 d. įsakymu Nr. 260 patvirtino Motorinių transporto priemonių  ir jų priekabų registravimo taisykles. Šiose taisyklėse, be procedūrinių transporto priemonių registravimo reikalavimų, patvirtinti ir reikalavimai valstybiniams numerio ženklams, kurie skirstomi pagal atskirus tipus (bendrojo naudojimo, skirti lengviesiems automobiliams taksi, diplomatiniai, iš Lietuvos Respublikos išvežamų transporto priemonių, skirti laikinai įregistruojamoms iš Lietuvos Respublikos išvežamoms Lietuvos Respublikoje arba užsienio šalyje galiojančios registracijos ar leidimo laikinai dalyvauti viešajame eisme neturinčioms transporto priemonėms, išskyrus galinguosius keturračius (toliau – iš Lietuvos Respublikos išvežamos transporto priemonės), galingųjų keturračių, istorinių transporto priemonių, elektromobilių). Visais atvejais duomenys apie transporto priemonės laikiną registraciją tvarkomi KTPR, juos gali patikrinti visos kompetentingos institucijos. </w:t>
      </w:r>
    </w:p>
    <w:p w14:paraId="7E2C0F54" w14:textId="6E143882" w:rsidR="00925D64" w:rsidRDefault="00C94D63" w:rsidP="00E15613">
      <w:pPr>
        <w:suppressAutoHyphens w:val="0"/>
        <w:ind w:firstLine="851"/>
        <w:jc w:val="both"/>
        <w:textAlignment w:val="auto"/>
        <w:rPr>
          <w:rFonts w:ascii="Times New Roman" w:hAnsi="Times New Roman"/>
          <w:sz w:val="24"/>
          <w:szCs w:val="24"/>
        </w:rPr>
      </w:pPr>
      <w:r>
        <w:rPr>
          <w:rFonts w:ascii="Times New Roman" w:hAnsi="Times New Roman"/>
          <w:sz w:val="24"/>
          <w:szCs w:val="24"/>
        </w:rPr>
        <w:t>Galiojančio SEAKĮ 27 straipsnio 11 dalis nustato, kad KTPR registruojamos tik tos transporto priemonės, kurioms yra atliktos privalomos muitinės procedūros ir sumokėti valstybei nustatyti mokesčiai. Pažymėtina, kad</w:t>
      </w:r>
      <w:r>
        <w:t xml:space="preserve"> </w:t>
      </w:r>
      <w:r>
        <w:rPr>
          <w:rFonts w:ascii="Times New Roman" w:hAnsi="Times New Roman"/>
          <w:sz w:val="24"/>
          <w:szCs w:val="24"/>
        </w:rPr>
        <w:t xml:space="preserve">Lietuvos Respublikoje atliktų muitinės procedūrų patikrinimas atliekamas naudojant Integruotos muitinės informacinės sistemos duomenis. Tačiau tais atvejais, kai muitinės procedūros būna atliktos ne Lietuvos Respublikoje, o kitoje ES muitų teritoriją sudarančioje šalyje (teritorijoje), VĮ „Regitra“, atlikdama transporto priemonės registracijos procedūras, nagrinėja transporto priemones registruojančių pareiškėjų pateiktus muitinės procedūrų atlikimą patvirtinančius dokumentus (muitinės deklaracijas). Siekdama įvertinti, ar šie dokumentai užpildyti tinkamai, VĮ „Regitra“ papildomai kreipiasi į Muitinės departamentą prie Finansų ministerijos (toliau – Muitinės departamentas) dėl išvados, ar tinkamai atliktos muitinės procedūros. Muitinės departamentas, gavęs VĮ „Regitra“ paklausimą, savo ruožtu siunčia paklausimą savo užsienio kolegoms tos šalies, kurioje būna išduotas muitinės procedūrų atlikimą patvirtinantis dokumentas. Toks susirašinėjimas trunka savaites, kartais mėnesius, o atsakymas dėl muitinės procedūrų atlikimo apskritai negaunamas. Tokiu būdu trikdomos transporto priemonių registravimo procedūros, keliamas transporto priemones </w:t>
      </w:r>
      <w:r>
        <w:rPr>
          <w:rFonts w:ascii="Times New Roman" w:hAnsi="Times New Roman"/>
          <w:sz w:val="24"/>
          <w:szCs w:val="24"/>
        </w:rPr>
        <w:lastRenderedPageBreak/>
        <w:t>registruojančių pareiškėjų nepasitenkinimas, didinama našta tiek VĮ „Regitra“, tiek ir Muitinės departamentui, o pareiškėjai negali naudoti teisėtai įsigytų transporto priemonių.</w:t>
      </w:r>
    </w:p>
    <w:p w14:paraId="7B55006C" w14:textId="77777777" w:rsidR="00925D64" w:rsidRDefault="00C94D63">
      <w:pPr>
        <w:suppressAutoHyphens w:val="0"/>
        <w:ind w:firstLine="851"/>
        <w:jc w:val="both"/>
        <w:textAlignment w:val="auto"/>
      </w:pPr>
      <w:r>
        <w:rPr>
          <w:rFonts w:ascii="Times New Roman" w:hAnsi="Times New Roman"/>
          <w:sz w:val="24"/>
          <w:szCs w:val="24"/>
        </w:rPr>
        <w:t>Remiantis ANK 431 straipsnio 1 dalimi, transporto priemonės savininkui (valdytojui) SEAKĮ nustatytų reikalavimų nevykdymas užtraukia baudą nuo 150 iki 300 eurų (pagal ANK 431 straipsnio 2 dalį nusižengimą padarius pakartotinai – nuo 440 iki 600 eurų). Tačiau šių ANK nuostatų nėra galimybės taikyti, kol SEAKĮ nepapildytas naujomis pareigomis transporto priemonės savininkui (valdytojui) deklaruoti apie turimą, įgytą, parduotą ar kitu pagrindu perleistą nuosavybės teisę į transporto priemonę, taip pat apie į Lietuvos Respubliką įvežtą ir parduodamą, Lietuvos Respublikoje neįregistruotą transporto priemonę KTPR tvarkytojui.</w:t>
      </w:r>
    </w:p>
    <w:p w14:paraId="06FE39A1" w14:textId="77777777" w:rsidR="00925D64" w:rsidRPr="00CD3AE6" w:rsidRDefault="00C94D63" w:rsidP="00CD3AE6">
      <w:pPr>
        <w:suppressAutoHyphens w:val="0"/>
        <w:ind w:firstLine="851"/>
        <w:jc w:val="both"/>
        <w:textAlignment w:val="auto"/>
        <w:rPr>
          <w:rFonts w:ascii="Times New Roman" w:hAnsi="Times New Roman"/>
          <w:sz w:val="24"/>
          <w:szCs w:val="24"/>
        </w:rPr>
      </w:pPr>
      <w:r>
        <w:rPr>
          <w:rFonts w:ascii="Times New Roman" w:hAnsi="Times New Roman"/>
          <w:sz w:val="24"/>
          <w:szCs w:val="24"/>
        </w:rPr>
        <w:t xml:space="preserve">Vadovaujantis ANK 608 straipsnio 1 dalimi, dėl ANK 431 straipsnio 1 ir 2 dalyse numatytų administracinių nusižengimų administracinio nusižengimo protokolas gali būti surašytas administracinėn atsakomybėn traukiamam asmeniui nedalyvaujant. Tačiau tokie nusižengimai nėra įtraukti į ANK 611 straipsnio 1 dalyje nurodytų administracinių nusižengimų sąrašą, už kuriuos administracinio nusižengimo protokolas su administraciniu nurodymu gali būti automatiškai suformuojamas Administracinių nusižengimų registre. </w:t>
      </w:r>
    </w:p>
    <w:p w14:paraId="61F59BD8" w14:textId="77777777" w:rsidR="00925D64" w:rsidRDefault="00925D64">
      <w:pPr>
        <w:suppressAutoHyphens w:val="0"/>
        <w:ind w:firstLine="851"/>
        <w:jc w:val="both"/>
        <w:textAlignment w:val="auto"/>
        <w:rPr>
          <w:rFonts w:ascii="Times New Roman" w:hAnsi="Times New Roman"/>
          <w:sz w:val="24"/>
          <w:szCs w:val="24"/>
        </w:rPr>
      </w:pPr>
    </w:p>
    <w:p w14:paraId="26689CD0" w14:textId="77777777" w:rsidR="00925D64" w:rsidRDefault="00C94D63">
      <w:pPr>
        <w:pStyle w:val="Standard"/>
        <w:tabs>
          <w:tab w:val="left" w:pos="1134"/>
        </w:tabs>
        <w:spacing w:after="0" w:line="240" w:lineRule="auto"/>
        <w:ind w:firstLine="851"/>
        <w:jc w:val="both"/>
        <w:rPr>
          <w:rFonts w:ascii="Times New Roman" w:hAnsi="Times New Roman"/>
          <w:b/>
          <w:sz w:val="24"/>
          <w:szCs w:val="24"/>
        </w:rPr>
      </w:pPr>
      <w:r>
        <w:rPr>
          <w:rFonts w:ascii="Times New Roman" w:hAnsi="Times New Roman"/>
          <w:b/>
          <w:sz w:val="24"/>
          <w:szCs w:val="24"/>
        </w:rPr>
        <w:t>4. Kokios siūlomos naujos teisinio reguliavimo nuostatos ir kokių teigiamų rezultatų laukiama</w:t>
      </w:r>
    </w:p>
    <w:p w14:paraId="039A1614" w14:textId="79034D0F" w:rsidR="00F27921" w:rsidRPr="00800A8C" w:rsidRDefault="00C94D63" w:rsidP="00800A8C">
      <w:pPr>
        <w:tabs>
          <w:tab w:val="left" w:pos="1134"/>
        </w:tabs>
        <w:ind w:firstLine="851"/>
        <w:contextualSpacing/>
        <w:jc w:val="both"/>
        <w:rPr>
          <w:rFonts w:ascii="Times New Roman" w:eastAsiaTheme="minorHAnsi" w:hAnsi="Times New Roman"/>
          <w:bCs/>
          <w:sz w:val="24"/>
          <w:szCs w:val="24"/>
        </w:rPr>
      </w:pPr>
      <w:r w:rsidRPr="00800A8C">
        <w:rPr>
          <w:rFonts w:ascii="Times New Roman" w:hAnsi="Times New Roman"/>
          <w:bCs/>
          <w:sz w:val="24"/>
          <w:szCs w:val="24"/>
          <w:lang w:eastAsia="en-GB"/>
        </w:rPr>
        <w:t>SEAKĮ projektu siūloma papildyti SEAKĮ 20 straipsnį nauj</w:t>
      </w:r>
      <w:r w:rsidR="00CB0AA8" w:rsidRPr="00800A8C">
        <w:rPr>
          <w:rFonts w:ascii="Times New Roman" w:hAnsi="Times New Roman"/>
          <w:bCs/>
          <w:sz w:val="24"/>
          <w:szCs w:val="24"/>
          <w:lang w:eastAsia="en-GB"/>
        </w:rPr>
        <w:t>omis</w:t>
      </w:r>
      <w:r w:rsidRPr="00800A8C">
        <w:rPr>
          <w:rFonts w:ascii="Times New Roman" w:hAnsi="Times New Roman"/>
          <w:bCs/>
          <w:sz w:val="24"/>
          <w:szCs w:val="24"/>
          <w:lang w:eastAsia="en-GB"/>
        </w:rPr>
        <w:t xml:space="preserve"> </w:t>
      </w:r>
      <w:r w:rsidR="00DB6F4E" w:rsidRPr="00800A8C">
        <w:rPr>
          <w:rFonts w:ascii="Times New Roman" w:hAnsi="Times New Roman"/>
          <w:bCs/>
          <w:sz w:val="24"/>
          <w:szCs w:val="24"/>
          <w:lang w:eastAsia="en-GB"/>
        </w:rPr>
        <w:t xml:space="preserve">1 </w:t>
      </w:r>
      <w:r w:rsidR="00CB0AA8" w:rsidRPr="00800A8C">
        <w:rPr>
          <w:rFonts w:ascii="Times New Roman" w:hAnsi="Times New Roman"/>
          <w:bCs/>
          <w:sz w:val="24"/>
          <w:szCs w:val="24"/>
          <w:lang w:eastAsia="en-GB"/>
        </w:rPr>
        <w:t xml:space="preserve">ir 2 </w:t>
      </w:r>
      <w:r w:rsidR="00DB6F4E" w:rsidRPr="00800A8C">
        <w:rPr>
          <w:rFonts w:ascii="Times New Roman" w:hAnsi="Times New Roman"/>
          <w:bCs/>
          <w:sz w:val="24"/>
          <w:szCs w:val="24"/>
          <w:lang w:eastAsia="en-GB"/>
        </w:rPr>
        <w:t>dalimi</w:t>
      </w:r>
      <w:r w:rsidR="00CB0AA8" w:rsidRPr="00800A8C">
        <w:rPr>
          <w:rFonts w:ascii="Times New Roman" w:hAnsi="Times New Roman"/>
          <w:bCs/>
          <w:sz w:val="24"/>
          <w:szCs w:val="24"/>
          <w:lang w:eastAsia="en-GB"/>
        </w:rPr>
        <w:t>s, kuriose</w:t>
      </w:r>
      <w:r w:rsidR="00DB6F4E" w:rsidRPr="00800A8C">
        <w:rPr>
          <w:rFonts w:ascii="Times New Roman" w:hAnsi="Times New Roman"/>
          <w:bCs/>
          <w:sz w:val="24"/>
          <w:szCs w:val="24"/>
          <w:lang w:eastAsia="en-GB"/>
        </w:rPr>
        <w:t xml:space="preserve"> būtų aiškiai apibrėžtas subjektų, turinčių pareigą deklaruoti</w:t>
      </w:r>
      <w:r w:rsidR="00C26CC8" w:rsidRPr="00800A8C">
        <w:rPr>
          <w:rFonts w:ascii="Times New Roman" w:hAnsi="Times New Roman"/>
          <w:bCs/>
          <w:sz w:val="24"/>
          <w:szCs w:val="24"/>
          <w:lang w:eastAsia="en-GB"/>
        </w:rPr>
        <w:t xml:space="preserve"> nuosavybės teisės į motorinę transporto priemonę ir (ar) priekabą pasikeitimą</w:t>
      </w:r>
      <w:r w:rsidR="00314EEA" w:rsidRPr="00800A8C">
        <w:rPr>
          <w:rFonts w:ascii="Times New Roman" w:hAnsi="Times New Roman"/>
          <w:bCs/>
          <w:sz w:val="24"/>
          <w:szCs w:val="24"/>
          <w:lang w:eastAsia="en-GB"/>
        </w:rPr>
        <w:t>,</w:t>
      </w:r>
      <w:r w:rsidR="00DB6F4E" w:rsidRPr="00800A8C">
        <w:rPr>
          <w:rFonts w:ascii="Times New Roman" w:hAnsi="Times New Roman"/>
          <w:bCs/>
          <w:sz w:val="24"/>
          <w:szCs w:val="24"/>
          <w:lang w:eastAsia="en-GB"/>
        </w:rPr>
        <w:t xml:space="preserve"> ratas, numatytos esminės tokio reikalavimo taikymo sąlygos ir terminai.</w:t>
      </w:r>
      <w:r w:rsidR="00F441AC" w:rsidRPr="00800A8C">
        <w:rPr>
          <w:rFonts w:ascii="Times New Roman" w:hAnsi="Times New Roman"/>
          <w:bCs/>
          <w:sz w:val="24"/>
          <w:szCs w:val="24"/>
          <w:lang w:eastAsia="en-GB"/>
        </w:rPr>
        <w:t xml:space="preserve"> </w:t>
      </w:r>
      <w:r w:rsidR="00F27921" w:rsidRPr="00800A8C">
        <w:rPr>
          <w:rFonts w:ascii="Times New Roman" w:eastAsiaTheme="minorHAnsi" w:hAnsi="Times New Roman"/>
          <w:color w:val="000000"/>
          <w:sz w:val="24"/>
          <w:szCs w:val="24"/>
        </w:rPr>
        <w:t xml:space="preserve">Siūloma nustatyti, kad </w:t>
      </w:r>
      <w:r w:rsidR="00F27921" w:rsidRPr="00800A8C">
        <w:rPr>
          <w:rFonts w:ascii="Times New Roman" w:eastAsiaTheme="minorHAnsi" w:hAnsi="Times New Roman"/>
          <w:bCs/>
          <w:sz w:val="24"/>
          <w:szCs w:val="24"/>
        </w:rPr>
        <w:t xml:space="preserve">Vyriausybės ar jos įgaliotos institucijos nustatyta tvarka KTPR tvarkytojui deklaruoti privalo: </w:t>
      </w:r>
      <w:r w:rsidR="00800A8C" w:rsidRPr="00800A8C">
        <w:rPr>
          <w:rFonts w:ascii="Times New Roman" w:hAnsi="Times New Roman"/>
          <w:bCs/>
          <w:sz w:val="24"/>
          <w:szCs w:val="24"/>
        </w:rPr>
        <w:t xml:space="preserve">Lietuvos Respublikos pilietis, Lietuvos Respublikos gyvenamosios vietos deklaravimo įstatymo nustatyta tvarka deklaravęs gyvenamąją vietą Lietuvos Respublikoje, arba fizinis asmuo, kuris per vienus kalendorinius metus Lietuvoje išbūva ištisai arba su pertraukomis 183 arba daugiau dienų, arba Lietuvos Respublikoje įregistruotas juridinis asmuo, arba Mokesčių mokėtojų registre įregistruotas fizinis asmuo, arba Mokesčių mokėtojų registre įregistruotas juridinis asmuo, arba Lietuvos Respublikoje įsteigtas kolektyvinio investavimo subjektas, kurio veiklos forma yra investicinis fondas, įgijęs nuosavybės teisę į motorinę transporto priemonę ir (ar) priekabą, ne vėliau kaip iki įvežimo į Lietuvos Respublikos teritoriją (o tais atvejais, kai nuosavybės teisė į </w:t>
      </w:r>
      <w:r w:rsidR="00800A8C">
        <w:rPr>
          <w:rFonts w:ascii="Times New Roman" w:hAnsi="Times New Roman"/>
          <w:bCs/>
          <w:sz w:val="24"/>
          <w:szCs w:val="24"/>
        </w:rPr>
        <w:t>KTPR</w:t>
      </w:r>
      <w:r w:rsidR="00800A8C" w:rsidRPr="00800A8C">
        <w:rPr>
          <w:rFonts w:ascii="Times New Roman" w:hAnsi="Times New Roman"/>
          <w:bCs/>
          <w:sz w:val="24"/>
          <w:szCs w:val="24"/>
        </w:rPr>
        <w:t xml:space="preserve"> tvarkytojui deklaruotą motorinę transporto priemonę ir (ar) priekabą įgyjama arba perleidžiama, per 5 darbo dienas nuo nuosavybės teisės įgijimo arba perleidimo), taip pat užsienietis ar Lietuvos Respublikoje neregistruotas užsienio juridinis asmuo, Lietuvos Respublikos teritorijoje įgijęs nuosavybės teisę į </w:t>
      </w:r>
      <w:r w:rsidR="00800A8C">
        <w:rPr>
          <w:rFonts w:ascii="Times New Roman" w:hAnsi="Times New Roman"/>
          <w:bCs/>
          <w:sz w:val="24"/>
          <w:szCs w:val="24"/>
        </w:rPr>
        <w:t>KTPR</w:t>
      </w:r>
      <w:r w:rsidR="00800A8C" w:rsidRPr="00800A8C">
        <w:rPr>
          <w:rFonts w:ascii="Times New Roman" w:hAnsi="Times New Roman"/>
          <w:bCs/>
          <w:sz w:val="24"/>
          <w:szCs w:val="24"/>
        </w:rPr>
        <w:t xml:space="preserve"> tvarkytojui deklaruotą motorinę transporto priemonę ir (ar) priekabą, šių aplinkybių atsiradimo dieną. SEAKĮ 20 straipsnio 1 dalyje nenumatytais atvejais motorinės transporto priemonės ir (ar) priekabos valdytojas Vyriausybės ar jos įgaliotos institucijos nustatyta tvarka privalo deklaruoti apie į Lietuvos Respubliką įvežtą ir (ar) parduodamą motorinę transporto priemonę ir (ar) priekabą KTPR tvarkytojui ne vėliau kaip iki įvežimo į Lietuvos Respublikos teritoriją ir (ar) viešo pasiūlymo įsigyti motorinę transporto priemonę ir (ar) priekabą pradžios.</w:t>
      </w:r>
      <w:r w:rsidR="00800A8C" w:rsidRPr="00800A8C" w:rsidDel="00E341DF">
        <w:rPr>
          <w:rFonts w:ascii="Times New Roman" w:hAnsi="Times New Roman"/>
          <w:bCs/>
          <w:sz w:val="24"/>
          <w:szCs w:val="24"/>
        </w:rPr>
        <w:t xml:space="preserve"> </w:t>
      </w:r>
    </w:p>
    <w:p w14:paraId="49ADD385" w14:textId="19F16287" w:rsidR="00E1620D" w:rsidRPr="00E1620D" w:rsidRDefault="00E1620D" w:rsidP="00800A8C">
      <w:pPr>
        <w:ind w:firstLine="851"/>
        <w:jc w:val="both"/>
        <w:rPr>
          <w:rFonts w:ascii="Times New Roman" w:hAnsi="Times New Roman"/>
          <w:color w:val="000000"/>
          <w:sz w:val="24"/>
          <w:szCs w:val="24"/>
        </w:rPr>
      </w:pPr>
      <w:r w:rsidRPr="00800A8C">
        <w:rPr>
          <w:rFonts w:ascii="Times New Roman" w:hAnsi="Times New Roman"/>
          <w:bCs/>
          <w:sz w:val="24"/>
          <w:szCs w:val="24"/>
          <w:lang w:eastAsia="en-GB"/>
        </w:rPr>
        <w:t>SEAKĮ 20 straipsnio 3 dalyje siūloma įtvirtinti nuostatą, jog m</w:t>
      </w:r>
      <w:r w:rsidRPr="00800A8C">
        <w:rPr>
          <w:rFonts w:ascii="Times New Roman" w:hAnsi="Times New Roman"/>
          <w:color w:val="000000"/>
          <w:sz w:val="24"/>
          <w:szCs w:val="24"/>
        </w:rPr>
        <w:t xml:space="preserve">otorinių transporto priemonių ir (ar) priekabų savininkų ir valdytojų </w:t>
      </w:r>
      <w:r w:rsidRPr="00800A8C">
        <w:rPr>
          <w:rFonts w:ascii="Times New Roman" w:hAnsi="Times New Roman"/>
          <w:bCs/>
          <w:color w:val="000000"/>
          <w:sz w:val="24"/>
          <w:szCs w:val="24"/>
        </w:rPr>
        <w:t>nustatymo</w:t>
      </w:r>
      <w:r w:rsidRPr="00800A8C">
        <w:rPr>
          <w:rFonts w:ascii="Times New Roman" w:hAnsi="Times New Roman"/>
          <w:color w:val="000000"/>
          <w:sz w:val="24"/>
          <w:szCs w:val="24"/>
        </w:rPr>
        <w:t xml:space="preserve"> tikslu Vyriausybės ar jos įgaliotos</w:t>
      </w:r>
      <w:r w:rsidRPr="00E1620D">
        <w:rPr>
          <w:rFonts w:ascii="Times New Roman" w:hAnsi="Times New Roman"/>
          <w:color w:val="000000"/>
          <w:sz w:val="24"/>
          <w:szCs w:val="24"/>
        </w:rPr>
        <w:t xml:space="preserve"> institucijos nustatyta tvarka </w:t>
      </w:r>
      <w:r w:rsidR="00141C9A">
        <w:rPr>
          <w:rFonts w:ascii="Times New Roman" w:hAnsi="Times New Roman"/>
          <w:color w:val="000000"/>
          <w:sz w:val="24"/>
          <w:szCs w:val="24"/>
        </w:rPr>
        <w:t>KTPR</w:t>
      </w:r>
      <w:r w:rsidRPr="00E1620D">
        <w:rPr>
          <w:rFonts w:ascii="Times New Roman" w:hAnsi="Times New Roman"/>
          <w:color w:val="000000"/>
          <w:sz w:val="24"/>
          <w:szCs w:val="24"/>
        </w:rPr>
        <w:t xml:space="preserve"> tvarkytojas </w:t>
      </w:r>
      <w:r w:rsidR="00B36205">
        <w:rPr>
          <w:rFonts w:ascii="Times New Roman" w:hAnsi="Times New Roman"/>
          <w:color w:val="000000"/>
          <w:sz w:val="24"/>
          <w:szCs w:val="24"/>
        </w:rPr>
        <w:t>viešai</w:t>
      </w:r>
      <w:r w:rsidR="00E15613">
        <w:rPr>
          <w:rFonts w:ascii="Times New Roman" w:hAnsi="Times New Roman"/>
          <w:color w:val="000000"/>
          <w:sz w:val="24"/>
          <w:szCs w:val="24"/>
        </w:rPr>
        <w:t xml:space="preserve"> skelbia tokius duomenis</w:t>
      </w:r>
      <w:r>
        <w:rPr>
          <w:rFonts w:ascii="Times New Roman" w:hAnsi="Times New Roman"/>
          <w:color w:val="000000"/>
          <w:sz w:val="24"/>
          <w:szCs w:val="24"/>
        </w:rPr>
        <w:t xml:space="preserve">: </w:t>
      </w:r>
      <w:r w:rsidRPr="00E1620D">
        <w:rPr>
          <w:rFonts w:ascii="Times New Roman" w:hAnsi="Times New Roman"/>
          <w:color w:val="000000"/>
          <w:sz w:val="24"/>
          <w:szCs w:val="24"/>
        </w:rPr>
        <w:t>motorinės transporto priemonės ir (ar) priekabos mark</w:t>
      </w:r>
      <w:r w:rsidR="00E15613">
        <w:rPr>
          <w:rFonts w:ascii="Times New Roman" w:hAnsi="Times New Roman"/>
          <w:color w:val="000000"/>
          <w:sz w:val="24"/>
          <w:szCs w:val="24"/>
        </w:rPr>
        <w:t>ę</w:t>
      </w:r>
      <w:r>
        <w:rPr>
          <w:rFonts w:ascii="Times New Roman" w:hAnsi="Times New Roman"/>
          <w:color w:val="000000"/>
          <w:sz w:val="24"/>
          <w:szCs w:val="24"/>
        </w:rPr>
        <w:t xml:space="preserve">, </w:t>
      </w:r>
      <w:r w:rsidRPr="00E1620D">
        <w:rPr>
          <w:rFonts w:ascii="Times New Roman" w:hAnsi="Times New Roman"/>
          <w:color w:val="000000"/>
          <w:sz w:val="24"/>
          <w:szCs w:val="24"/>
        </w:rPr>
        <w:t>model</w:t>
      </w:r>
      <w:r w:rsidR="00E15613">
        <w:rPr>
          <w:rFonts w:ascii="Times New Roman" w:hAnsi="Times New Roman"/>
          <w:color w:val="000000"/>
          <w:sz w:val="24"/>
          <w:szCs w:val="24"/>
        </w:rPr>
        <w:t>į</w:t>
      </w:r>
      <w:r>
        <w:rPr>
          <w:rFonts w:ascii="Times New Roman" w:hAnsi="Times New Roman"/>
          <w:color w:val="000000"/>
          <w:sz w:val="24"/>
          <w:szCs w:val="24"/>
        </w:rPr>
        <w:t xml:space="preserve">, </w:t>
      </w:r>
      <w:r w:rsidRPr="00E1620D">
        <w:rPr>
          <w:rFonts w:ascii="Times New Roman" w:hAnsi="Times New Roman"/>
          <w:color w:val="000000"/>
          <w:sz w:val="24"/>
          <w:szCs w:val="24"/>
        </w:rPr>
        <w:t>deklaruotoms motorinėms transporto priemonėms ir (ar) priekaboms suteikt</w:t>
      </w:r>
      <w:r w:rsidR="00E15613">
        <w:rPr>
          <w:rFonts w:ascii="Times New Roman" w:hAnsi="Times New Roman"/>
          <w:color w:val="000000"/>
          <w:sz w:val="24"/>
          <w:szCs w:val="24"/>
        </w:rPr>
        <w:t>ą</w:t>
      </w:r>
      <w:r w:rsidRPr="00E1620D">
        <w:rPr>
          <w:rFonts w:ascii="Times New Roman" w:hAnsi="Times New Roman"/>
          <w:color w:val="000000"/>
          <w:sz w:val="24"/>
          <w:szCs w:val="24"/>
        </w:rPr>
        <w:t xml:space="preserve"> galiojant</w:t>
      </w:r>
      <w:r w:rsidR="00E15613">
        <w:rPr>
          <w:rFonts w:ascii="Times New Roman" w:hAnsi="Times New Roman"/>
          <w:color w:val="000000"/>
          <w:sz w:val="24"/>
          <w:szCs w:val="24"/>
        </w:rPr>
        <w:t>į unikalų</w:t>
      </w:r>
      <w:r w:rsidRPr="00E1620D">
        <w:rPr>
          <w:rFonts w:ascii="Times New Roman" w:hAnsi="Times New Roman"/>
          <w:color w:val="000000"/>
          <w:sz w:val="24"/>
          <w:szCs w:val="24"/>
        </w:rPr>
        <w:t xml:space="preserve"> motorinės transporto priemonės ir (ar) priek</w:t>
      </w:r>
      <w:r w:rsidR="00E15613">
        <w:rPr>
          <w:rFonts w:ascii="Times New Roman" w:hAnsi="Times New Roman"/>
          <w:color w:val="000000"/>
          <w:sz w:val="24"/>
          <w:szCs w:val="24"/>
        </w:rPr>
        <w:t>abos savininko deklaravimo kodą</w:t>
      </w:r>
      <w:r w:rsidR="00076FF4">
        <w:rPr>
          <w:rFonts w:ascii="Times New Roman" w:hAnsi="Times New Roman"/>
          <w:color w:val="000000"/>
          <w:sz w:val="24"/>
          <w:szCs w:val="24"/>
        </w:rPr>
        <w:t xml:space="preserve"> (toliau – SDK)</w:t>
      </w:r>
      <w:r w:rsidRPr="00E1620D">
        <w:rPr>
          <w:rFonts w:ascii="Times New Roman" w:hAnsi="Times New Roman"/>
          <w:color w:val="000000"/>
          <w:sz w:val="24"/>
          <w:szCs w:val="24"/>
        </w:rPr>
        <w:t xml:space="preserve"> ir </w:t>
      </w:r>
      <w:r w:rsidR="00076FF4">
        <w:rPr>
          <w:rFonts w:ascii="Times New Roman" w:hAnsi="Times New Roman"/>
          <w:color w:val="000000"/>
          <w:sz w:val="24"/>
          <w:szCs w:val="24"/>
        </w:rPr>
        <w:t>jo</w:t>
      </w:r>
      <w:r w:rsidRPr="00E1620D">
        <w:rPr>
          <w:rFonts w:ascii="Times New Roman" w:hAnsi="Times New Roman"/>
          <w:color w:val="000000"/>
          <w:sz w:val="24"/>
          <w:szCs w:val="24"/>
        </w:rPr>
        <w:t xml:space="preserve"> būsen</w:t>
      </w:r>
      <w:r w:rsidR="00E15613">
        <w:rPr>
          <w:rFonts w:ascii="Times New Roman" w:hAnsi="Times New Roman"/>
          <w:color w:val="000000"/>
          <w:sz w:val="24"/>
          <w:szCs w:val="24"/>
        </w:rPr>
        <w:t>ą</w:t>
      </w:r>
      <w:r>
        <w:rPr>
          <w:rFonts w:ascii="Times New Roman" w:hAnsi="Times New Roman"/>
          <w:color w:val="000000"/>
          <w:sz w:val="24"/>
          <w:szCs w:val="24"/>
        </w:rPr>
        <w:t xml:space="preserve"> (galiojantis ar negaliojantis), </w:t>
      </w:r>
      <w:r w:rsidRPr="00E1620D">
        <w:rPr>
          <w:rFonts w:ascii="Times New Roman" w:hAnsi="Times New Roman"/>
          <w:color w:val="000000"/>
          <w:sz w:val="24"/>
          <w:szCs w:val="24"/>
        </w:rPr>
        <w:t>motorinės transporto priemonės ir</w:t>
      </w:r>
      <w:r>
        <w:rPr>
          <w:rFonts w:ascii="Times New Roman" w:hAnsi="Times New Roman"/>
          <w:color w:val="000000"/>
          <w:sz w:val="24"/>
          <w:szCs w:val="24"/>
        </w:rPr>
        <w:t xml:space="preserve"> (ar) priekabos deklaravimo</w:t>
      </w:r>
      <w:r w:rsidR="00E15613">
        <w:rPr>
          <w:rFonts w:ascii="Times New Roman" w:hAnsi="Times New Roman"/>
          <w:color w:val="000000"/>
          <w:sz w:val="24"/>
          <w:szCs w:val="24"/>
        </w:rPr>
        <w:t xml:space="preserve"> datą, identifikavimo numerį</w:t>
      </w:r>
      <w:r w:rsidRPr="00E1620D">
        <w:rPr>
          <w:rFonts w:ascii="Times New Roman" w:hAnsi="Times New Roman"/>
          <w:color w:val="000000"/>
          <w:sz w:val="24"/>
          <w:szCs w:val="24"/>
        </w:rPr>
        <w:t xml:space="preserve"> (VIN).</w:t>
      </w:r>
    </w:p>
    <w:p w14:paraId="00669B56" w14:textId="0EB043D2" w:rsidR="00D64CDE" w:rsidRDefault="00E1620D" w:rsidP="00E1620D">
      <w:pPr>
        <w:ind w:firstLine="851"/>
        <w:jc w:val="both"/>
        <w:rPr>
          <w:rFonts w:ascii="Times New Roman" w:hAnsi="Times New Roman"/>
          <w:bCs/>
          <w:color w:val="000000"/>
          <w:sz w:val="24"/>
          <w:szCs w:val="24"/>
        </w:rPr>
      </w:pPr>
      <w:r>
        <w:rPr>
          <w:rFonts w:ascii="Times New Roman" w:hAnsi="Times New Roman"/>
          <w:color w:val="000000"/>
          <w:sz w:val="24"/>
          <w:szCs w:val="24"/>
        </w:rPr>
        <w:t>SEAKĮ 20 straipsnio 4 dalį siūloma papildyti nuostata, kad m</w:t>
      </w:r>
      <w:r w:rsidRPr="00E1620D">
        <w:rPr>
          <w:rFonts w:ascii="Times New Roman" w:hAnsi="Times New Roman"/>
          <w:bCs/>
          <w:color w:val="000000"/>
          <w:sz w:val="24"/>
          <w:szCs w:val="24"/>
        </w:rPr>
        <w:t xml:space="preserve">otorinės transporto priemonės ir (ar) priekabos savininkas ar valdytojas deklaruotoms motorinėms transporto priemonėms ir (ar) priekaboms suteiktą </w:t>
      </w:r>
      <w:r w:rsidR="00076FF4">
        <w:rPr>
          <w:rFonts w:ascii="Times New Roman" w:hAnsi="Times New Roman"/>
          <w:bCs/>
          <w:color w:val="000000"/>
          <w:sz w:val="24"/>
          <w:szCs w:val="24"/>
        </w:rPr>
        <w:t>SDK</w:t>
      </w:r>
      <w:r>
        <w:rPr>
          <w:rFonts w:ascii="Times New Roman" w:hAnsi="Times New Roman"/>
          <w:bCs/>
          <w:color w:val="000000"/>
          <w:sz w:val="24"/>
          <w:szCs w:val="24"/>
        </w:rPr>
        <w:t xml:space="preserve"> privalo skelbti </w:t>
      </w:r>
      <w:r w:rsidRPr="00E1620D">
        <w:rPr>
          <w:rFonts w:ascii="Times New Roman" w:hAnsi="Times New Roman"/>
          <w:bCs/>
          <w:color w:val="000000"/>
          <w:sz w:val="24"/>
          <w:szCs w:val="24"/>
        </w:rPr>
        <w:t xml:space="preserve">viešo </w:t>
      </w:r>
      <w:r w:rsidR="00800A8C">
        <w:rPr>
          <w:rFonts w:ascii="Times New Roman" w:hAnsi="Times New Roman"/>
          <w:bCs/>
          <w:color w:val="000000"/>
          <w:sz w:val="24"/>
          <w:szCs w:val="24"/>
        </w:rPr>
        <w:t>pa</w:t>
      </w:r>
      <w:r w:rsidRPr="00E1620D">
        <w:rPr>
          <w:rFonts w:ascii="Times New Roman" w:hAnsi="Times New Roman"/>
          <w:bCs/>
          <w:color w:val="000000"/>
          <w:sz w:val="24"/>
          <w:szCs w:val="24"/>
        </w:rPr>
        <w:t>siūlymo įsigyti motorinę transporto priemonę ir (ar) priekabą metu</w:t>
      </w:r>
      <w:r>
        <w:rPr>
          <w:rFonts w:ascii="Times New Roman" w:hAnsi="Times New Roman"/>
          <w:bCs/>
          <w:color w:val="000000"/>
          <w:sz w:val="24"/>
          <w:szCs w:val="24"/>
        </w:rPr>
        <w:t>.</w:t>
      </w:r>
    </w:p>
    <w:p w14:paraId="60D63F4A" w14:textId="4BC605EA" w:rsidR="00E1620D" w:rsidRDefault="00C94D63" w:rsidP="00E1620D">
      <w:pPr>
        <w:ind w:firstLine="851"/>
        <w:jc w:val="both"/>
        <w:rPr>
          <w:rFonts w:ascii="Times New Roman" w:hAnsi="Times New Roman"/>
          <w:bCs/>
          <w:color w:val="000000"/>
          <w:sz w:val="24"/>
          <w:szCs w:val="24"/>
        </w:rPr>
      </w:pPr>
      <w:r w:rsidRPr="00E1620D">
        <w:rPr>
          <w:rFonts w:ascii="Times New Roman" w:hAnsi="Times New Roman"/>
          <w:sz w:val="24"/>
          <w:szCs w:val="24"/>
        </w:rPr>
        <w:t>Atitinkamai siūloma patikslinti SEAKĮ 27 straipsnio 11 dalį</w:t>
      </w:r>
      <w:r w:rsidR="00E1620D">
        <w:rPr>
          <w:rFonts w:ascii="Times New Roman" w:hAnsi="Times New Roman"/>
          <w:sz w:val="24"/>
          <w:szCs w:val="24"/>
        </w:rPr>
        <w:t xml:space="preserve"> numatant, kad</w:t>
      </w:r>
      <w:r w:rsidR="00E1620D" w:rsidRPr="00E1620D">
        <w:rPr>
          <w:rFonts w:ascii="Times New Roman" w:hAnsi="Times New Roman"/>
          <w:color w:val="000000"/>
          <w:sz w:val="24"/>
          <w:szCs w:val="24"/>
        </w:rPr>
        <w:t xml:space="preserve"> Lietuvos Respublikos kelių transporto priemonių registre </w:t>
      </w:r>
      <w:r w:rsidR="00E1620D" w:rsidRPr="00E1620D">
        <w:rPr>
          <w:rFonts w:ascii="Times New Roman" w:hAnsi="Times New Roman"/>
          <w:color w:val="000000" w:themeColor="text1"/>
          <w:sz w:val="24"/>
          <w:szCs w:val="24"/>
        </w:rPr>
        <w:t xml:space="preserve">registruojamos </w:t>
      </w:r>
      <w:r w:rsidR="00E1620D" w:rsidRPr="00E1620D">
        <w:rPr>
          <w:rFonts w:ascii="Times New Roman" w:hAnsi="Times New Roman"/>
          <w:color w:val="000000"/>
          <w:sz w:val="24"/>
          <w:szCs w:val="24"/>
        </w:rPr>
        <w:t xml:space="preserve">tik tos </w:t>
      </w:r>
      <w:r w:rsidR="00E1620D" w:rsidRPr="00E1620D">
        <w:rPr>
          <w:rFonts w:ascii="Times New Roman" w:hAnsi="Times New Roman"/>
          <w:bCs/>
          <w:color w:val="000000"/>
          <w:sz w:val="24"/>
          <w:szCs w:val="24"/>
        </w:rPr>
        <w:t xml:space="preserve">motorinės </w:t>
      </w:r>
      <w:r w:rsidR="00E1620D" w:rsidRPr="00E1620D">
        <w:rPr>
          <w:rFonts w:ascii="Times New Roman" w:hAnsi="Times New Roman"/>
          <w:color w:val="000000"/>
          <w:sz w:val="24"/>
          <w:szCs w:val="24"/>
        </w:rPr>
        <w:t xml:space="preserve">transporto priemonės </w:t>
      </w:r>
      <w:r w:rsidR="00E1620D" w:rsidRPr="00E1620D">
        <w:rPr>
          <w:rFonts w:ascii="Times New Roman" w:hAnsi="Times New Roman"/>
          <w:bCs/>
          <w:color w:val="000000"/>
          <w:sz w:val="24"/>
          <w:szCs w:val="24"/>
        </w:rPr>
        <w:lastRenderedPageBreak/>
        <w:t>ir (ar) priekabos</w:t>
      </w:r>
      <w:r w:rsidR="00E1620D" w:rsidRPr="00E1620D">
        <w:rPr>
          <w:rFonts w:ascii="Times New Roman" w:hAnsi="Times New Roman"/>
          <w:color w:val="000000"/>
          <w:sz w:val="24"/>
          <w:szCs w:val="24"/>
        </w:rPr>
        <w:t xml:space="preserve">, </w:t>
      </w:r>
      <w:r w:rsidR="00E1620D" w:rsidRPr="00E1620D">
        <w:rPr>
          <w:rFonts w:ascii="Times New Roman" w:hAnsi="Times New Roman"/>
          <w:bCs/>
          <w:color w:val="000000"/>
          <w:sz w:val="24"/>
          <w:szCs w:val="24"/>
        </w:rPr>
        <w:t xml:space="preserve">kurių savininkas </w:t>
      </w:r>
      <w:r w:rsidR="00E1620D" w:rsidRPr="00E1620D">
        <w:rPr>
          <w:rFonts w:ascii="Times New Roman" w:hAnsi="Times New Roman"/>
          <w:bCs/>
          <w:sz w:val="24"/>
          <w:szCs w:val="24"/>
        </w:rPr>
        <w:t>SEAKĮ 20 straipsnio nustatyta tvarka</w:t>
      </w:r>
      <w:r w:rsidR="00E1620D" w:rsidRPr="00E1620D">
        <w:rPr>
          <w:rFonts w:ascii="Times New Roman" w:hAnsi="Times New Roman"/>
          <w:bCs/>
          <w:color w:val="000000"/>
          <w:sz w:val="24"/>
          <w:szCs w:val="24"/>
        </w:rPr>
        <w:t xml:space="preserve"> yra deklaravęs</w:t>
      </w:r>
      <w:r w:rsidR="00E1620D" w:rsidRPr="00E1620D">
        <w:rPr>
          <w:rFonts w:ascii="Times New Roman" w:hAnsi="Times New Roman"/>
          <w:bCs/>
          <w:sz w:val="24"/>
          <w:szCs w:val="24"/>
        </w:rPr>
        <w:t xml:space="preserve"> </w:t>
      </w:r>
      <w:r w:rsidR="00E1620D" w:rsidRPr="00E1620D">
        <w:rPr>
          <w:rFonts w:ascii="Times New Roman" w:hAnsi="Times New Roman"/>
          <w:bCs/>
          <w:color w:val="000000"/>
          <w:sz w:val="24"/>
          <w:szCs w:val="24"/>
        </w:rPr>
        <w:t>registruojamos motorinės transporto priemones ir (ar) priekabos nuosavybės teisę.</w:t>
      </w:r>
    </w:p>
    <w:p w14:paraId="1646DB5E" w14:textId="3E174C86" w:rsidR="004B3654" w:rsidRPr="00E1620D" w:rsidRDefault="004B3654" w:rsidP="004B3654">
      <w:pPr>
        <w:ind w:firstLine="851"/>
        <w:jc w:val="both"/>
        <w:rPr>
          <w:rFonts w:ascii="Times New Roman" w:hAnsi="Times New Roman"/>
          <w:sz w:val="24"/>
          <w:szCs w:val="24"/>
        </w:rPr>
      </w:pPr>
      <w:r>
        <w:rPr>
          <w:rFonts w:ascii="Times New Roman" w:hAnsi="Times New Roman"/>
          <w:bCs/>
          <w:color w:val="000000"/>
          <w:sz w:val="24"/>
          <w:szCs w:val="24"/>
        </w:rPr>
        <w:t>Atsižvelgus į siūlomų pakeitimų pobūdį, redakciniu požiūriu siūloma patikslinti SEAKĮ 1 straipsnio 1 dalį, reglamentuojančią įstatymo paskirtį (t.</w:t>
      </w:r>
      <w:r w:rsidR="0014699B">
        <w:rPr>
          <w:rFonts w:ascii="Times New Roman" w:hAnsi="Times New Roman"/>
          <w:bCs/>
          <w:color w:val="000000"/>
          <w:sz w:val="24"/>
          <w:szCs w:val="24"/>
        </w:rPr>
        <w:t xml:space="preserve"> </w:t>
      </w:r>
      <w:r>
        <w:rPr>
          <w:rFonts w:ascii="Times New Roman" w:hAnsi="Times New Roman"/>
          <w:bCs/>
          <w:color w:val="000000"/>
          <w:sz w:val="24"/>
          <w:szCs w:val="24"/>
        </w:rPr>
        <w:t>y. numatyti, kad SEAKĮ nustato motorinių transporto priemonių ir (ar) priekabų savininkų teises ir pareigas, reikalavimus, susijusius su transporto priemonių valdymu ir duomenų viešinimu).</w:t>
      </w:r>
    </w:p>
    <w:p w14:paraId="375A64B0" w14:textId="77777777" w:rsidR="00925D64" w:rsidRDefault="00C94D63">
      <w:pPr>
        <w:ind w:firstLine="851"/>
        <w:jc w:val="both"/>
        <w:rPr>
          <w:rFonts w:ascii="Times New Roman" w:hAnsi="Times New Roman"/>
          <w:sz w:val="24"/>
          <w:szCs w:val="24"/>
        </w:rPr>
      </w:pPr>
      <w:r>
        <w:rPr>
          <w:rFonts w:ascii="Times New Roman" w:hAnsi="Times New Roman"/>
          <w:sz w:val="24"/>
          <w:szCs w:val="24"/>
        </w:rPr>
        <w:t>Šioms SEAKĮ projekto nuostatoms įgyvendinti turės būti įsteigta informacinė sistema – TPSAS.</w:t>
      </w:r>
    </w:p>
    <w:p w14:paraId="21D58EFA"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Siekiant įgyvendinti šiuo metu galiojančią SEAKĮ 27 straipsnio 3 dalį, laikinai įregistruojamų transporto priemonių valstybiniai registracijos numerio ženklai pažymimi specialiu VĮ „Regitra“ išduodamu hologramos lipduku. Atsižvelgiant į tai, kad jau nuo 2016 m. birželio 1 d. atsisakyta privalomo techninės apžiūros lipduko klijavimo ant valstybinio numerio ženklo, kuris nurodydavo, iki kada galioja transporto priemonės techninės apžiūros talonas, taip pat įvertinus tai, kad nuo 2017 m. balandžio 1 d. įsigaliojo Motorinių transporto priemonių ir jų priekabų registravimo taisyklių redakcija (patvirtinti nauji reikalavimai transporto priemonių valstybinio numerio ženklams ir neliko lipdukams klijuoti skirtų vietų), SEAKĮ projektu siūloma atsisakyti privalomo laikinosios registracijos numerio ženklų žymėjimo lipdukais ir taip sumažinti administracinę naštą transporto priemonių valdytojams. Tikrinantis pareigūnas, turima įranga nuskaitęs transporto priemonės valstybinio numerio ženklą, patenka į KTPR duomenų bazę, kurioje galima rasti visą reikalingą informaciją apie tikrinamą transporto priemonę, todėl toks žymėjimas lipdukais nebeteko prasmės. </w:t>
      </w:r>
    </w:p>
    <w:p w14:paraId="18DADAE6" w14:textId="3E74502E" w:rsidR="00925D64" w:rsidRDefault="00C94D63">
      <w:pPr>
        <w:ind w:firstLine="851"/>
        <w:jc w:val="both"/>
        <w:rPr>
          <w:rFonts w:ascii="Times New Roman" w:hAnsi="Times New Roman"/>
          <w:sz w:val="24"/>
          <w:szCs w:val="24"/>
        </w:rPr>
      </w:pPr>
      <w:r>
        <w:rPr>
          <w:rFonts w:ascii="Times New Roman" w:hAnsi="Times New Roman"/>
          <w:sz w:val="24"/>
          <w:szCs w:val="24"/>
        </w:rPr>
        <w:t>SEAKĮ projektu taip pat siūloma pakeisti SEAKĮ 27 straipsnio 4 ir 11 dalis atsisakant privalomo reikalavimo, kad KTPR įregistruojamos tik tos transporto priemonės, kurioms atliktos privalomos muitinės procedūros. Siūloma numatyti, kad nustačius, jog neatliktos išleidimo į laisvą apyvartą muitinės procedūros, leidimas tokiai motorinei transporto priemonei ir (ar) priekabai dalyvauti viešajame eisme sustabdomas, tačiau registracijos procedūros galės būti atliekamos. Šiuo teisiniu reguliavimu siekiama supaprastinti transporto priemonių įregistravimo procedūras, transporto priemones registruojantiems asmenims pateikus ne Lietuvos Respublikoje išduotus muitinės procedūrų atlikimą patvirtinančius dokumentus. Informacija apie tokių transporto priemonių registravimą ir pareiškėjų pateiktus dokumentus galėtų būti teikiama Muitinės departamentui, kuris galėtų atlikti atitinkamus patikrinimus ir kuriam informavus VĮ „Regitra“, kad privalomos muitinės procedūros nebuvo atliktos, KTPR įregistruotos transporto priemonės leidimas dalyvauti viešajame eisme būtų sustabdomas.</w:t>
      </w:r>
    </w:p>
    <w:p w14:paraId="1F0C675F" w14:textId="483D72C1" w:rsidR="00925D64" w:rsidRDefault="00C94D63">
      <w:pPr>
        <w:ind w:firstLine="851"/>
        <w:jc w:val="both"/>
      </w:pPr>
      <w:r>
        <w:rPr>
          <w:rFonts w:ascii="Times New Roman" w:hAnsi="Times New Roman"/>
          <w:sz w:val="24"/>
          <w:szCs w:val="24"/>
        </w:rPr>
        <w:t xml:space="preserve">Remiantis </w:t>
      </w:r>
      <w:r>
        <w:rPr>
          <w:rFonts w:ascii="Times New Roman" w:hAnsi="Times New Roman"/>
          <w:sz w:val="24"/>
          <w:szCs w:val="24"/>
          <w:lang w:eastAsia="lt-LT" w:bidi="hi-IN"/>
        </w:rPr>
        <w:t xml:space="preserve">ANK 431 </w:t>
      </w:r>
      <w:r>
        <w:rPr>
          <w:rFonts w:ascii="Times New Roman" w:hAnsi="Times New Roman"/>
          <w:sz w:val="24"/>
          <w:szCs w:val="24"/>
          <w:shd w:val="clear" w:color="auto" w:fill="FFFFFF"/>
          <w:lang w:eastAsia="lt-LT" w:bidi="hi-IN"/>
        </w:rPr>
        <w:t xml:space="preserve">straipsnio 1 dalimi, </w:t>
      </w:r>
      <w:r>
        <w:rPr>
          <w:rFonts w:ascii="Times New Roman" w:eastAsia="Times New Roman" w:hAnsi="Times New Roman"/>
          <w:color w:val="000000"/>
          <w:sz w:val="24"/>
          <w:szCs w:val="24"/>
          <w:lang w:eastAsia="lt-LT"/>
        </w:rPr>
        <w:t xml:space="preserve">transporto priemonės savininkui (valdytojui) SEAKĮ nustatytų reikalavimų nevykdymas (t. y. ir SEAKĮ projekte </w:t>
      </w:r>
      <w:r>
        <w:rPr>
          <w:rFonts w:ascii="Times New Roman" w:hAnsi="Times New Roman"/>
          <w:sz w:val="24"/>
          <w:szCs w:val="24"/>
          <w:shd w:val="clear" w:color="auto" w:fill="FFFFFF"/>
          <w:lang w:eastAsia="lt-LT" w:bidi="hi-IN"/>
        </w:rPr>
        <w:t xml:space="preserve">įtvirtinamos naujos pareigos transporto priemonės savininkui (valdytojui) </w:t>
      </w:r>
      <w:r w:rsidR="00141C9A">
        <w:rPr>
          <w:rFonts w:ascii="Times New Roman" w:hAnsi="Times New Roman"/>
          <w:sz w:val="24"/>
          <w:szCs w:val="24"/>
          <w:shd w:val="clear" w:color="auto" w:fill="FFFFFF"/>
          <w:lang w:eastAsia="lt-LT" w:bidi="hi-IN"/>
        </w:rPr>
        <w:t xml:space="preserve">deklaruoti </w:t>
      </w:r>
      <w:r w:rsidR="00C26CC8">
        <w:rPr>
          <w:rFonts w:ascii="Times New Roman" w:hAnsi="Times New Roman"/>
          <w:sz w:val="24"/>
          <w:szCs w:val="24"/>
          <w:shd w:val="clear" w:color="auto" w:fill="FFFFFF"/>
          <w:lang w:eastAsia="lt-LT" w:bidi="hi-IN"/>
        </w:rPr>
        <w:t>neatlikimas</w:t>
      </w:r>
      <w:r>
        <w:rPr>
          <w:rFonts w:ascii="Times New Roman" w:hAnsi="Times New Roman"/>
          <w:sz w:val="24"/>
          <w:szCs w:val="24"/>
          <w:shd w:val="clear" w:color="auto" w:fill="FFFFFF"/>
          <w:lang w:eastAsia="lt-LT" w:bidi="hi-IN"/>
        </w:rPr>
        <w:t>)</w:t>
      </w:r>
      <w:r w:rsidR="00244E40">
        <w:rPr>
          <w:rFonts w:ascii="Times New Roman" w:hAnsi="Times New Roman"/>
          <w:sz w:val="24"/>
          <w:szCs w:val="24"/>
          <w:shd w:val="clear" w:color="auto" w:fill="FFFFFF"/>
          <w:lang w:eastAsia="lt-LT" w:bidi="hi-IN"/>
        </w:rPr>
        <w:t xml:space="preserve"> </w:t>
      </w:r>
      <w:r>
        <w:rPr>
          <w:rFonts w:ascii="Times New Roman" w:hAnsi="Times New Roman"/>
          <w:sz w:val="24"/>
          <w:szCs w:val="24"/>
          <w:shd w:val="clear" w:color="auto" w:fill="FFFFFF"/>
          <w:lang w:eastAsia="lt-LT" w:bidi="hi-IN"/>
        </w:rPr>
        <w:t xml:space="preserve">užtrauks </w:t>
      </w:r>
      <w:r>
        <w:rPr>
          <w:rFonts w:ascii="Times New Roman" w:eastAsia="Times New Roman" w:hAnsi="Times New Roman"/>
          <w:color w:val="000000"/>
          <w:sz w:val="24"/>
          <w:szCs w:val="24"/>
          <w:lang w:eastAsia="lt-LT"/>
        </w:rPr>
        <w:t xml:space="preserve">baudą nuo 150 iki 300 eurų (pagal ANK 431 straipsnio 2 dalį </w:t>
      </w:r>
      <w:bookmarkStart w:id="4" w:name="part_5f523af9c4854922a5c7d2701e9928fc"/>
      <w:bookmarkEnd w:id="4"/>
      <w:r>
        <w:rPr>
          <w:rFonts w:ascii="Times New Roman" w:eastAsia="Times New Roman" w:hAnsi="Times New Roman"/>
          <w:color w:val="000000"/>
          <w:sz w:val="24"/>
          <w:szCs w:val="24"/>
          <w:lang w:eastAsia="lt-LT"/>
        </w:rPr>
        <w:t xml:space="preserve">nusižengimą padarius pakartotinai – nuo 440 iki 600 eurų). Atitinkamai ANK projektu siūloma </w:t>
      </w:r>
      <w:r>
        <w:rPr>
          <w:rFonts w:ascii="Times New Roman" w:hAnsi="Times New Roman"/>
          <w:sz w:val="24"/>
          <w:szCs w:val="24"/>
        </w:rPr>
        <w:t>teisę pradėti a</w:t>
      </w:r>
      <w:r>
        <w:rPr>
          <w:rFonts w:ascii="Times New Roman" w:hAnsi="Times New Roman"/>
          <w:color w:val="000000"/>
          <w:sz w:val="24"/>
          <w:szCs w:val="24"/>
        </w:rPr>
        <w:t xml:space="preserve">dministracinių nusižengimų teiseną, atlikti administracinių nusižengimų tyrimą ir surašyti administracinių nusižengimų protokolus už </w:t>
      </w:r>
      <w:r>
        <w:rPr>
          <w:rFonts w:ascii="Times New Roman" w:hAnsi="Times New Roman"/>
          <w:sz w:val="24"/>
          <w:szCs w:val="24"/>
        </w:rPr>
        <w:t xml:space="preserve">ANK </w:t>
      </w:r>
      <w:r>
        <w:rPr>
          <w:rFonts w:ascii="Times New Roman" w:hAnsi="Times New Roman"/>
          <w:color w:val="000000"/>
          <w:sz w:val="24"/>
          <w:szCs w:val="24"/>
        </w:rPr>
        <w:t>431 straipsnyje numatytus nusižengimus suteikti ir</w:t>
      </w:r>
      <w:r>
        <w:rPr>
          <w:rFonts w:ascii="Times New Roman" w:hAnsi="Times New Roman"/>
          <w:sz w:val="24"/>
          <w:szCs w:val="24"/>
        </w:rPr>
        <w:t xml:space="preserve"> VMI pareigūnams, kurie pagal kompetenciją prisidėtų prie </w:t>
      </w:r>
      <w:r>
        <w:rPr>
          <w:rFonts w:ascii="Times New Roman" w:hAnsi="Times New Roman"/>
          <w:bCs/>
          <w:color w:val="000000"/>
          <w:sz w:val="24"/>
          <w:szCs w:val="24"/>
        </w:rPr>
        <w:t xml:space="preserve">transporto priemonių savininkų (valdytojų) </w:t>
      </w:r>
      <w:r>
        <w:rPr>
          <w:rFonts w:ascii="Times New Roman" w:hAnsi="Times New Roman"/>
          <w:sz w:val="24"/>
          <w:szCs w:val="24"/>
        </w:rPr>
        <w:t xml:space="preserve">atsakomybės už </w:t>
      </w:r>
      <w:r>
        <w:rPr>
          <w:rFonts w:ascii="Times New Roman" w:hAnsi="Times New Roman"/>
          <w:bCs/>
          <w:color w:val="000000"/>
          <w:sz w:val="24"/>
          <w:szCs w:val="24"/>
        </w:rPr>
        <w:t>nustatytų reikalavimų nevykdymą</w:t>
      </w:r>
      <w:r>
        <w:rPr>
          <w:rFonts w:ascii="Times New Roman" w:hAnsi="Times New Roman"/>
          <w:sz w:val="24"/>
          <w:szCs w:val="24"/>
        </w:rPr>
        <w:t>, neišvengiamumo užtikrinimo. Pažymėtina, kad 2019 m. liepos 16 d. priimtas Lietuvos Respublikos administracinių nusižengimų kodekso papildymo 188</w:t>
      </w:r>
      <w:r>
        <w:rPr>
          <w:rFonts w:ascii="Times New Roman" w:hAnsi="Times New Roman"/>
          <w:sz w:val="24"/>
          <w:szCs w:val="24"/>
          <w:vertAlign w:val="superscript"/>
        </w:rPr>
        <w:t xml:space="preserve">1 </w:t>
      </w:r>
      <w:r>
        <w:rPr>
          <w:rFonts w:ascii="Times New Roman" w:hAnsi="Times New Roman"/>
          <w:sz w:val="24"/>
          <w:szCs w:val="24"/>
        </w:rPr>
        <w:t xml:space="preserve">straipsniu ir 190, 589 straipsnių pakeitimo įstatymas Nr. XIII-2354, kurio 3 straipsnis, keičiantis ANK 589 straipsnio 66 punktą, įsigalios 2020 m. liepos 1 d. Atsižvelgus į tai, ANK projektas parengtas </w:t>
      </w:r>
      <w:r>
        <w:rPr>
          <w:rFonts w:ascii="Times New Roman" w:hAnsi="Times New Roman"/>
          <w:color w:val="000000"/>
          <w:sz w:val="24"/>
          <w:szCs w:val="24"/>
        </w:rPr>
        <w:t>suvestinės teisės akto redakcijos (įskaitant priimtus, bet neįsigaliojusius pakeitimus) pagrindu.</w:t>
      </w:r>
      <w:r>
        <w:rPr>
          <w:rFonts w:ascii="Times New Roman" w:eastAsia="Times New Roman" w:hAnsi="Times New Roman"/>
          <w:color w:val="000000"/>
          <w:sz w:val="24"/>
          <w:szCs w:val="24"/>
          <w:lang w:eastAsia="lt-LT"/>
        </w:rPr>
        <w:t xml:space="preserve"> </w:t>
      </w:r>
    </w:p>
    <w:p w14:paraId="39E67BBB" w14:textId="77777777" w:rsidR="00925D64" w:rsidRDefault="00C94D63">
      <w:pPr>
        <w:ind w:firstLine="851"/>
        <w:jc w:val="both"/>
      </w:pPr>
      <w:r>
        <w:rPr>
          <w:rFonts w:ascii="Times New Roman" w:eastAsia="Times New Roman" w:hAnsi="Times New Roman"/>
          <w:color w:val="000000"/>
          <w:sz w:val="24"/>
          <w:szCs w:val="24"/>
          <w:lang w:eastAsia="lt-LT"/>
        </w:rPr>
        <w:t xml:space="preserve">2018 m. gruodžio 20 d. Lietuvos Respublikos administracinių nusižengimų kodekso 33, 38, 417, 424, 569, 573, 575, 589, 590, 595, 602, 610, 611, 612, 669, 682 ir 686 straipsnių pakeitimo įstatymu Nr. XIII-1862 pakeistas ANK 611 straipsnis ir įtvirtinta galimybė už ANK 611 straipsnio 1 dalyje nurodytus administracinius nusižengimus administracinio nusižengimo protokolą automatiškai suformuoti Administracinių nusižengimų registre. Šis pakeitimas leidžia suformuoti administracinių nusižengimų protokolus nedalyvaujant pareigūnui. Taip </w:t>
      </w:r>
      <w:r>
        <w:rPr>
          <w:rFonts w:ascii="Times New Roman" w:eastAsia="Times New Roman" w:hAnsi="Times New Roman"/>
          <w:bCs/>
          <w:color w:val="000000"/>
          <w:sz w:val="24"/>
          <w:szCs w:val="24"/>
          <w:lang w:eastAsia="lt-LT"/>
        </w:rPr>
        <w:t xml:space="preserve">efektyviau naudojami valstybės ištekliai, palengvinamas daug žmogiškųjų išteklių ir išlaidų reikalaujantis darbas. Siūloma papildyti ANK 611 </w:t>
      </w:r>
      <w:r>
        <w:rPr>
          <w:rFonts w:ascii="Times New Roman" w:eastAsia="Times New Roman" w:hAnsi="Times New Roman"/>
          <w:bCs/>
          <w:color w:val="000000"/>
          <w:sz w:val="24"/>
          <w:szCs w:val="24"/>
          <w:lang w:eastAsia="lt-LT"/>
        </w:rPr>
        <w:lastRenderedPageBreak/>
        <w:t>straipsnio 1 dalyje nurodytų administracinių nusižengimų sąrašą ir numatyti galimybę automatiškai formuoti protokolus ir už ANK 431 straipsnio 1 ir 2 dalyse numatytus nusižengimus. Gautos informacijos apie pareigos deklaruoti turimą, įgytą, parduotą ar kitu pagrindu perleistą nuosavybės teisę į transporto priemonę, taip pat pareigos deklaruoti į Lietuvos Respubliką įvežtą ir parduodamą, Lietuvos Respublikoje neregistruotą transporto priemonę nevykdymą pagrindu administracinių nusižengimų protokolai bus automatiškai suformuoti Administracinių nusižengimų registre ir išsiųsti transporto priemonės savininkui (valdytojui).</w:t>
      </w:r>
    </w:p>
    <w:p w14:paraId="5A259511" w14:textId="77777777" w:rsidR="00925D64" w:rsidRDefault="00C94D63">
      <w:pPr>
        <w:suppressAutoHyphens w:val="0"/>
        <w:ind w:firstLine="851"/>
        <w:jc w:val="both"/>
        <w:textAlignment w:val="auto"/>
      </w:pPr>
      <w:bookmarkStart w:id="5" w:name="part_1ca4658e7b9c4723900edfd87991125f"/>
      <w:bookmarkEnd w:id="5"/>
      <w:r>
        <w:rPr>
          <w:rFonts w:ascii="Times New Roman" w:hAnsi="Times New Roman"/>
          <w:sz w:val="24"/>
          <w:szCs w:val="24"/>
        </w:rPr>
        <w:t>Pažymėtina, kad panašios siūlomos naujovės, kaip gerosios praktikos pavyzdys transporto priemonių registravimo srityje, šiuo metu galioja Latvijos Respublikoje. Kaimyninėje valstybėje veikia Parduodamų transporto priemonių registras – b</w:t>
      </w:r>
      <w:r>
        <w:rPr>
          <w:rFonts w:ascii="Times New Roman" w:eastAsia="+mn-ea" w:hAnsi="Times New Roman"/>
          <w:color w:val="000000"/>
          <w:sz w:val="24"/>
          <w:szCs w:val="24"/>
          <w:lang w:eastAsia="lt-LT"/>
        </w:rPr>
        <w:t>et kuri licencijuoto pardavėjo parduodama transporto priemonė turi būti užregistruota minėtame registre (</w:t>
      </w:r>
      <w:hyperlink r:id="rId13">
        <w:r>
          <w:rPr>
            <w:rStyle w:val="ListLabel83"/>
          </w:rPr>
          <w:t>www.csdd.lv/autoveikali</w:t>
        </w:r>
      </w:hyperlink>
      <w:r>
        <w:rPr>
          <w:rFonts w:ascii="Times New Roman" w:eastAsia="+mn-ea" w:hAnsi="Times New Roman"/>
          <w:color w:val="000000"/>
          <w:sz w:val="24"/>
          <w:szCs w:val="24"/>
          <w:lang w:eastAsia="lt-LT"/>
        </w:rPr>
        <w:t xml:space="preserve">). </w:t>
      </w:r>
      <w:r>
        <w:rPr>
          <w:rFonts w:ascii="Times New Roman" w:eastAsia="+mn-ea" w:hAnsi="Times New Roman"/>
          <w:sz w:val="24"/>
          <w:szCs w:val="24"/>
          <w:lang w:eastAsia="lt-LT"/>
        </w:rPr>
        <w:t>Ypač didelis dėmesys Latvijos Respublikoje skiriamas į</w:t>
      </w:r>
      <w:r>
        <w:rPr>
          <w:rFonts w:ascii="Times New Roman" w:hAnsi="Times New Roman"/>
          <w:sz w:val="24"/>
          <w:szCs w:val="24"/>
          <w:lang w:eastAsia="lt-LT"/>
        </w:rPr>
        <w:t>registruotos transporto priemonės savininko duomenų pasikeitimui.</w:t>
      </w:r>
      <w:r>
        <w:rPr>
          <w:rFonts w:ascii="Times New Roman" w:hAnsi="Times New Roman"/>
          <w:sz w:val="24"/>
          <w:szCs w:val="24"/>
        </w:rPr>
        <w:t xml:space="preserve"> Latvijoje veikiančio deklaravimo modelio esmė ta, kad p</w:t>
      </w:r>
      <w:r>
        <w:rPr>
          <w:rFonts w:ascii="Times New Roman" w:hAnsi="Times New Roman"/>
          <w:sz w:val="24"/>
          <w:szCs w:val="24"/>
          <w:lang w:eastAsia="lt-LT"/>
        </w:rPr>
        <w:t>ardavėjas pirmiausiai turi išregistruoti transporto priemonę (išregistruojant patikrinama, ar nėra mokestinių įsiskolinimų ir kitų apribojimų dėl transporto priemonės nuosavybės perleidimo), atitinkamai pirkėjas turi nurodyti, kokią transporto priemonę perka ir iš ko. Paskui transporto priemonės pardavėjas turi patvirtinti transporto priemonės savininko pasikeitimą (pardavėjui patvirtinti transporto priemonės pardavimą reikia per 5 dienas – fakto laiku nepatvirtinus, nuosavybės perleidimas panaikinamas). Galiausiai naujasis transporto priemonės savininkas per 5 dienas turi įregistruoti transporto priemonę (neįregistravus transporto priemonės per 5 dienas, transporto priemonės leidimas dalyvauti viešajame eisme sustabdomas).</w:t>
      </w:r>
    </w:p>
    <w:p w14:paraId="6ED488BC" w14:textId="77777777" w:rsidR="00925D64" w:rsidRDefault="00C94D63">
      <w:pPr>
        <w:suppressAutoHyphens w:val="0"/>
        <w:ind w:firstLine="851"/>
        <w:jc w:val="both"/>
        <w:textAlignment w:val="auto"/>
        <w:rPr>
          <w:rFonts w:ascii="Times New Roman" w:hAnsi="Times New Roman"/>
          <w:sz w:val="24"/>
          <w:szCs w:val="24"/>
          <w:lang w:eastAsia="lt-LT"/>
        </w:rPr>
      </w:pPr>
      <w:r>
        <w:rPr>
          <w:rFonts w:ascii="Times New Roman" w:hAnsi="Times New Roman"/>
          <w:sz w:val="24"/>
          <w:szCs w:val="24"/>
          <w:lang w:eastAsia="lt-LT"/>
        </w:rPr>
        <w:t>Lietuvos Respublikoje siūlomas TPSAS veikimo modelis panašus į Latvijos modelį, tačiau yra paprastesnis ir mažiau ribojantis sandorio laisvę bei galimybę naudotis transporto priemone pirkimo ir pardavimo sandorio metu:</w:t>
      </w:r>
    </w:p>
    <w:p w14:paraId="6A8E9326" w14:textId="77777777" w:rsidR="00925D64" w:rsidRDefault="00C94D63">
      <w:pPr>
        <w:suppressAutoHyphens w:val="0"/>
        <w:jc w:val="both"/>
        <w:textAlignment w:val="auto"/>
        <w:rPr>
          <w:rFonts w:ascii="Times New Roman" w:hAnsi="Times New Roman"/>
          <w:sz w:val="24"/>
          <w:szCs w:val="24"/>
          <w:lang w:eastAsia="lt-LT"/>
        </w:rPr>
      </w:pPr>
      <w:r>
        <w:rPr>
          <w:rFonts w:ascii="Times New Roman" w:hAnsi="Times New Roman"/>
          <w:sz w:val="24"/>
          <w:szCs w:val="24"/>
          <w:lang w:eastAsia="lt-LT"/>
        </w:rPr>
        <w:t xml:space="preserve"> </w:t>
      </w:r>
      <w:r>
        <w:rPr>
          <w:rFonts w:ascii="Times New Roman" w:hAnsi="Times New Roman"/>
          <w:noProof/>
          <w:sz w:val="24"/>
          <w:szCs w:val="24"/>
          <w:lang w:eastAsia="lt-LT"/>
        </w:rPr>
        <w:drawing>
          <wp:inline distT="0" distB="0" distL="0" distR="0" wp14:anchorId="2229FDF3" wp14:editId="40000D92">
            <wp:extent cx="5958205" cy="2291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stretch>
                      <a:fillRect/>
                    </a:stretch>
                  </pic:blipFill>
                  <pic:spPr bwMode="auto">
                    <a:xfrm>
                      <a:off x="0" y="0"/>
                      <a:ext cx="5958205" cy="2291715"/>
                    </a:xfrm>
                    <a:prstGeom prst="rect">
                      <a:avLst/>
                    </a:prstGeom>
                  </pic:spPr>
                </pic:pic>
              </a:graphicData>
            </a:graphic>
          </wp:inline>
        </w:drawing>
      </w:r>
    </w:p>
    <w:p w14:paraId="7AB00692" w14:textId="77777777" w:rsidR="00925D64" w:rsidRDefault="00925D64">
      <w:pPr>
        <w:suppressAutoHyphens w:val="0"/>
        <w:jc w:val="both"/>
        <w:textAlignment w:val="auto"/>
        <w:rPr>
          <w:rFonts w:ascii="Times New Roman" w:hAnsi="Times New Roman"/>
          <w:sz w:val="24"/>
          <w:szCs w:val="24"/>
          <w:lang w:eastAsia="lt-LT"/>
        </w:rPr>
      </w:pPr>
    </w:p>
    <w:p w14:paraId="4DF91336" w14:textId="2B28AC9A" w:rsidR="00925D64" w:rsidRDefault="00C94D63">
      <w:pPr>
        <w:suppressAutoHyphens w:val="0"/>
        <w:ind w:firstLine="851"/>
        <w:jc w:val="both"/>
        <w:textAlignment w:val="auto"/>
        <w:rPr>
          <w:rFonts w:ascii="Times New Roman" w:hAnsi="Times New Roman"/>
          <w:sz w:val="24"/>
          <w:szCs w:val="24"/>
        </w:rPr>
      </w:pPr>
      <w:r>
        <w:rPr>
          <w:rFonts w:ascii="Times New Roman" w:hAnsi="Times New Roman"/>
          <w:sz w:val="24"/>
          <w:szCs w:val="24"/>
        </w:rPr>
        <w:t>Kiekvienas asmuo, įsigijęs transporto priemonę, nustatyta tvarka turės apie tai pranešti, t. y. deklaruoti apie įgytą (registravimui KTPR ar</w:t>
      </w:r>
      <w:r>
        <w:t xml:space="preserve"> </w:t>
      </w:r>
      <w:r>
        <w:rPr>
          <w:rFonts w:ascii="Times New Roman" w:hAnsi="Times New Roman"/>
          <w:sz w:val="24"/>
          <w:szCs w:val="24"/>
        </w:rPr>
        <w:t>kai transporto priemonė įsigyjama iš užsienio šalies gyventojo ir įvežama į Lietuvos Respubliką pardavimui) ar perleistą (parduotą) transporto priemonę. Šiuo atveju būtų atliekami labai nesudėtingi atitinkamos informacijos apie transporto priemonę ir jos savininką pateikimo</w:t>
      </w:r>
      <w:r w:rsidR="00076FF4">
        <w:rPr>
          <w:rFonts w:ascii="Times New Roman" w:hAnsi="Times New Roman"/>
          <w:sz w:val="24"/>
          <w:szCs w:val="24"/>
        </w:rPr>
        <w:t xml:space="preserve"> TPSAS veiksmai, nereikalaujama</w:t>
      </w:r>
      <w:r>
        <w:rPr>
          <w:rFonts w:ascii="Times New Roman" w:hAnsi="Times New Roman"/>
          <w:sz w:val="24"/>
          <w:szCs w:val="24"/>
        </w:rPr>
        <w:t xml:space="preserve"> </w:t>
      </w:r>
      <w:r w:rsidR="00B36205">
        <w:rPr>
          <w:rFonts w:ascii="Times New Roman" w:hAnsi="Times New Roman"/>
          <w:sz w:val="24"/>
          <w:szCs w:val="24"/>
        </w:rPr>
        <w:t>fiziškai pateikti transporto priemonės tapatumo nustatymui ar kad</w:t>
      </w:r>
      <w:r>
        <w:rPr>
          <w:rFonts w:ascii="Times New Roman" w:hAnsi="Times New Roman"/>
          <w:sz w:val="24"/>
          <w:szCs w:val="24"/>
        </w:rPr>
        <w:t xml:space="preserve"> transporto priemonė turėtų atliktą privalomą techninę apžiūrą, būtų apdrausta privalomuoju civilinės atsakomybės draudimu ir kt.</w:t>
      </w:r>
    </w:p>
    <w:p w14:paraId="6762E857" w14:textId="03E22DDF" w:rsidR="00925D64" w:rsidRDefault="00C94D63">
      <w:pPr>
        <w:suppressAutoHyphens w:val="0"/>
        <w:ind w:firstLine="851"/>
        <w:jc w:val="both"/>
        <w:textAlignment w:val="auto"/>
        <w:rPr>
          <w:rFonts w:ascii="Times New Roman" w:hAnsi="Times New Roman"/>
          <w:sz w:val="24"/>
          <w:szCs w:val="24"/>
        </w:rPr>
      </w:pPr>
      <w:r>
        <w:rPr>
          <w:rFonts w:ascii="Times New Roman" w:hAnsi="Times New Roman"/>
          <w:sz w:val="24"/>
          <w:szCs w:val="24"/>
        </w:rPr>
        <w:t>Asmeniui pateikus deklaraciją elektroniniu ar fiziniu būdu VĮ „Regitra“ padalinyje, bus suteikiamas SDK, pagal kurį galima identifikuoti Lietuvos Respublikoje neįregistruotą transporto priemonę. SDK taip pat turėtų būti naudojamas parduodant Lietuvos Respublikoje bet kurią transporto priemonę. Atitinkamai KTPR įregistruojamos</w:t>
      </w:r>
      <w:r w:rsidR="00B36205">
        <w:rPr>
          <w:rFonts w:ascii="Times New Roman" w:hAnsi="Times New Roman"/>
          <w:sz w:val="24"/>
          <w:szCs w:val="24"/>
        </w:rPr>
        <w:t xml:space="preserve"> tik tos</w:t>
      </w:r>
      <w:r>
        <w:rPr>
          <w:rFonts w:ascii="Times New Roman" w:hAnsi="Times New Roman"/>
          <w:sz w:val="24"/>
          <w:szCs w:val="24"/>
        </w:rPr>
        <w:t xml:space="preserve"> transporto priemonės, kuriom</w:t>
      </w:r>
      <w:r w:rsidR="00B36205">
        <w:rPr>
          <w:rFonts w:ascii="Times New Roman" w:hAnsi="Times New Roman"/>
          <w:sz w:val="24"/>
          <w:szCs w:val="24"/>
        </w:rPr>
        <w:t>is</w:t>
      </w:r>
      <w:r w:rsidR="00E335C7">
        <w:rPr>
          <w:rFonts w:ascii="Times New Roman" w:hAnsi="Times New Roman"/>
          <w:sz w:val="24"/>
          <w:szCs w:val="24"/>
        </w:rPr>
        <w:t xml:space="preserve"> ketinama dalyvauti</w:t>
      </w:r>
      <w:r>
        <w:rPr>
          <w:rFonts w:ascii="Times New Roman" w:hAnsi="Times New Roman"/>
          <w:sz w:val="24"/>
          <w:szCs w:val="24"/>
        </w:rPr>
        <w:t xml:space="preserve"> viešajame eisme, ir jų valdytojai, t. y. tokiu būdu aiškiai atskiriama transporto priemonės savininko ir transporto priemonės valdytojo, kuris ją naudoja pagal paskirtį, atsakomybė. </w:t>
      </w:r>
    </w:p>
    <w:p w14:paraId="587836C2" w14:textId="77777777" w:rsidR="00925D64" w:rsidRDefault="00C94D63">
      <w:pPr>
        <w:suppressAutoHyphens w:val="0"/>
        <w:ind w:firstLine="851"/>
        <w:jc w:val="both"/>
        <w:textAlignment w:val="auto"/>
        <w:rPr>
          <w:rFonts w:ascii="Times New Roman" w:hAnsi="Times New Roman"/>
          <w:sz w:val="24"/>
          <w:szCs w:val="24"/>
        </w:rPr>
      </w:pPr>
      <w:r>
        <w:rPr>
          <w:rFonts w:ascii="Times New Roman" w:hAnsi="Times New Roman"/>
          <w:sz w:val="24"/>
          <w:szCs w:val="24"/>
        </w:rPr>
        <w:t xml:space="preserve">Nedeklaravus transporto priemonės TPSAS ir neturint suteikto SDK, parduota transporto priemonė negalės būti registruojama KTPR, todėl tokiai transporto priemonei nebus suteikiamas </w:t>
      </w:r>
      <w:r>
        <w:rPr>
          <w:rFonts w:ascii="Times New Roman" w:hAnsi="Times New Roman"/>
          <w:sz w:val="24"/>
          <w:szCs w:val="24"/>
        </w:rPr>
        <w:lastRenderedPageBreak/>
        <w:t>leidimas dalyvauti eisme, taip pat transporto priemonės pardavėjui bus skiriama ANK 431 straipsnio 1 ar 2 dalyse nustatyta bauda. Atitinkamai ir transporto priemonės pirkėjui bus skiriama ANK 431 straipsnio 1 ar 2 dalyse nustatyta bauda, jei jis nustatyta tvarka nedeklaruos transporto priemonės įsigijimo. Toliau pateikiama TPSAS principinė veikimo schema:</w:t>
      </w:r>
    </w:p>
    <w:p w14:paraId="16D9928F" w14:textId="77777777" w:rsidR="00925D64" w:rsidRDefault="00C94D63">
      <w:pPr>
        <w:suppressAutoHyphens w:val="0"/>
        <w:jc w:val="both"/>
        <w:textAlignment w:val="auto"/>
        <w:rPr>
          <w:rFonts w:ascii="Times New Roman" w:hAnsi="Times New Roman"/>
          <w:sz w:val="24"/>
          <w:szCs w:val="24"/>
        </w:rPr>
      </w:pPr>
      <w:r>
        <w:rPr>
          <w:noProof/>
          <w:lang w:eastAsia="lt-LT"/>
        </w:rPr>
        <w:drawing>
          <wp:inline distT="0" distB="0" distL="0" distR="7620" wp14:anchorId="5D158004" wp14:editId="1CDCFB76">
            <wp:extent cx="5536565" cy="2973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stretch>
                      <a:fillRect/>
                    </a:stretch>
                  </pic:blipFill>
                  <pic:spPr bwMode="auto">
                    <a:xfrm>
                      <a:off x="0" y="0"/>
                      <a:ext cx="5536565" cy="2973705"/>
                    </a:xfrm>
                    <a:prstGeom prst="rect">
                      <a:avLst/>
                    </a:prstGeom>
                  </pic:spPr>
                </pic:pic>
              </a:graphicData>
            </a:graphic>
          </wp:inline>
        </w:drawing>
      </w:r>
    </w:p>
    <w:p w14:paraId="33D848DF" w14:textId="77777777" w:rsidR="00925D64" w:rsidRDefault="00C94D63">
      <w:pPr>
        <w:pStyle w:val="Antrat"/>
        <w:spacing w:before="0" w:after="0"/>
        <w:jc w:val="both"/>
        <w:rPr>
          <w:rFonts w:ascii="Times New Roman" w:hAnsi="Times New Roman" w:cs="Times New Roman"/>
          <w:b/>
          <w:i w:val="0"/>
          <w:lang w:val="lt-LT"/>
        </w:rPr>
      </w:pPr>
      <w:r>
        <w:rPr>
          <w:noProof/>
          <w:lang w:val="lt-LT" w:eastAsia="lt-LT"/>
        </w:rPr>
        <w:drawing>
          <wp:inline distT="0" distB="9525" distL="0" distR="8255" wp14:anchorId="64A7A7D2" wp14:editId="763C407F">
            <wp:extent cx="5459105" cy="3004858"/>
            <wp:effectExtent l="0" t="0" r="825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stretch>
                      <a:fillRect/>
                    </a:stretch>
                  </pic:blipFill>
                  <pic:spPr bwMode="auto">
                    <a:xfrm>
                      <a:off x="0" y="0"/>
                      <a:ext cx="5465896" cy="3008596"/>
                    </a:xfrm>
                    <a:prstGeom prst="rect">
                      <a:avLst/>
                    </a:prstGeom>
                  </pic:spPr>
                </pic:pic>
              </a:graphicData>
            </a:graphic>
          </wp:inline>
        </w:drawing>
      </w:r>
    </w:p>
    <w:p w14:paraId="0B707373"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Vienas iš pagrindinių teigiamų šio siūlomo teisinio reguliavimo padarinių – visada bus žinomas tikrasis transporto priemonės savininkas ar valdytojas. Tai svarbu todėl, kad kontrolės institucijos dar iki sudarant transporto priemonės pardavimo sandorį turės galimybę patikrinti, kas yra tikrasis transporto priemonės savininkas. Atitinkamai, jei transporto priemonė bus parduodama nustatyta tvarka nedeklaravus jos pardavimo (savininko, kai transporto priemonė įsigyjama iš užsienio šalies gyventojo ir įvežama į Lietuvos Respubliką parduoti), kontrolės institucijos turės pagrįstą įtarimą dėl transporto priemonės ar jos dalių pardavimo sandorio skaidrumo ar galimos šešėlinės transporto priemonių prekybos. Tokiu būdu taip pat bus palengvinamas policijos ir kitų institucijų darbas nustatant Kelių eismo taisyklių pažeidėjus ar vykdant institucijoms pavestas kitas funkcijas.</w:t>
      </w:r>
    </w:p>
    <w:p w14:paraId="7409AD7C"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Taip pat planuojama, kad, nustatyta tvarka deklaravus transporto priemonės įvežimą į Lietuvos Respubliką parduoti ir transporto priemonei suteikus SDK, asmenims, ketinantiems įsigyti viešai parduodamą transporto priemonę, bus sudaryta galimybė pasitikrinti, ar transporto priemonė parduodama skaidriai (yra deklaruotas pardavimas), t. y. kad žinomas jos savininkas, o pats pardavimo sandoris būsiąs pakankamai patikimas. Tai suteiks pasitikėjimo sandorio šalims (ypač pirkėjams) ir </w:t>
      </w:r>
      <w:r>
        <w:rPr>
          <w:rFonts w:ascii="Times New Roman" w:hAnsi="Times New Roman"/>
          <w:sz w:val="24"/>
          <w:szCs w:val="24"/>
        </w:rPr>
        <w:lastRenderedPageBreak/>
        <w:t>sudarys galimybę sąžiningą prekybą transporto priemonėmis vykdantiems asmenims prisidėti prie kovos su šešėline transporto priemonių prekyba pranešant kontrolės institucijoms apie pastebėtą nustatyta tvarka nedeklaruotų transporto priemonių pardavimą.</w:t>
      </w:r>
    </w:p>
    <w:p w14:paraId="32515C6B"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Tikimasi, kad taikant siūlomą teisinį reguliavimą ir skiriant administracines nuobaudas asmenims, kurie vengs deklaruoti transporto priemonių įvežimą į Lietuvos Respubliką ir jų pardavimą, tokia veikla jiems taps nepelninga ir tai paskatins tikruosius pardavėjus atsisakyti šešėlinės prekybos. Manoma, kad tai taip pat paskatins visuomenę formuoti civilizuotą ir skaidrią transporto priemonių, jų dalių prekybos tradiciją ir sumažins šešėlinę transporto priemonių prekybą iki minimumo.</w:t>
      </w:r>
    </w:p>
    <w:p w14:paraId="76533DC6" w14:textId="77777777" w:rsidR="00925D64" w:rsidRDefault="00925D64">
      <w:pPr>
        <w:pStyle w:val="Standard"/>
        <w:tabs>
          <w:tab w:val="left" w:pos="1134"/>
        </w:tabs>
        <w:spacing w:after="0" w:line="240" w:lineRule="auto"/>
        <w:ind w:firstLine="851"/>
        <w:jc w:val="both"/>
        <w:rPr>
          <w:rFonts w:ascii="Times New Roman" w:hAnsi="Times New Roman"/>
          <w:b/>
          <w:sz w:val="24"/>
          <w:szCs w:val="24"/>
        </w:rPr>
      </w:pPr>
    </w:p>
    <w:p w14:paraId="7275CB04"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b/>
          <w:sz w:val="24"/>
          <w:szCs w:val="24"/>
        </w:rPr>
        <w:t xml:space="preserve">5. </w:t>
      </w:r>
      <w:r>
        <w:rPr>
          <w:rFonts w:ascii="Times New Roman" w:hAnsi="Times New Roman"/>
          <w:b/>
          <w:bCs/>
          <w:sz w:val="24"/>
          <w:szCs w:val="24"/>
        </w:rPr>
        <w:t>Numatomo teisinio reguliavimo poveikio vertinimo rezultatai, galimos neigiamos priimto įstatymo pasekmės ir kokių priemonių reikėtų imtis, kad tokių pasekmių būtų išvengta</w:t>
      </w:r>
    </w:p>
    <w:p w14:paraId="2BFA3C7C"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Priėmus įstatymą neigiamų pasekmių nenumatoma.</w:t>
      </w:r>
    </w:p>
    <w:p w14:paraId="39EF2768" w14:textId="77777777" w:rsidR="00925D64" w:rsidRDefault="00925D64">
      <w:pPr>
        <w:pStyle w:val="Standard"/>
        <w:tabs>
          <w:tab w:val="left" w:pos="1134"/>
        </w:tabs>
        <w:spacing w:after="0" w:line="240" w:lineRule="auto"/>
        <w:ind w:firstLine="851"/>
        <w:jc w:val="both"/>
        <w:rPr>
          <w:rFonts w:ascii="Times New Roman" w:hAnsi="Times New Roman"/>
          <w:b/>
          <w:sz w:val="24"/>
          <w:szCs w:val="24"/>
        </w:rPr>
      </w:pPr>
    </w:p>
    <w:p w14:paraId="26C789C3" w14:textId="77777777" w:rsidR="00925D64" w:rsidRDefault="00C94D63">
      <w:pPr>
        <w:pStyle w:val="Standard"/>
        <w:tabs>
          <w:tab w:val="left" w:pos="1134"/>
        </w:tabs>
        <w:spacing w:after="0" w:line="240" w:lineRule="auto"/>
        <w:ind w:firstLine="851"/>
        <w:jc w:val="both"/>
        <w:rPr>
          <w:rFonts w:ascii="Times New Roman" w:hAnsi="Times New Roman"/>
          <w:b/>
          <w:sz w:val="24"/>
          <w:szCs w:val="24"/>
        </w:rPr>
      </w:pPr>
      <w:r>
        <w:rPr>
          <w:rFonts w:ascii="Times New Roman" w:hAnsi="Times New Roman"/>
          <w:b/>
          <w:sz w:val="24"/>
          <w:szCs w:val="24"/>
        </w:rPr>
        <w:t>6. Kokią įtaką įstatymai turės kriminogeninei situacijai, korupcijai</w:t>
      </w:r>
    </w:p>
    <w:p w14:paraId="4FFCD488" w14:textId="77777777" w:rsidR="00925D64" w:rsidRDefault="00C94D63">
      <w:pPr>
        <w:pStyle w:val="Betarp"/>
        <w:tabs>
          <w:tab w:val="left" w:pos="1134"/>
        </w:tabs>
        <w:ind w:firstLine="851"/>
        <w:jc w:val="both"/>
        <w:rPr>
          <w:rFonts w:ascii="Times New Roman" w:hAnsi="Times New Roman"/>
          <w:sz w:val="24"/>
          <w:szCs w:val="24"/>
          <w:lang w:val="lt-LT" w:eastAsia="lt-LT"/>
        </w:rPr>
      </w:pPr>
      <w:r>
        <w:rPr>
          <w:rFonts w:ascii="Times New Roman" w:hAnsi="Times New Roman"/>
          <w:sz w:val="24"/>
          <w:szCs w:val="24"/>
          <w:lang w:val="lt-LT"/>
        </w:rPr>
        <w:t xml:space="preserve">Įgyvendinamos įstatymų nuostatos turėtų veikti kaip </w:t>
      </w:r>
      <w:r>
        <w:rPr>
          <w:rFonts w:ascii="Times New Roman" w:hAnsi="Times New Roman"/>
          <w:sz w:val="24"/>
          <w:szCs w:val="24"/>
          <w:lang w:val="lt-LT" w:eastAsia="lt-LT"/>
        </w:rPr>
        <w:t>labai efektyvi priemonė kovojant su šešėline automobilių prekyba ir skatintų tiek pardavėjų, tiek pirkėjų suinteresuotumą veikti sąžiningai.</w:t>
      </w:r>
    </w:p>
    <w:p w14:paraId="31724551" w14:textId="77777777" w:rsidR="00925D64" w:rsidRDefault="00925D64">
      <w:pPr>
        <w:pStyle w:val="Standard"/>
        <w:tabs>
          <w:tab w:val="left" w:pos="1134"/>
        </w:tabs>
        <w:spacing w:after="0" w:line="240" w:lineRule="auto"/>
        <w:jc w:val="both"/>
        <w:rPr>
          <w:rFonts w:ascii="Times New Roman" w:hAnsi="Times New Roman"/>
          <w:sz w:val="24"/>
          <w:szCs w:val="24"/>
        </w:rPr>
      </w:pPr>
    </w:p>
    <w:p w14:paraId="07D9FB16" w14:textId="77777777" w:rsidR="00925D64" w:rsidRDefault="00C94D63">
      <w:pPr>
        <w:pStyle w:val="Standard"/>
        <w:tabs>
          <w:tab w:val="left" w:pos="1134"/>
        </w:tabs>
        <w:spacing w:after="0" w:line="240" w:lineRule="auto"/>
        <w:ind w:firstLine="851"/>
        <w:jc w:val="both"/>
        <w:rPr>
          <w:rFonts w:ascii="Times New Roman" w:hAnsi="Times New Roman"/>
          <w:b/>
          <w:sz w:val="24"/>
          <w:szCs w:val="24"/>
        </w:rPr>
      </w:pPr>
      <w:r>
        <w:rPr>
          <w:rFonts w:ascii="Times New Roman" w:hAnsi="Times New Roman"/>
          <w:b/>
          <w:sz w:val="24"/>
          <w:szCs w:val="24"/>
        </w:rPr>
        <w:t>7. Kaip įstatymų įgyvendinimas atsilieps verslo sąlygoms ir jo plėtrai</w:t>
      </w:r>
    </w:p>
    <w:p w14:paraId="5082397B" w14:textId="77777777" w:rsidR="00925D64" w:rsidRDefault="00C94D63">
      <w:pPr>
        <w:pStyle w:val="Standard"/>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Įstatymų įgyvendinimas turės abipusės naudos tiek transporto priemonės pirkėjui, tiek jos pardavėjui. T</w:t>
      </w:r>
      <w:r>
        <w:rPr>
          <w:rFonts w:ascii="Times New Roman" w:hAnsi="Times New Roman"/>
          <w:sz w:val="24"/>
          <w:szCs w:val="24"/>
          <w:lang w:eastAsia="lt-LT"/>
        </w:rPr>
        <w:t>eisiniu ir administraciniu požiūriu p</w:t>
      </w:r>
      <w:r>
        <w:rPr>
          <w:rFonts w:ascii="Times New Roman" w:hAnsi="Times New Roman"/>
          <w:sz w:val="24"/>
          <w:szCs w:val="24"/>
        </w:rPr>
        <w:t>irkėjas galės tikėtis, kad transporto priemonės įsigijimo sandoris bus gana patikimas</w:t>
      </w:r>
      <w:r>
        <w:rPr>
          <w:rFonts w:ascii="Times New Roman" w:hAnsi="Times New Roman"/>
          <w:sz w:val="24"/>
          <w:szCs w:val="24"/>
          <w:lang w:eastAsia="lt-LT"/>
        </w:rPr>
        <w:t>, taip pat bus greitesnės ir lengvesnės automobilio pardavimo procedūros nerizikingų sandorių atvejais (žaliasis koridorius). Atitinkamai sąžiningam pardavėjui bus sukurta skaidri ir teisinga konkurencinė aplinka, bus a</w:t>
      </w:r>
      <w:r>
        <w:rPr>
          <w:rFonts w:ascii="Times New Roman" w:eastAsiaTheme="minorEastAsia" w:hAnsi="Times New Roman"/>
          <w:color w:val="000000" w:themeColor="text1"/>
          <w:sz w:val="24"/>
          <w:szCs w:val="24"/>
          <w:lang w:eastAsia="lt-LT"/>
        </w:rPr>
        <w:t>iškus atsakomybės už parduotą automobilį perėjimo momentas.</w:t>
      </w:r>
    </w:p>
    <w:p w14:paraId="2EE41042" w14:textId="77777777" w:rsidR="00925D64" w:rsidRDefault="00925D64">
      <w:pPr>
        <w:pStyle w:val="Standard"/>
        <w:tabs>
          <w:tab w:val="left" w:pos="1134"/>
        </w:tabs>
        <w:spacing w:after="0" w:line="240" w:lineRule="auto"/>
        <w:ind w:firstLine="851"/>
        <w:jc w:val="both"/>
        <w:rPr>
          <w:rFonts w:ascii="Times New Roman" w:hAnsi="Times New Roman"/>
          <w:b/>
          <w:sz w:val="24"/>
          <w:szCs w:val="24"/>
        </w:rPr>
      </w:pPr>
    </w:p>
    <w:p w14:paraId="7E506F04" w14:textId="77777777" w:rsidR="00925D64" w:rsidRDefault="00C94D63">
      <w:pPr>
        <w:pStyle w:val="Standard"/>
        <w:tabs>
          <w:tab w:val="left" w:pos="1134"/>
        </w:tabs>
        <w:spacing w:after="0" w:line="240" w:lineRule="auto"/>
        <w:ind w:firstLine="851"/>
        <w:jc w:val="both"/>
        <w:rPr>
          <w:rFonts w:ascii="Times New Roman" w:hAnsi="Times New Roman"/>
          <w:b/>
          <w:bCs/>
          <w:sz w:val="24"/>
          <w:szCs w:val="24"/>
          <w:lang w:eastAsia="en-GB"/>
        </w:rPr>
      </w:pPr>
      <w:r>
        <w:rPr>
          <w:rFonts w:ascii="Times New Roman" w:hAnsi="Times New Roman"/>
          <w:b/>
          <w:sz w:val="24"/>
          <w:szCs w:val="24"/>
        </w:rPr>
        <w:t xml:space="preserve">8. </w:t>
      </w:r>
      <w:r>
        <w:rPr>
          <w:rFonts w:ascii="Times New Roman" w:hAnsi="Times New Roman"/>
          <w:b/>
          <w:bCs/>
          <w:sz w:val="24"/>
          <w:szCs w:val="24"/>
          <w:lang w:eastAsia="en-GB"/>
        </w:rPr>
        <w:t>Įstatymų įtraukimas į teisinę sistemą, kokius teisės aktus būtina priimti, kokius galiojančius teisės aktus reikia pakeisti ar pripažinti netekusiais galios</w:t>
      </w:r>
    </w:p>
    <w:p w14:paraId="6EBFF1BF"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Priėmus Į</w:t>
      </w:r>
      <w:r>
        <w:rPr>
          <w:rFonts w:ascii="Times New Roman" w:hAnsi="Times New Roman"/>
          <w:sz w:val="24"/>
          <w:szCs w:val="24"/>
          <w:shd w:val="clear" w:color="auto" w:fill="FFFFFF"/>
          <w:lang w:eastAsia="lt-LT" w:bidi="hi-IN"/>
        </w:rPr>
        <w:t>statym</w:t>
      </w:r>
      <w:bookmarkStart w:id="6" w:name="_Hlk536190415"/>
      <w:bookmarkStart w:id="7" w:name="_Hlk536190402"/>
      <w:bookmarkStart w:id="8" w:name="_Hlk536190390"/>
      <w:bookmarkEnd w:id="6"/>
      <w:bookmarkEnd w:id="7"/>
      <w:bookmarkEnd w:id="8"/>
      <w:r>
        <w:rPr>
          <w:rFonts w:ascii="Times New Roman" w:hAnsi="Times New Roman"/>
          <w:sz w:val="24"/>
          <w:szCs w:val="24"/>
        </w:rPr>
        <w:t>us kitų įstatymų keisti nereikės.</w:t>
      </w:r>
    </w:p>
    <w:p w14:paraId="54AA31FC" w14:textId="77777777" w:rsidR="00925D64" w:rsidRDefault="00925D64">
      <w:pPr>
        <w:pStyle w:val="Standard"/>
        <w:spacing w:after="0" w:line="240" w:lineRule="auto"/>
        <w:ind w:firstLine="851"/>
        <w:jc w:val="both"/>
        <w:rPr>
          <w:rFonts w:ascii="Times New Roman" w:hAnsi="Times New Roman"/>
          <w:sz w:val="24"/>
          <w:szCs w:val="24"/>
        </w:rPr>
      </w:pPr>
    </w:p>
    <w:p w14:paraId="204C654B"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b/>
          <w:bCs/>
          <w:sz w:val="24"/>
          <w:szCs w:val="24"/>
        </w:rPr>
        <w:t xml:space="preserve">9. </w:t>
      </w:r>
      <w:r>
        <w:rPr>
          <w:rFonts w:ascii="Times New Roman" w:hAnsi="Times New Roman"/>
          <w:b/>
          <w:bCs/>
          <w:sz w:val="24"/>
          <w:szCs w:val="24"/>
          <w:lang w:eastAsia="en-GB"/>
        </w:rPr>
        <w:t xml:space="preserve">Ar įstatymų projektai parengti laikantis Lietuvos Respublikos valstybinės kalbos, </w:t>
      </w:r>
      <w:bookmarkStart w:id="9" w:name="n1_635"/>
      <w:bookmarkEnd w:id="9"/>
      <w:r>
        <w:rPr>
          <w:rFonts w:ascii="Times New Roman" w:hAnsi="Times New Roman"/>
          <w:b/>
          <w:bCs/>
          <w:sz w:val="24"/>
          <w:szCs w:val="24"/>
          <w:lang w:eastAsia="en-GB"/>
        </w:rPr>
        <w:t>Teisėkūros pagrindų įstatymų</w:t>
      </w:r>
      <w:bookmarkStart w:id="10" w:name="pn1_635"/>
      <w:bookmarkEnd w:id="10"/>
      <w:r>
        <w:rPr>
          <w:rFonts w:ascii="Times New Roman" w:hAnsi="Times New Roman"/>
          <w:b/>
          <w:bCs/>
          <w:sz w:val="24"/>
          <w:szCs w:val="24"/>
          <w:lang w:eastAsia="en-GB"/>
        </w:rPr>
        <w:t xml:space="preserve"> reikalavimų, o įstatymų projektų sąvokos ir jas įvardijantys terminai įvertinti </w:t>
      </w:r>
      <w:bookmarkStart w:id="11" w:name="n1_637"/>
      <w:bookmarkEnd w:id="11"/>
      <w:r>
        <w:rPr>
          <w:rFonts w:ascii="Times New Roman" w:hAnsi="Times New Roman"/>
          <w:b/>
          <w:bCs/>
          <w:sz w:val="24"/>
          <w:szCs w:val="24"/>
          <w:lang w:eastAsia="en-GB"/>
        </w:rPr>
        <w:t>Terminų banko įstatymo</w:t>
      </w:r>
      <w:bookmarkStart w:id="12" w:name="pn1_637"/>
      <w:bookmarkEnd w:id="12"/>
      <w:r>
        <w:rPr>
          <w:rFonts w:ascii="Times New Roman" w:hAnsi="Times New Roman"/>
          <w:b/>
          <w:bCs/>
          <w:sz w:val="24"/>
          <w:szCs w:val="24"/>
          <w:lang w:eastAsia="en-GB"/>
        </w:rPr>
        <w:t xml:space="preserve"> ir jo įgyvendinamųjų teisės aktų nustatyta tvarka</w:t>
      </w:r>
    </w:p>
    <w:p w14:paraId="2DD6B26F" w14:textId="77777777" w:rsidR="00925D64" w:rsidRDefault="00C94D63">
      <w:pPr>
        <w:ind w:firstLine="851"/>
        <w:jc w:val="both"/>
        <w:rPr>
          <w:rFonts w:ascii="Times New Roman" w:hAnsi="Times New Roman"/>
          <w:sz w:val="24"/>
          <w:szCs w:val="24"/>
        </w:rPr>
      </w:pPr>
      <w:r>
        <w:rPr>
          <w:rFonts w:ascii="Times New Roman" w:hAnsi="Times New Roman"/>
          <w:sz w:val="24"/>
          <w:szCs w:val="24"/>
          <w:lang w:eastAsia="lt-LT"/>
        </w:rPr>
        <w:t>Įstatymų</w:t>
      </w:r>
      <w:r>
        <w:rPr>
          <w:rFonts w:ascii="Times New Roman" w:hAnsi="Times New Roman"/>
          <w:sz w:val="24"/>
          <w:szCs w:val="24"/>
        </w:rPr>
        <w:t xml:space="preserve"> projektai parengti laikantis </w:t>
      </w:r>
      <w:r>
        <w:rPr>
          <w:rFonts w:ascii="Times New Roman" w:hAnsi="Times New Roman"/>
          <w:bCs/>
          <w:sz w:val="24"/>
          <w:szCs w:val="24"/>
          <w:lang w:eastAsia="en-GB"/>
        </w:rPr>
        <w:t xml:space="preserve">Lietuvos Respublikos </w:t>
      </w:r>
      <w:r>
        <w:rPr>
          <w:rFonts w:ascii="Times New Roman" w:hAnsi="Times New Roman"/>
          <w:sz w:val="24"/>
          <w:szCs w:val="24"/>
        </w:rPr>
        <w:t xml:space="preserve">valstybinės kalbos, </w:t>
      </w:r>
      <w:r>
        <w:rPr>
          <w:rFonts w:ascii="Times New Roman" w:hAnsi="Times New Roman"/>
          <w:bCs/>
          <w:sz w:val="24"/>
          <w:szCs w:val="24"/>
          <w:lang w:eastAsia="en-GB"/>
        </w:rPr>
        <w:t>Lietuvos Respublikos t</w:t>
      </w:r>
      <w:r>
        <w:rPr>
          <w:rFonts w:ascii="Times New Roman" w:hAnsi="Times New Roman"/>
          <w:sz w:val="24"/>
          <w:szCs w:val="24"/>
          <w:lang w:eastAsia="en-GB"/>
        </w:rPr>
        <w:t>eisėkūros pagrindų įstatymų reikalavimų</w:t>
      </w:r>
      <w:r>
        <w:rPr>
          <w:rFonts w:ascii="Times New Roman" w:hAnsi="Times New Roman"/>
          <w:sz w:val="24"/>
          <w:szCs w:val="24"/>
        </w:rPr>
        <w:t xml:space="preserve"> ir atitinka bendrinės lietuvių kalbos normas. Įstatymų projektuose nenumatoma naujų sąvokų, kurias reikėtų įvertinti </w:t>
      </w:r>
      <w:r>
        <w:rPr>
          <w:rFonts w:ascii="Times New Roman" w:hAnsi="Times New Roman"/>
          <w:bCs/>
          <w:sz w:val="24"/>
          <w:szCs w:val="24"/>
          <w:lang w:eastAsia="en-GB"/>
        </w:rPr>
        <w:t>Terminų banko įstatymo ir jo įgyvendinamųjų teisės aktų nustatyta tvarka.</w:t>
      </w:r>
    </w:p>
    <w:p w14:paraId="20880B0B" w14:textId="77777777" w:rsidR="00925D64" w:rsidRDefault="00925D64">
      <w:pPr>
        <w:ind w:firstLine="851"/>
        <w:jc w:val="both"/>
        <w:rPr>
          <w:rFonts w:ascii="Times New Roman" w:hAnsi="Times New Roman"/>
          <w:b/>
          <w:sz w:val="24"/>
          <w:szCs w:val="24"/>
        </w:rPr>
      </w:pPr>
    </w:p>
    <w:p w14:paraId="1E1C59BF"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b/>
          <w:bCs/>
          <w:sz w:val="24"/>
          <w:szCs w:val="24"/>
        </w:rPr>
        <w:t>10. Ar į</w:t>
      </w:r>
      <w:r>
        <w:rPr>
          <w:rFonts w:ascii="Times New Roman" w:hAnsi="Times New Roman"/>
          <w:b/>
          <w:sz w:val="24"/>
          <w:szCs w:val="24"/>
          <w:lang w:eastAsia="lt-LT"/>
        </w:rPr>
        <w:t>statymų</w:t>
      </w:r>
      <w:r>
        <w:rPr>
          <w:rFonts w:ascii="Times New Roman" w:hAnsi="Times New Roman"/>
          <w:b/>
          <w:bCs/>
          <w:sz w:val="24"/>
          <w:szCs w:val="24"/>
        </w:rPr>
        <w:t xml:space="preserve"> projektai atitinka Žmogaus teisių ir pagrindinių laisvių apsaugos konvencijos nuostatas ir Europos Sąjungos dokumentus</w:t>
      </w:r>
    </w:p>
    <w:p w14:paraId="40ABC96E" w14:textId="77777777" w:rsidR="00925D64" w:rsidRDefault="00C94D63">
      <w:pPr>
        <w:pStyle w:val="Antrats"/>
        <w:spacing w:after="0" w:line="240" w:lineRule="auto"/>
        <w:ind w:firstLine="851"/>
        <w:jc w:val="both"/>
        <w:rPr>
          <w:rFonts w:ascii="Times New Roman" w:hAnsi="Times New Roman"/>
          <w:sz w:val="24"/>
          <w:szCs w:val="24"/>
        </w:rPr>
      </w:pPr>
      <w:r>
        <w:rPr>
          <w:rFonts w:ascii="Times New Roman" w:hAnsi="Times New Roman"/>
          <w:sz w:val="24"/>
          <w:szCs w:val="24"/>
        </w:rPr>
        <w:t>Įstatymų projektų nuostatos Žmogaus teisių ir pagrindinių laisvių apsaugos konvencijos nuostatoms ir Europos Sąjungos dokumentams neprieštarauja.</w:t>
      </w:r>
    </w:p>
    <w:p w14:paraId="195B6106" w14:textId="77777777" w:rsidR="00925D64" w:rsidRDefault="00925D64">
      <w:pPr>
        <w:pStyle w:val="Standard"/>
        <w:tabs>
          <w:tab w:val="left" w:pos="1134"/>
        </w:tabs>
        <w:spacing w:after="0" w:line="240" w:lineRule="auto"/>
        <w:ind w:firstLine="851"/>
        <w:jc w:val="both"/>
        <w:rPr>
          <w:rFonts w:ascii="Times New Roman" w:hAnsi="Times New Roman"/>
          <w:sz w:val="24"/>
          <w:szCs w:val="24"/>
        </w:rPr>
      </w:pPr>
    </w:p>
    <w:p w14:paraId="61A5D169" w14:textId="77777777" w:rsidR="00925D64" w:rsidRDefault="00C94D63">
      <w:pPr>
        <w:pStyle w:val="Standard"/>
        <w:tabs>
          <w:tab w:val="left" w:pos="1134"/>
        </w:tabs>
        <w:spacing w:after="0" w:line="240" w:lineRule="auto"/>
        <w:ind w:firstLine="851"/>
        <w:jc w:val="both"/>
        <w:rPr>
          <w:rFonts w:ascii="Times New Roman" w:hAnsi="Times New Roman"/>
          <w:b/>
          <w:bCs/>
          <w:sz w:val="24"/>
          <w:szCs w:val="24"/>
          <w:lang w:eastAsia="en-GB"/>
        </w:rPr>
      </w:pPr>
      <w:r>
        <w:rPr>
          <w:rFonts w:ascii="Times New Roman" w:hAnsi="Times New Roman"/>
          <w:b/>
          <w:bCs/>
          <w:sz w:val="24"/>
          <w:szCs w:val="24"/>
        </w:rPr>
        <w:t xml:space="preserve">11. </w:t>
      </w:r>
      <w:r>
        <w:rPr>
          <w:rFonts w:ascii="Times New Roman" w:hAnsi="Times New Roman"/>
          <w:b/>
          <w:bCs/>
          <w:sz w:val="24"/>
          <w:szCs w:val="24"/>
          <w:lang w:eastAsia="en-GB"/>
        </w:rPr>
        <w:t>Jeigu įstatymams įgyvendinti reikia įgyvendinamųjų teisės aktų, – kas ir kada juos turėtų priimti</w:t>
      </w:r>
    </w:p>
    <w:p w14:paraId="315F85C2"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Priėmus Įstatymus reikės keisti </w:t>
      </w:r>
      <w:r>
        <w:rPr>
          <w:rFonts w:ascii="Times New Roman" w:hAnsi="Times New Roman"/>
          <w:sz w:val="24"/>
          <w:szCs w:val="24"/>
          <w:shd w:val="clear" w:color="auto" w:fill="FFFFFF"/>
        </w:rPr>
        <w:t xml:space="preserve">Kelių transporto priemonių registro nuostatus, patvirtintus Lietuvos Respublikos Vyriausybės 2005 m. lapkričio 28 d. nutarimu Nr. 1286 „Dėl Kelių transporto priemonių registro nuostatų patvirtinimo“. </w:t>
      </w:r>
      <w:r w:rsidR="00005514">
        <w:rPr>
          <w:rFonts w:ascii="Times New Roman" w:hAnsi="Times New Roman"/>
          <w:sz w:val="24"/>
          <w:szCs w:val="24"/>
          <w:shd w:val="clear" w:color="auto" w:fill="FFFFFF"/>
        </w:rPr>
        <w:t>T</w:t>
      </w:r>
      <w:r>
        <w:rPr>
          <w:rFonts w:ascii="Times New Roman" w:hAnsi="Times New Roman"/>
          <w:sz w:val="24"/>
          <w:szCs w:val="24"/>
          <w:shd w:val="clear" w:color="auto" w:fill="FFFFFF"/>
        </w:rPr>
        <w:t xml:space="preserve">urės būti priimtas Lietuvos Respublikos </w:t>
      </w:r>
      <w:r>
        <w:rPr>
          <w:rFonts w:ascii="Times New Roman" w:hAnsi="Times New Roman"/>
          <w:sz w:val="24"/>
          <w:szCs w:val="24"/>
        </w:rPr>
        <w:t xml:space="preserve">Vyriausybės nutarimas dėl įgaliojimų suteikimo (numatoma, kad įgaliota institucija bus VRM). Atitinkamai Lietuvos Respublikos Vyriausybės įgaliota institucija turės patvirtinti </w:t>
      </w:r>
      <w:r>
        <w:rPr>
          <w:rFonts w:ascii="Times New Roman" w:hAnsi="Times New Roman"/>
          <w:bCs/>
          <w:sz w:val="24"/>
          <w:szCs w:val="24"/>
        </w:rPr>
        <w:t>ir Deklaravimo</w:t>
      </w:r>
      <w:r>
        <w:rPr>
          <w:rFonts w:ascii="Times New Roman" w:hAnsi="Times New Roman"/>
          <w:bCs/>
          <w:sz w:val="24"/>
          <w:szCs w:val="24"/>
          <w:lang w:eastAsia="en-GB"/>
        </w:rPr>
        <w:t xml:space="preserve"> apie Lietuvos Respublikoje ir užsienio valstybėje turimą, įgytą, parduotą ar kitu pagrindu perleistą nuosavybės teisę į motorinę transporto priemonę ir (ar) priekabą, </w:t>
      </w:r>
      <w:r>
        <w:rPr>
          <w:rFonts w:ascii="Times New Roman" w:hAnsi="Times New Roman"/>
          <w:sz w:val="24"/>
          <w:szCs w:val="24"/>
          <w:lang w:eastAsia="lt-LT"/>
        </w:rPr>
        <w:t xml:space="preserve">į Lietuvos Respubliką įvežtą ir parduodamą motorinę </w:t>
      </w:r>
      <w:r>
        <w:rPr>
          <w:rFonts w:ascii="Times New Roman" w:hAnsi="Times New Roman"/>
          <w:sz w:val="24"/>
          <w:szCs w:val="24"/>
          <w:lang w:eastAsia="lt-LT"/>
        </w:rPr>
        <w:lastRenderedPageBreak/>
        <w:t>transporto priemonę ir (ar) priekabą tvarkos aprašą.</w:t>
      </w:r>
      <w:r>
        <w:rPr>
          <w:rFonts w:ascii="Times New Roman" w:hAnsi="Times New Roman"/>
          <w:sz w:val="24"/>
          <w:szCs w:val="24"/>
        </w:rPr>
        <w:t xml:space="preserve"> Taip pat turės būti parengti ir patvirtinti TPSAS</w:t>
      </w:r>
      <w:r>
        <w:rPr>
          <w:rFonts w:ascii="Times New Roman" w:hAnsi="Times New Roman"/>
          <w:bCs/>
          <w:sz w:val="24"/>
          <w:szCs w:val="24"/>
        </w:rPr>
        <w:t xml:space="preserve"> nuostatai.</w:t>
      </w:r>
    </w:p>
    <w:p w14:paraId="389B2A6F" w14:textId="77777777" w:rsidR="00925D64" w:rsidRDefault="00925D64">
      <w:pPr>
        <w:pStyle w:val="Standard"/>
        <w:tabs>
          <w:tab w:val="left" w:pos="1134"/>
        </w:tabs>
        <w:spacing w:after="0" w:line="240" w:lineRule="auto"/>
        <w:ind w:firstLine="851"/>
        <w:jc w:val="both"/>
        <w:rPr>
          <w:rFonts w:ascii="Times New Roman" w:hAnsi="Times New Roman"/>
          <w:sz w:val="24"/>
          <w:szCs w:val="24"/>
        </w:rPr>
      </w:pPr>
    </w:p>
    <w:p w14:paraId="33B7BEB0" w14:textId="77777777" w:rsidR="00925D64"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b/>
          <w:bCs/>
          <w:sz w:val="24"/>
          <w:szCs w:val="24"/>
        </w:rPr>
        <w:t xml:space="preserve">12. </w:t>
      </w:r>
      <w:r>
        <w:rPr>
          <w:rFonts w:ascii="Times New Roman" w:hAnsi="Times New Roman"/>
          <w:b/>
          <w:sz w:val="24"/>
          <w:szCs w:val="24"/>
          <w:lang w:eastAsia="lt-LT"/>
        </w:rPr>
        <w:t>Kiek valstybės, savivaldybių biudžetų ir kitų valstybės įsteigtų fondų lėšų prireiks įstatymams įgyvendinti, ar bus galima sutaupyti (pateikiami prognozuojami rodikliai einamaisiais ir artimiausiais 3 biudžetiniais metais)</w:t>
      </w:r>
    </w:p>
    <w:p w14:paraId="2B1B4207" w14:textId="77777777" w:rsidR="00291906" w:rsidRDefault="00C94D63">
      <w:pPr>
        <w:pStyle w:val="Standard"/>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xml:space="preserve">Siekiant administracinių nusižengimų protokolus ir administracinius nurodymus už ANK 431 straipsnio 1 ir 2 dalyse numatytus nusižengimus surašyti automatiškai, Administracinių nusižengimų registrui tobulinti 2021 m. papildomai reikės apie 200 000 eurų. </w:t>
      </w:r>
    </w:p>
    <w:p w14:paraId="4FC0C316" w14:textId="77777777" w:rsidR="00925D64" w:rsidRPr="00291906" w:rsidRDefault="00C94D63">
      <w:pPr>
        <w:pStyle w:val="Standard"/>
        <w:tabs>
          <w:tab w:val="left" w:pos="1134"/>
        </w:tabs>
        <w:spacing w:after="0" w:line="240" w:lineRule="auto"/>
        <w:ind w:firstLine="851"/>
        <w:jc w:val="both"/>
        <w:rPr>
          <w:rFonts w:ascii="Times New Roman" w:hAnsi="Times New Roman"/>
          <w:sz w:val="24"/>
          <w:szCs w:val="24"/>
        </w:rPr>
      </w:pPr>
      <w:r w:rsidRPr="004A0C74">
        <w:rPr>
          <w:rFonts w:ascii="Times New Roman" w:hAnsi="Times New Roman"/>
          <w:sz w:val="24"/>
          <w:szCs w:val="24"/>
        </w:rPr>
        <w:t xml:space="preserve">SEAKĮ projektu siūlomų priemonių vykdymo kontrolei užtikrinti, Policijos departamento prie VRM duomenimis, reikės įsteigti 20 policijos pareigūnų etatų, t. y. kiekvienais metais šiems pareigūnams išlaikyti reikės 628 298 eurų </w:t>
      </w:r>
      <w:r w:rsidRPr="004A0C74">
        <w:rPr>
          <w:rFonts w:ascii="Times New Roman;serif" w:hAnsi="Times New Roman;serif"/>
          <w:sz w:val="24"/>
          <w:szCs w:val="24"/>
        </w:rPr>
        <w:t>(vieno pareigūno pareigybės išlaikymui reikalinga 31 414,9 euro)</w:t>
      </w:r>
      <w:r w:rsidRPr="004A0C74">
        <w:rPr>
          <w:rFonts w:ascii="Times New Roman" w:hAnsi="Times New Roman"/>
          <w:sz w:val="24"/>
          <w:szCs w:val="24"/>
        </w:rPr>
        <w:t xml:space="preserve">. </w:t>
      </w:r>
      <w:r w:rsidRPr="004A0C74">
        <w:rPr>
          <w:rFonts w:ascii="Times New Roman;serif" w:hAnsi="Times New Roman;serif"/>
          <w:color w:val="000000"/>
          <w:sz w:val="24"/>
          <w:szCs w:val="24"/>
        </w:rPr>
        <w:t>Papildomų policijos pareigūnų etatų skaičius paskaičiuotas įvertinus numatomą galimų pažeidimų skaičių, tyrimo sudėtingumą. Be to, atsiradus naujai funkcijai, policijos pareigūnai ne tik atliks tyrimus pagal gautus pranešimus iš VĮ „Regitra“ apie n</w:t>
      </w:r>
      <w:r w:rsidR="00291906" w:rsidRPr="004A0C74">
        <w:rPr>
          <w:rFonts w:ascii="Times New Roman;serif" w:hAnsi="Times New Roman;serif"/>
          <w:color w:val="000000"/>
          <w:sz w:val="24"/>
          <w:szCs w:val="24"/>
        </w:rPr>
        <w:t xml:space="preserve">edeklaruotus sandorius, tačiau </w:t>
      </w:r>
      <w:r w:rsidRPr="004A0C74">
        <w:rPr>
          <w:rFonts w:ascii="Times New Roman;serif" w:hAnsi="Times New Roman;serif"/>
          <w:color w:val="000000"/>
          <w:sz w:val="24"/>
          <w:szCs w:val="24"/>
        </w:rPr>
        <w:t>siekdami nustatyti atvejus, kai nedeklaruojama</w:t>
      </w:r>
      <w:r w:rsidRPr="004A0C74">
        <w:rPr>
          <w:rFonts w:ascii="Calibri;serif" w:hAnsi="Calibri;serif"/>
          <w:color w:val="000000"/>
          <w:szCs w:val="24"/>
        </w:rPr>
        <w:t xml:space="preserve"> </w:t>
      </w:r>
      <w:r w:rsidRPr="004A0C74">
        <w:rPr>
          <w:rFonts w:ascii="Times New Roman;serif" w:hAnsi="Times New Roman;serif"/>
          <w:color w:val="000000"/>
          <w:sz w:val="24"/>
          <w:szCs w:val="24"/>
        </w:rPr>
        <w:t>apie į Lietuvos Respubliką įvežtą ir parduodamą transporto priemonę, organizuos ir prevencines kontrolės priemones automobilių prekybos vietose bei</w:t>
      </w:r>
      <w:r w:rsidRPr="004A0C74">
        <w:rPr>
          <w:rFonts w:ascii="Calibri;serif" w:hAnsi="Calibri;serif"/>
          <w:color w:val="000000"/>
          <w:szCs w:val="24"/>
        </w:rPr>
        <w:t xml:space="preserve"> </w:t>
      </w:r>
      <w:r w:rsidRPr="004A0C74">
        <w:rPr>
          <w:rFonts w:ascii="Times New Roman;serif" w:hAnsi="Times New Roman;serif"/>
          <w:color w:val="000000"/>
          <w:sz w:val="24"/>
          <w:szCs w:val="24"/>
        </w:rPr>
        <w:t>keliuose.</w:t>
      </w:r>
      <w:r w:rsidRPr="00291906">
        <w:rPr>
          <w:rFonts w:ascii="Times New Roman" w:hAnsi="Times New Roman"/>
          <w:sz w:val="24"/>
          <w:szCs w:val="24"/>
        </w:rPr>
        <w:t xml:space="preserve"> </w:t>
      </w:r>
    </w:p>
    <w:p w14:paraId="3108F3D7" w14:textId="77777777" w:rsidR="00925D64" w:rsidRDefault="00925D64">
      <w:pPr>
        <w:pStyle w:val="Standard"/>
        <w:tabs>
          <w:tab w:val="left" w:pos="1134"/>
        </w:tabs>
        <w:spacing w:after="0" w:line="240" w:lineRule="auto"/>
        <w:ind w:firstLine="851"/>
        <w:jc w:val="both"/>
        <w:rPr>
          <w:rFonts w:ascii="Times New Roman" w:hAnsi="Times New Roman"/>
          <w:sz w:val="24"/>
          <w:szCs w:val="24"/>
        </w:rPr>
      </w:pPr>
    </w:p>
    <w:p w14:paraId="3F7F5892" w14:textId="77777777" w:rsidR="00925D64" w:rsidRDefault="00C94D63">
      <w:pPr>
        <w:pStyle w:val="Antrats"/>
        <w:tabs>
          <w:tab w:val="left" w:pos="1134"/>
        </w:tabs>
        <w:spacing w:after="0" w:line="240" w:lineRule="auto"/>
        <w:ind w:firstLine="851"/>
        <w:jc w:val="both"/>
        <w:rPr>
          <w:rFonts w:ascii="Times New Roman" w:hAnsi="Times New Roman"/>
          <w:sz w:val="24"/>
          <w:szCs w:val="24"/>
        </w:rPr>
      </w:pPr>
      <w:r>
        <w:rPr>
          <w:rFonts w:ascii="Times New Roman" w:hAnsi="Times New Roman"/>
          <w:b/>
          <w:bCs/>
          <w:sz w:val="24"/>
          <w:szCs w:val="24"/>
        </w:rPr>
        <w:t>13. Rengiant į</w:t>
      </w:r>
      <w:r>
        <w:rPr>
          <w:rFonts w:ascii="Times New Roman" w:hAnsi="Times New Roman"/>
          <w:b/>
          <w:bCs/>
          <w:sz w:val="24"/>
          <w:szCs w:val="24"/>
          <w:lang w:eastAsia="en-GB"/>
        </w:rPr>
        <w:t>statymų projektus gauti specialistų vertinimai ir išvados</w:t>
      </w:r>
    </w:p>
    <w:p w14:paraId="1375AE3C" w14:textId="77777777" w:rsidR="00925D64" w:rsidRDefault="00C94D63">
      <w:pPr>
        <w:pStyle w:val="Antrats"/>
        <w:spacing w:after="0" w:line="240" w:lineRule="auto"/>
        <w:ind w:firstLine="851"/>
        <w:jc w:val="both"/>
        <w:rPr>
          <w:rFonts w:ascii="Times New Roman" w:hAnsi="Times New Roman"/>
          <w:sz w:val="24"/>
          <w:szCs w:val="24"/>
        </w:rPr>
      </w:pPr>
      <w:r>
        <w:rPr>
          <w:rFonts w:ascii="Times New Roman" w:hAnsi="Times New Roman"/>
          <w:sz w:val="24"/>
          <w:szCs w:val="24"/>
        </w:rPr>
        <w:t>Įstatymų projektų rengimo metu specialistų vertinimų ir išvadų negauta.</w:t>
      </w:r>
    </w:p>
    <w:p w14:paraId="24A9FB6E" w14:textId="77777777" w:rsidR="00925D64" w:rsidRDefault="00925D64">
      <w:pPr>
        <w:pStyle w:val="Antrats"/>
        <w:tabs>
          <w:tab w:val="left" w:pos="1134"/>
        </w:tabs>
        <w:spacing w:after="0" w:line="240" w:lineRule="auto"/>
        <w:ind w:firstLine="851"/>
        <w:jc w:val="both"/>
        <w:rPr>
          <w:rFonts w:ascii="Times New Roman" w:hAnsi="Times New Roman"/>
          <w:sz w:val="24"/>
          <w:szCs w:val="24"/>
        </w:rPr>
      </w:pPr>
    </w:p>
    <w:p w14:paraId="281F7751" w14:textId="77777777" w:rsidR="00925D64" w:rsidRDefault="00C94D63">
      <w:pPr>
        <w:pStyle w:val="Antrats"/>
        <w:tabs>
          <w:tab w:val="left" w:pos="1134"/>
        </w:tabs>
        <w:spacing w:after="0" w:line="240" w:lineRule="auto"/>
        <w:ind w:firstLine="851"/>
        <w:jc w:val="both"/>
        <w:rPr>
          <w:rFonts w:ascii="Times New Roman" w:hAnsi="Times New Roman"/>
          <w:sz w:val="24"/>
          <w:szCs w:val="24"/>
        </w:rPr>
      </w:pPr>
      <w:r>
        <w:rPr>
          <w:rFonts w:ascii="Times New Roman" w:hAnsi="Times New Roman"/>
          <w:b/>
          <w:bCs/>
          <w:sz w:val="24"/>
          <w:szCs w:val="24"/>
        </w:rPr>
        <w:t xml:space="preserve">14. </w:t>
      </w:r>
      <w:r>
        <w:rPr>
          <w:rStyle w:val="FontStyle13"/>
          <w:rFonts w:eastAsia="Calibri"/>
          <w:bCs/>
          <w:sz w:val="24"/>
          <w:szCs w:val="24"/>
        </w:rPr>
        <w:t xml:space="preserve">Reikšminiai žodžiai, kurių reikia šiems projektams įtraukti į kompiuterinę paieškos sistemą, įskaitant Europos žodyno </w:t>
      </w:r>
      <w:bookmarkStart w:id="13" w:name="__DdeLink__5286_1638094449"/>
      <w:r>
        <w:rPr>
          <w:rStyle w:val="FontStyle13"/>
          <w:rFonts w:eastAsia="Calibri"/>
          <w:bCs/>
          <w:i/>
          <w:sz w:val="24"/>
          <w:szCs w:val="24"/>
        </w:rPr>
        <w:t xml:space="preserve">Eurovoc </w:t>
      </w:r>
      <w:bookmarkEnd w:id="13"/>
      <w:r>
        <w:rPr>
          <w:rStyle w:val="FontStyle13"/>
          <w:rFonts w:eastAsia="Calibri"/>
          <w:bCs/>
          <w:sz w:val="24"/>
          <w:szCs w:val="24"/>
        </w:rPr>
        <w:t>terminus, temas bei sritis</w:t>
      </w:r>
    </w:p>
    <w:p w14:paraId="5A31156C" w14:textId="77777777" w:rsidR="00925D64" w:rsidRDefault="00C94D63">
      <w:pPr>
        <w:pStyle w:val="Betarp"/>
        <w:tabs>
          <w:tab w:val="left" w:pos="1134"/>
        </w:tabs>
        <w:ind w:firstLine="851"/>
        <w:jc w:val="both"/>
        <w:rPr>
          <w:rFonts w:ascii="Times New Roman" w:hAnsi="Times New Roman"/>
          <w:sz w:val="24"/>
          <w:szCs w:val="24"/>
          <w:lang w:val="lt-LT"/>
        </w:rPr>
      </w:pPr>
      <w:r>
        <w:rPr>
          <w:rFonts w:ascii="Times New Roman" w:hAnsi="Times New Roman"/>
          <w:sz w:val="24"/>
          <w:szCs w:val="24"/>
          <w:lang w:val="lt-LT"/>
        </w:rPr>
        <w:t>„Saugus eismas“, „transporto priemonė“, „transporto priemonės registracija“.</w:t>
      </w:r>
    </w:p>
    <w:p w14:paraId="280FB683" w14:textId="77777777" w:rsidR="00925D64" w:rsidRDefault="00925D64">
      <w:pPr>
        <w:pStyle w:val="Betarp"/>
        <w:tabs>
          <w:tab w:val="left" w:pos="1134"/>
        </w:tabs>
        <w:ind w:firstLine="851"/>
        <w:jc w:val="both"/>
        <w:rPr>
          <w:rFonts w:ascii="Times New Roman" w:hAnsi="Times New Roman"/>
          <w:b/>
          <w:bCs/>
          <w:sz w:val="24"/>
          <w:szCs w:val="24"/>
          <w:lang w:val="lt-LT"/>
        </w:rPr>
      </w:pPr>
    </w:p>
    <w:p w14:paraId="7DD9971A" w14:textId="77777777" w:rsidR="00925D64" w:rsidRDefault="00C94D63">
      <w:pPr>
        <w:pStyle w:val="Betarp"/>
        <w:tabs>
          <w:tab w:val="left" w:pos="1134"/>
        </w:tabs>
        <w:ind w:firstLine="851"/>
        <w:jc w:val="both"/>
        <w:rPr>
          <w:rFonts w:ascii="Times New Roman" w:hAnsi="Times New Roman"/>
          <w:b/>
          <w:bCs/>
          <w:sz w:val="24"/>
          <w:szCs w:val="24"/>
          <w:lang w:val="lt-LT" w:eastAsia="en-GB"/>
        </w:rPr>
      </w:pPr>
      <w:r>
        <w:rPr>
          <w:rFonts w:ascii="Times New Roman" w:hAnsi="Times New Roman"/>
          <w:b/>
          <w:bCs/>
          <w:sz w:val="24"/>
          <w:szCs w:val="24"/>
          <w:lang w:val="lt-LT"/>
        </w:rPr>
        <w:t xml:space="preserve">15. </w:t>
      </w:r>
      <w:r>
        <w:rPr>
          <w:rFonts w:ascii="Times New Roman" w:hAnsi="Times New Roman"/>
          <w:b/>
          <w:bCs/>
          <w:sz w:val="24"/>
          <w:szCs w:val="24"/>
          <w:lang w:val="lt-LT" w:eastAsia="en-GB"/>
        </w:rPr>
        <w:t>Kiti, iniciatorių nuomone, reikalingi pagrindimai ir paaiškinimai</w:t>
      </w:r>
    </w:p>
    <w:p w14:paraId="1F86C6A5" w14:textId="77777777" w:rsidR="00925D64" w:rsidRDefault="00C94D63">
      <w:pPr>
        <w:pStyle w:val="Betarp"/>
        <w:tabs>
          <w:tab w:val="left" w:pos="1134"/>
        </w:tabs>
        <w:ind w:firstLine="851"/>
        <w:jc w:val="both"/>
        <w:rPr>
          <w:rFonts w:ascii="Times New Roman" w:hAnsi="Times New Roman"/>
          <w:sz w:val="24"/>
          <w:szCs w:val="24"/>
          <w:lang w:val="lt-LT"/>
        </w:rPr>
      </w:pPr>
      <w:r>
        <w:rPr>
          <w:rFonts w:ascii="Times New Roman" w:hAnsi="Times New Roman"/>
          <w:bCs/>
          <w:sz w:val="24"/>
          <w:szCs w:val="24"/>
          <w:lang w:val="lt-LT" w:eastAsia="en-GB"/>
        </w:rPr>
        <w:t>Nėra.</w:t>
      </w:r>
    </w:p>
    <w:p w14:paraId="107F67B5" w14:textId="77777777" w:rsidR="00925D64" w:rsidRDefault="00C94D63">
      <w:pPr>
        <w:pStyle w:val="Standard"/>
        <w:tabs>
          <w:tab w:val="left" w:pos="1134"/>
        </w:tabs>
        <w:spacing w:after="0" w:line="240" w:lineRule="auto"/>
        <w:jc w:val="center"/>
      </w:pPr>
      <w:r>
        <w:rPr>
          <w:rFonts w:ascii="Times New Roman" w:hAnsi="Times New Roman"/>
          <w:sz w:val="24"/>
          <w:szCs w:val="24"/>
        </w:rPr>
        <w:t>____________</w:t>
      </w:r>
    </w:p>
    <w:sectPr w:rsidR="00925D64">
      <w:headerReference w:type="default" r:id="rId17"/>
      <w:pgSz w:w="11906" w:h="16838"/>
      <w:pgMar w:top="1134" w:right="566" w:bottom="1134" w:left="1530" w:header="567" w:footer="0" w:gutter="0"/>
      <w:cols w:space="1296"/>
      <w:formProt w:val="0"/>
      <w:titlePg/>
      <w:docGrid w:linePitch="299"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15467" w16cid:durableId="21879720"/>
  <w16cid:commentId w16cid:paraId="38B9546F" w16cid:durableId="218797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3C98C" w14:textId="77777777" w:rsidR="0033316B" w:rsidRDefault="0033316B">
      <w:r>
        <w:separator/>
      </w:r>
    </w:p>
  </w:endnote>
  <w:endnote w:type="continuationSeparator" w:id="0">
    <w:p w14:paraId="007ADC1B" w14:textId="77777777" w:rsidR="0033316B" w:rsidRDefault="0033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mn-e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TimesLT">
    <w:altName w:val="Times New Roman"/>
    <w:charset w:val="BA"/>
    <w:family w:val="roman"/>
    <w:pitch w:val="variable"/>
  </w:font>
  <w:font w:name="Helvetica">
    <w:panose1 w:val="020B0604020202020204"/>
    <w:charset w:val="00"/>
    <w:family w:val="swiss"/>
    <w:notTrueType/>
    <w:pitch w:val="variable"/>
    <w:sig w:usb0="00000003" w:usb1="00000000" w:usb2="00000000" w:usb3="00000000" w:csb0="00000001" w:csb1="00000000"/>
  </w:font>
  <w:font w:name="Times New Roman;serif">
    <w:altName w:val="Times New Roman"/>
    <w:panose1 w:val="00000000000000000000"/>
    <w:charset w:val="00"/>
    <w:family w:val="roman"/>
    <w:notTrueType/>
    <w:pitch w:val="default"/>
  </w:font>
  <w:font w:name="Calibri;serif">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72631" w14:textId="77777777" w:rsidR="0033316B" w:rsidRDefault="0033316B">
      <w:r>
        <w:separator/>
      </w:r>
    </w:p>
  </w:footnote>
  <w:footnote w:type="continuationSeparator" w:id="0">
    <w:p w14:paraId="21BFE708" w14:textId="77777777" w:rsidR="0033316B" w:rsidRDefault="00333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700AE" w14:textId="77777777" w:rsidR="00925D64" w:rsidRDefault="00C94D63">
    <w:pPr>
      <w:pStyle w:val="Antrats"/>
      <w:jc w:val="center"/>
    </w:pPr>
    <w:r>
      <w:rPr>
        <w:rFonts w:ascii="Times New Roman" w:hAnsi="Times New Roman"/>
        <w:sz w:val="24"/>
      </w:rPr>
      <w:fldChar w:fldCharType="begin"/>
    </w:r>
    <w:r>
      <w:instrText>PAGE</w:instrText>
    </w:r>
    <w:r>
      <w:fldChar w:fldCharType="separate"/>
    </w:r>
    <w:r w:rsidR="00A11888">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E4A77"/>
    <w:multiLevelType w:val="multilevel"/>
    <w:tmpl w:val="0BD652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58249D8"/>
    <w:multiLevelType w:val="multilevel"/>
    <w:tmpl w:val="788E7F3C"/>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3AC3394"/>
    <w:multiLevelType w:val="multilevel"/>
    <w:tmpl w:val="FECEC2D8"/>
    <w:lvl w:ilvl="0">
      <w:start w:val="3"/>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739B52D8"/>
    <w:multiLevelType w:val="multilevel"/>
    <w:tmpl w:val="DF2C4028"/>
    <w:lvl w:ilvl="0">
      <w:start w:val="1"/>
      <w:numFmt w:val="decimal"/>
      <w:lvlText w:val="%1."/>
      <w:lvlJc w:val="left"/>
      <w:pPr>
        <w:ind w:left="1211" w:hanging="360"/>
      </w:pPr>
      <w:rPr>
        <w:rFonts w:ascii="Times New Roman" w:hAnsi="Times New Roman"/>
        <w:b/>
        <w:sz w:val="24"/>
      </w:rPr>
    </w:lvl>
    <w:lvl w:ilvl="1">
      <w:start w:val="1"/>
      <w:numFmt w:val="lowerLetter"/>
      <w:lvlText w:val="%2."/>
      <w:lvlJc w:val="left"/>
      <w:pPr>
        <w:ind w:left="1931" w:hanging="360"/>
      </w:pPr>
      <w:rPr>
        <w:rFonts w:cs="Times New Roman"/>
        <w:b/>
        <w:sz w:val="24"/>
      </w:rPr>
    </w:lvl>
    <w:lvl w:ilvl="2">
      <w:start w:val="1"/>
      <w:numFmt w:val="lowerRoman"/>
      <w:lvlText w:val="%3."/>
      <w:lvlJc w:val="right"/>
      <w:pPr>
        <w:ind w:left="2651" w:hanging="180"/>
      </w:pPr>
      <w:rPr>
        <w:rFonts w:cs="Times New Roman"/>
        <w:b/>
        <w:sz w:val="24"/>
      </w:rPr>
    </w:lvl>
    <w:lvl w:ilvl="3">
      <w:start w:val="1"/>
      <w:numFmt w:val="decimal"/>
      <w:lvlText w:val="%4."/>
      <w:lvlJc w:val="left"/>
      <w:pPr>
        <w:ind w:left="3371" w:hanging="360"/>
      </w:pPr>
      <w:rPr>
        <w:rFonts w:cs="Times New Roman"/>
        <w:b/>
        <w:sz w:val="24"/>
      </w:rPr>
    </w:lvl>
    <w:lvl w:ilvl="4">
      <w:start w:val="1"/>
      <w:numFmt w:val="lowerLetter"/>
      <w:lvlText w:val="%5."/>
      <w:lvlJc w:val="left"/>
      <w:pPr>
        <w:ind w:left="4091" w:hanging="360"/>
      </w:pPr>
      <w:rPr>
        <w:rFonts w:cs="Times New Roman"/>
        <w:b/>
        <w:sz w:val="24"/>
      </w:rPr>
    </w:lvl>
    <w:lvl w:ilvl="5">
      <w:start w:val="1"/>
      <w:numFmt w:val="lowerRoman"/>
      <w:lvlText w:val="%6."/>
      <w:lvlJc w:val="right"/>
      <w:pPr>
        <w:ind w:left="4811" w:hanging="180"/>
      </w:pPr>
      <w:rPr>
        <w:rFonts w:cs="Times New Roman"/>
        <w:b/>
        <w:sz w:val="24"/>
      </w:rPr>
    </w:lvl>
    <w:lvl w:ilvl="6">
      <w:start w:val="1"/>
      <w:numFmt w:val="decimal"/>
      <w:lvlText w:val="%7."/>
      <w:lvlJc w:val="left"/>
      <w:pPr>
        <w:ind w:left="5531" w:hanging="360"/>
      </w:pPr>
      <w:rPr>
        <w:rFonts w:cs="Times New Roman"/>
        <w:b/>
        <w:sz w:val="24"/>
      </w:rPr>
    </w:lvl>
    <w:lvl w:ilvl="7">
      <w:start w:val="1"/>
      <w:numFmt w:val="lowerLetter"/>
      <w:lvlText w:val="%8."/>
      <w:lvlJc w:val="left"/>
      <w:pPr>
        <w:ind w:left="6251" w:hanging="360"/>
      </w:pPr>
      <w:rPr>
        <w:rFonts w:cs="Times New Roman"/>
        <w:b/>
        <w:sz w:val="24"/>
      </w:rPr>
    </w:lvl>
    <w:lvl w:ilvl="8">
      <w:start w:val="1"/>
      <w:numFmt w:val="lowerRoman"/>
      <w:lvlText w:val="%9."/>
      <w:lvlJc w:val="right"/>
      <w:pPr>
        <w:ind w:left="6971" w:hanging="180"/>
      </w:pPr>
      <w:rPr>
        <w:rFonts w:cs="Times New Roman"/>
        <w:b/>
        <w:sz w:val="24"/>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64"/>
    <w:rsid w:val="00005514"/>
    <w:rsid w:val="00076FF4"/>
    <w:rsid w:val="000A71E4"/>
    <w:rsid w:val="000E7CD7"/>
    <w:rsid w:val="00106A0B"/>
    <w:rsid w:val="00141C9A"/>
    <w:rsid w:val="0014699B"/>
    <w:rsid w:val="00177F40"/>
    <w:rsid w:val="00195C70"/>
    <w:rsid w:val="00244E40"/>
    <w:rsid w:val="002555DD"/>
    <w:rsid w:val="002679DF"/>
    <w:rsid w:val="00291906"/>
    <w:rsid w:val="002D15A9"/>
    <w:rsid w:val="00314EEA"/>
    <w:rsid w:val="0033316B"/>
    <w:rsid w:val="003430E5"/>
    <w:rsid w:val="003D1845"/>
    <w:rsid w:val="0045091D"/>
    <w:rsid w:val="004A0C74"/>
    <w:rsid w:val="004B3654"/>
    <w:rsid w:val="0053175E"/>
    <w:rsid w:val="00535A4E"/>
    <w:rsid w:val="005E5993"/>
    <w:rsid w:val="00651875"/>
    <w:rsid w:val="006A5A4D"/>
    <w:rsid w:val="006B5E97"/>
    <w:rsid w:val="006F3F5B"/>
    <w:rsid w:val="007746C3"/>
    <w:rsid w:val="00777ADE"/>
    <w:rsid w:val="00800A8C"/>
    <w:rsid w:val="00875357"/>
    <w:rsid w:val="008F1769"/>
    <w:rsid w:val="00925D64"/>
    <w:rsid w:val="009267C0"/>
    <w:rsid w:val="009354ED"/>
    <w:rsid w:val="00997FBC"/>
    <w:rsid w:val="009E57A4"/>
    <w:rsid w:val="00A11888"/>
    <w:rsid w:val="00A21FB5"/>
    <w:rsid w:val="00AE36E9"/>
    <w:rsid w:val="00B36205"/>
    <w:rsid w:val="00B4494C"/>
    <w:rsid w:val="00BE5A7B"/>
    <w:rsid w:val="00C14EBC"/>
    <w:rsid w:val="00C26CC8"/>
    <w:rsid w:val="00C94D63"/>
    <w:rsid w:val="00CB0AA8"/>
    <w:rsid w:val="00CD2B30"/>
    <w:rsid w:val="00CD3AE6"/>
    <w:rsid w:val="00D64CDE"/>
    <w:rsid w:val="00D95D14"/>
    <w:rsid w:val="00DB6AF7"/>
    <w:rsid w:val="00DB6F4E"/>
    <w:rsid w:val="00E15613"/>
    <w:rsid w:val="00E1620D"/>
    <w:rsid w:val="00E335C7"/>
    <w:rsid w:val="00F27921"/>
    <w:rsid w:val="00F33FDC"/>
    <w:rsid w:val="00F42987"/>
    <w:rsid w:val="00F441AC"/>
    <w:rsid w:val="00F65EA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9849"/>
  <w15:docId w15:val="{930783BD-B0FF-4DFC-8018-02D66259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lang w:val="lt-LT"/>
    </w:rPr>
  </w:style>
  <w:style w:type="paragraph" w:styleId="Antrat1">
    <w:name w:val="heading 1"/>
    <w:basedOn w:val="Heading"/>
    <w:qFormat/>
    <w:pPr>
      <w:spacing w:before="280" w:after="280"/>
      <w:outlineLvl w:val="0"/>
    </w:pPr>
    <w:rPr>
      <w:rFonts w:ascii="Times New Roman" w:eastAsia="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rPr>
      <w:rFonts w:ascii="Times New Roman" w:eastAsia="Times New Roman" w:hAnsi="Times New Roman" w:cs="Times New Roman"/>
      <w:b/>
      <w:sz w:val="48"/>
    </w:rPr>
  </w:style>
  <w:style w:type="character" w:styleId="Grietas">
    <w:name w:val="Strong"/>
    <w:uiPriority w:val="22"/>
    <w:qFormat/>
    <w:rPr>
      <w:rFonts w:cs="Times New Roman"/>
      <w:b/>
    </w:rPr>
  </w:style>
  <w:style w:type="character" w:customStyle="1" w:styleId="BalloonTextChar">
    <w:name w:val="Balloon Text Char"/>
    <w:qFormat/>
    <w:rPr>
      <w:rFonts w:ascii="Tahoma" w:eastAsia="Tahoma" w:hAnsi="Tahoma" w:cs="Tahoma"/>
      <w:sz w:val="16"/>
      <w:lang w:val="ru-RU" w:eastAsia="en-US"/>
    </w:rPr>
  </w:style>
  <w:style w:type="character" w:customStyle="1" w:styleId="Internetlink">
    <w:name w:val="Internet link"/>
    <w:qFormat/>
    <w:rPr>
      <w:color w:val="000080"/>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eastAsia="Courier New" w:hAnsi="Courier New" w:cs="Courier New"/>
    </w:rPr>
  </w:style>
  <w:style w:type="character" w:customStyle="1" w:styleId="HeaderChar">
    <w:name w:val="Header Char"/>
    <w:qFormat/>
    <w:rPr>
      <w:sz w:val="22"/>
      <w:lang w:eastAsia="en-US"/>
    </w:rPr>
  </w:style>
  <w:style w:type="character" w:styleId="Puslapionumeris">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Komentaronuoroda">
    <w:name w:val="annotation reference"/>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eastAsia="Times New Roman" w:hAnsi="Times New Roman" w:cs="Times New Roman"/>
      <w:sz w:val="22"/>
      <w:szCs w:val="22"/>
    </w:rPr>
  </w:style>
  <w:style w:type="character" w:customStyle="1" w:styleId="FontStyle13">
    <w:name w:val="Font Style13"/>
    <w:qFormat/>
    <w:rPr>
      <w:rFonts w:ascii="Times New Roman" w:eastAsia="Times New Roman" w:hAnsi="Times New Roman" w:cs="Times New Roman"/>
      <w:b/>
      <w:sz w:val="22"/>
    </w:rPr>
  </w:style>
  <w:style w:type="character" w:customStyle="1" w:styleId="statymonr">
    <w:name w:val="statymonr"/>
    <w:qFormat/>
    <w:rPr>
      <w:rFonts w:cs="Times New Roman"/>
    </w:rPr>
  </w:style>
  <w:style w:type="character" w:customStyle="1" w:styleId="apple-converted-space">
    <w:name w:val="apple-converted-space"/>
    <w:basedOn w:val="Numatytasispastraiposriftas"/>
    <w:qFormat/>
  </w:style>
  <w:style w:type="character" w:customStyle="1" w:styleId="ListLabel1">
    <w:name w:val="ListLabel 1"/>
    <w:qFormat/>
    <w:rPr>
      <w:rFonts w:ascii="Times New Roman" w:eastAsia="Times New Roman" w:hAnsi="Times New Roman" w:cs="Times New Roman"/>
      <w:b/>
      <w:sz w:val="24"/>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Times New Roman"/>
      <w:b/>
      <w:sz w:val="24"/>
    </w:rPr>
  </w:style>
  <w:style w:type="character" w:customStyle="1" w:styleId="ListLabel5">
    <w:name w:val="ListLabel 5"/>
    <w:qFormat/>
    <w:rPr>
      <w:rFonts w:ascii="Times New Roman" w:eastAsia="Times New Roman" w:hAnsi="Times New Roman" w:cs="Times New Roman"/>
      <w:b/>
      <w:sz w:val="24"/>
    </w:rPr>
  </w:style>
  <w:style w:type="character" w:customStyle="1" w:styleId="Teletype">
    <w:name w:val="Teletype"/>
    <w:qFormat/>
    <w:rPr>
      <w:rFonts w:ascii="Liberation Mono" w:eastAsia="NSimSun" w:hAnsi="Liberation Mono" w:cs="Liberation Mono"/>
    </w:rPr>
  </w:style>
  <w:style w:type="character" w:customStyle="1" w:styleId="ListLabel6">
    <w:name w:val="ListLabel 6"/>
    <w:qFormat/>
    <w:rPr>
      <w:rFonts w:ascii="Times New Roman" w:eastAsia="Times New Roman" w:hAnsi="Times New Roman" w:cs="Times New Roman"/>
      <w:b/>
      <w:sz w:val="24"/>
    </w:rPr>
  </w:style>
  <w:style w:type="character" w:customStyle="1" w:styleId="ListLabel7">
    <w:name w:val="ListLabel 7"/>
    <w:qFormat/>
    <w:rPr>
      <w:rFonts w:cs="Times New Roman"/>
      <w:b/>
      <w:sz w:val="24"/>
    </w:rPr>
  </w:style>
  <w:style w:type="character" w:customStyle="1" w:styleId="ListLabel8">
    <w:name w:val="ListLabel 8"/>
    <w:qFormat/>
    <w:rPr>
      <w:rFonts w:cs="Times New Roman"/>
      <w:b/>
      <w:sz w:val="24"/>
    </w:rPr>
  </w:style>
  <w:style w:type="character" w:customStyle="1" w:styleId="ListLabel9">
    <w:name w:val="ListLabel 9"/>
    <w:qFormat/>
    <w:rPr>
      <w:rFonts w:cs="Times New Roman"/>
      <w:b/>
      <w:sz w:val="24"/>
    </w:rPr>
  </w:style>
  <w:style w:type="character" w:customStyle="1" w:styleId="ListLabel10">
    <w:name w:val="ListLabel 10"/>
    <w:qFormat/>
    <w:rPr>
      <w:rFonts w:cs="Times New Roman"/>
      <w:b/>
      <w:sz w:val="24"/>
    </w:rPr>
  </w:style>
  <w:style w:type="character" w:customStyle="1" w:styleId="ListLabel11">
    <w:name w:val="ListLabel 11"/>
    <w:qFormat/>
    <w:rPr>
      <w:rFonts w:cs="Times New Roman"/>
      <w:b/>
      <w:sz w:val="24"/>
    </w:rPr>
  </w:style>
  <w:style w:type="character" w:customStyle="1" w:styleId="ListLabel12">
    <w:name w:val="ListLabel 12"/>
    <w:qFormat/>
    <w:rPr>
      <w:rFonts w:cs="Times New Roman"/>
      <w:b/>
      <w:sz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sz w:val="24"/>
    </w:rPr>
  </w:style>
  <w:style w:type="character" w:customStyle="1" w:styleId="ListLabel15">
    <w:name w:val="ListLabel 15"/>
    <w:qFormat/>
    <w:rPr>
      <w:rFonts w:ascii="Times New Roman" w:eastAsia="Times New Roman" w:hAnsi="Times New Roman" w:cs="Times New Roman"/>
      <w:sz w:val="24"/>
      <w:lang w:val="lt-LT"/>
    </w:rPr>
  </w:style>
  <w:style w:type="character" w:customStyle="1" w:styleId="ListLabel16">
    <w:name w:val="ListLabel 16"/>
    <w:qFormat/>
    <w:rPr>
      <w:rFonts w:ascii="Times New Roman" w:eastAsia="Times New Roman" w:hAnsi="Times New Roman" w:cs="Times New Roman"/>
      <w:color w:val="000000"/>
      <w:sz w:val="24"/>
      <w:szCs w:val="24"/>
      <w:u w:val="none"/>
      <w:lang w:val="lt-LT"/>
    </w:rPr>
  </w:style>
  <w:style w:type="character" w:customStyle="1" w:styleId="ListLabel17">
    <w:name w:val="ListLabel 17"/>
    <w:qFormat/>
    <w:rPr>
      <w:rFonts w:ascii="Times New Roman" w:eastAsia="Times New Roman" w:hAnsi="Times New Roman" w:cs="Times New Roman"/>
      <w:b/>
      <w:sz w:val="24"/>
    </w:rPr>
  </w:style>
  <w:style w:type="character" w:customStyle="1" w:styleId="ListLabel18">
    <w:name w:val="ListLabel 18"/>
    <w:qFormat/>
    <w:rPr>
      <w:rFonts w:cs="Times New Roman"/>
      <w:b/>
      <w:sz w:val="24"/>
    </w:rPr>
  </w:style>
  <w:style w:type="character" w:customStyle="1" w:styleId="ListLabel19">
    <w:name w:val="ListLabel 19"/>
    <w:qFormat/>
    <w:rPr>
      <w:rFonts w:cs="Times New Roman"/>
      <w:b/>
      <w:sz w:val="24"/>
    </w:rPr>
  </w:style>
  <w:style w:type="character" w:customStyle="1" w:styleId="ListLabel20">
    <w:name w:val="ListLabel 20"/>
    <w:qFormat/>
    <w:rPr>
      <w:rFonts w:cs="Times New Roman"/>
      <w:b/>
      <w:sz w:val="24"/>
    </w:rPr>
  </w:style>
  <w:style w:type="character" w:customStyle="1" w:styleId="ListLabel21">
    <w:name w:val="ListLabel 21"/>
    <w:qFormat/>
    <w:rPr>
      <w:rFonts w:cs="Times New Roman"/>
      <w:b/>
      <w:sz w:val="24"/>
    </w:rPr>
  </w:style>
  <w:style w:type="character" w:customStyle="1" w:styleId="ListLabel22">
    <w:name w:val="ListLabel 22"/>
    <w:qFormat/>
    <w:rPr>
      <w:rFonts w:cs="Times New Roman"/>
      <w:b/>
      <w:sz w:val="24"/>
    </w:rPr>
  </w:style>
  <w:style w:type="character" w:customStyle="1" w:styleId="ListLabel23">
    <w:name w:val="ListLabel 23"/>
    <w:qFormat/>
    <w:rPr>
      <w:rFonts w:cs="Times New Roman"/>
      <w:b/>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b/>
      <w:sz w:val="24"/>
    </w:rPr>
  </w:style>
  <w:style w:type="character" w:customStyle="1" w:styleId="ListLabel26">
    <w:name w:val="ListLabel 26"/>
    <w:qFormat/>
    <w:rPr>
      <w:rFonts w:ascii="Times New Roman" w:eastAsia="Times New Roman" w:hAnsi="Times New Roman" w:cs="Times New Roman"/>
      <w:sz w:val="24"/>
      <w:lang w:val="lt-LT"/>
    </w:rPr>
  </w:style>
  <w:style w:type="character" w:customStyle="1" w:styleId="ListLabel27">
    <w:name w:val="ListLabel 27"/>
    <w:qFormat/>
    <w:rPr>
      <w:rFonts w:ascii="Times New Roman" w:eastAsia="Times New Roman" w:hAnsi="Times New Roman" w:cs="Times New Roman"/>
      <w:color w:val="000000"/>
      <w:sz w:val="24"/>
      <w:szCs w:val="24"/>
      <w:u w:val="none"/>
      <w:lang w:val="lt-LT"/>
    </w:rPr>
  </w:style>
  <w:style w:type="character" w:customStyle="1" w:styleId="ListLabel28">
    <w:name w:val="ListLabel 28"/>
    <w:qFormat/>
    <w:rPr>
      <w:rFonts w:ascii="Times New Roman" w:eastAsia="Times New Roman" w:hAnsi="Times New Roman" w:cs="Times New Roman"/>
      <w:b/>
      <w:sz w:val="24"/>
    </w:rPr>
  </w:style>
  <w:style w:type="character" w:customStyle="1" w:styleId="ListLabel29">
    <w:name w:val="ListLabel 29"/>
    <w:qFormat/>
    <w:rPr>
      <w:rFonts w:cs="Times New Roman"/>
      <w:b/>
      <w:sz w:val="24"/>
    </w:rPr>
  </w:style>
  <w:style w:type="character" w:customStyle="1" w:styleId="ListLabel30">
    <w:name w:val="ListLabel 30"/>
    <w:qFormat/>
    <w:rPr>
      <w:rFonts w:cs="Times New Roman"/>
      <w:b/>
      <w:sz w:val="24"/>
    </w:rPr>
  </w:style>
  <w:style w:type="character" w:customStyle="1" w:styleId="ListLabel31">
    <w:name w:val="ListLabel 31"/>
    <w:qFormat/>
    <w:rPr>
      <w:rFonts w:cs="Times New Roman"/>
      <w:b/>
      <w:sz w:val="24"/>
    </w:rPr>
  </w:style>
  <w:style w:type="character" w:customStyle="1" w:styleId="ListLabel32">
    <w:name w:val="ListLabel 32"/>
    <w:qFormat/>
    <w:rPr>
      <w:rFonts w:cs="Times New Roman"/>
      <w:b/>
      <w:sz w:val="24"/>
    </w:rPr>
  </w:style>
  <w:style w:type="character" w:customStyle="1" w:styleId="ListLabel33">
    <w:name w:val="ListLabel 33"/>
    <w:qFormat/>
    <w:rPr>
      <w:rFonts w:cs="Times New Roman"/>
      <w:b/>
      <w:sz w:val="24"/>
    </w:rPr>
  </w:style>
  <w:style w:type="character" w:customStyle="1" w:styleId="ListLabel34">
    <w:name w:val="ListLabel 34"/>
    <w:qFormat/>
    <w:rPr>
      <w:rFonts w:cs="Times New Roman"/>
      <w:b/>
      <w:sz w:val="24"/>
    </w:rPr>
  </w:style>
  <w:style w:type="character" w:customStyle="1" w:styleId="ListLabel35">
    <w:name w:val="ListLabel 35"/>
    <w:qFormat/>
    <w:rPr>
      <w:rFonts w:cs="Times New Roman"/>
      <w:b/>
      <w:sz w:val="24"/>
    </w:rPr>
  </w:style>
  <w:style w:type="character" w:customStyle="1" w:styleId="ListLabel36">
    <w:name w:val="ListLabel 36"/>
    <w:qFormat/>
    <w:rPr>
      <w:rFonts w:cs="Times New Roman"/>
      <w:b/>
      <w:sz w:val="24"/>
    </w:rPr>
  </w:style>
  <w:style w:type="character" w:customStyle="1" w:styleId="ListLabel37">
    <w:name w:val="ListLabel 37"/>
    <w:qFormat/>
    <w:rPr>
      <w:rFonts w:ascii="Times New Roman" w:eastAsia="Times New Roman" w:hAnsi="Times New Roman" w:cs="Times New Roman"/>
      <w:sz w:val="24"/>
      <w:lang w:val="lt-LT"/>
    </w:rPr>
  </w:style>
  <w:style w:type="character" w:customStyle="1" w:styleId="ListLabel38">
    <w:name w:val="ListLabel 38"/>
    <w:qFormat/>
    <w:rPr>
      <w:rFonts w:ascii="Times New Roman" w:eastAsia="Times New Roman" w:hAnsi="Times New Roman" w:cs="Times New Roman"/>
      <w:color w:val="000000"/>
      <w:sz w:val="24"/>
      <w:szCs w:val="24"/>
      <w:u w:val="none"/>
      <w:lang w:val="lt-LT"/>
    </w:rPr>
  </w:style>
  <w:style w:type="character" w:customStyle="1" w:styleId="ListLabel39">
    <w:name w:val="ListLabel 39"/>
    <w:qFormat/>
    <w:rPr>
      <w:rFonts w:ascii="Times New Roman" w:eastAsia="Times New Roman" w:hAnsi="Times New Roman" w:cs="Times New Roman"/>
      <w:b/>
      <w:sz w:val="24"/>
    </w:rPr>
  </w:style>
  <w:style w:type="character" w:customStyle="1" w:styleId="ListLabel40">
    <w:name w:val="ListLabel 40"/>
    <w:qFormat/>
    <w:rPr>
      <w:rFonts w:cs="Times New Roman"/>
      <w:b/>
      <w:sz w:val="24"/>
    </w:rPr>
  </w:style>
  <w:style w:type="character" w:customStyle="1" w:styleId="ListLabel41">
    <w:name w:val="ListLabel 41"/>
    <w:qFormat/>
    <w:rPr>
      <w:rFonts w:cs="Times New Roman"/>
      <w:b/>
      <w:sz w:val="24"/>
    </w:rPr>
  </w:style>
  <w:style w:type="character" w:customStyle="1" w:styleId="ListLabel42">
    <w:name w:val="ListLabel 42"/>
    <w:qFormat/>
    <w:rPr>
      <w:rFonts w:cs="Times New Roman"/>
      <w:b/>
      <w:sz w:val="24"/>
    </w:rPr>
  </w:style>
  <w:style w:type="character" w:customStyle="1" w:styleId="ListLabel43">
    <w:name w:val="ListLabel 43"/>
    <w:qFormat/>
    <w:rPr>
      <w:rFonts w:cs="Times New Roman"/>
      <w:b/>
      <w:sz w:val="24"/>
    </w:rPr>
  </w:style>
  <w:style w:type="character" w:customStyle="1" w:styleId="ListLabel44">
    <w:name w:val="ListLabel 44"/>
    <w:qFormat/>
    <w:rPr>
      <w:rFonts w:cs="Times New Roman"/>
      <w:b/>
      <w:sz w:val="24"/>
    </w:rPr>
  </w:style>
  <w:style w:type="character" w:customStyle="1" w:styleId="ListLabel45">
    <w:name w:val="ListLabel 45"/>
    <w:qFormat/>
    <w:rPr>
      <w:rFonts w:cs="Times New Roman"/>
      <w:b/>
      <w:sz w:val="24"/>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sz w:val="24"/>
    </w:rPr>
  </w:style>
  <w:style w:type="character" w:customStyle="1" w:styleId="ListLabel48">
    <w:name w:val="ListLabel 48"/>
    <w:qFormat/>
    <w:rPr>
      <w:color w:val="00000A"/>
    </w:rPr>
  </w:style>
  <w:style w:type="character" w:customStyle="1" w:styleId="ListLabel49">
    <w:name w:val="ListLabel 49"/>
    <w:qFormat/>
    <w:rPr>
      <w:rFonts w:eastAsia="Calibri"/>
    </w:rPr>
  </w:style>
  <w:style w:type="character" w:customStyle="1" w:styleId="ListLabel50">
    <w:name w:val="ListLabel 50"/>
    <w:qFormat/>
    <w:rPr>
      <w:rFonts w:ascii="Times New Roman" w:eastAsia="Times New Roman" w:hAnsi="Times New Roman" w:cs="Times New Roman"/>
      <w:color w:val="000000"/>
      <w:sz w:val="24"/>
      <w:szCs w:val="24"/>
      <w:u w:val="none"/>
      <w:lang w:val="lt-LT"/>
    </w:rPr>
  </w:style>
  <w:style w:type="character" w:customStyle="1" w:styleId="ListLabel51">
    <w:name w:val="ListLabel 51"/>
    <w:qFormat/>
    <w:rPr>
      <w:rFonts w:ascii="Times New Roman" w:eastAsia="Times New Roman" w:hAnsi="Times New Roman" w:cs="Times New Roman"/>
      <w:b/>
      <w:sz w:val="24"/>
    </w:rPr>
  </w:style>
  <w:style w:type="character" w:customStyle="1" w:styleId="ListLabel52">
    <w:name w:val="ListLabel 52"/>
    <w:qFormat/>
    <w:rPr>
      <w:rFonts w:cs="Times New Roman"/>
      <w:b/>
      <w:sz w:val="24"/>
    </w:rPr>
  </w:style>
  <w:style w:type="character" w:customStyle="1" w:styleId="ListLabel53">
    <w:name w:val="ListLabel 53"/>
    <w:qFormat/>
    <w:rPr>
      <w:rFonts w:cs="Times New Roman"/>
      <w:b/>
      <w:sz w:val="24"/>
    </w:rPr>
  </w:style>
  <w:style w:type="character" w:customStyle="1" w:styleId="ListLabel54">
    <w:name w:val="ListLabel 54"/>
    <w:qFormat/>
    <w:rPr>
      <w:rFonts w:cs="Times New Roman"/>
      <w:b/>
      <w:sz w:val="24"/>
    </w:rPr>
  </w:style>
  <w:style w:type="character" w:customStyle="1" w:styleId="ListLabel55">
    <w:name w:val="ListLabel 55"/>
    <w:qFormat/>
    <w:rPr>
      <w:rFonts w:cs="Times New Roman"/>
      <w:b/>
      <w:sz w:val="24"/>
    </w:rPr>
  </w:style>
  <w:style w:type="character" w:customStyle="1" w:styleId="ListLabel56">
    <w:name w:val="ListLabel 56"/>
    <w:qFormat/>
    <w:rPr>
      <w:rFonts w:cs="Times New Roman"/>
      <w:b/>
      <w:sz w:val="24"/>
    </w:rPr>
  </w:style>
  <w:style w:type="character" w:customStyle="1" w:styleId="ListLabel57">
    <w:name w:val="ListLabel 57"/>
    <w:qFormat/>
    <w:rPr>
      <w:rFonts w:cs="Times New Roman"/>
      <w:b/>
      <w:sz w:val="24"/>
    </w:rPr>
  </w:style>
  <w:style w:type="character" w:customStyle="1" w:styleId="ListLabel58">
    <w:name w:val="ListLabel 58"/>
    <w:qFormat/>
    <w:rPr>
      <w:rFonts w:cs="Times New Roman"/>
      <w:b/>
      <w:sz w:val="24"/>
    </w:rPr>
  </w:style>
  <w:style w:type="character" w:customStyle="1" w:styleId="ListLabel59">
    <w:name w:val="ListLabel 59"/>
    <w:qFormat/>
    <w:rPr>
      <w:rFonts w:cs="Times New Roman"/>
      <w:b/>
      <w:sz w:val="24"/>
    </w:rPr>
  </w:style>
  <w:style w:type="character" w:customStyle="1" w:styleId="ListLabel60">
    <w:name w:val="ListLabel 60"/>
    <w:qFormat/>
    <w:rPr>
      <w:rFonts w:eastAsia="Calibri"/>
    </w:rPr>
  </w:style>
  <w:style w:type="character" w:customStyle="1" w:styleId="ListLabel61">
    <w:name w:val="ListLabel 61"/>
    <w:qFormat/>
    <w:rPr>
      <w:rFonts w:ascii="Times New Roman" w:eastAsia="Times New Roman" w:hAnsi="Times New Roman" w:cs="Times New Roman"/>
      <w:color w:val="000000"/>
      <w:sz w:val="24"/>
      <w:szCs w:val="24"/>
      <w:u w:val="none"/>
      <w:lang w:val="lt-LT"/>
    </w:rPr>
  </w:style>
  <w:style w:type="character" w:customStyle="1" w:styleId="PagrindinistekstasDiagrama">
    <w:name w:val="Pagrindinis tekstas Diagrama"/>
    <w:basedOn w:val="Numatytasispastraiposriftas"/>
    <w:link w:val="Pagrindinistekstas"/>
    <w:semiHidden/>
    <w:qFormat/>
    <w:rsid w:val="0053482D"/>
    <w:rPr>
      <w:rFonts w:ascii="Times New Roman" w:eastAsia="Times New Roman" w:hAnsi="Times New Roman"/>
      <w:sz w:val="24"/>
      <w:szCs w:val="24"/>
      <w:lang w:val="x-none" w:eastAsia="x-none"/>
    </w:rPr>
  </w:style>
  <w:style w:type="character" w:customStyle="1" w:styleId="fontstyle53">
    <w:name w:val="fontstyle53"/>
    <w:qFormat/>
    <w:rsid w:val="0005470D"/>
  </w:style>
  <w:style w:type="character" w:customStyle="1" w:styleId="AntratsDiagrama">
    <w:name w:val="Antraštės Diagrama"/>
    <w:basedOn w:val="Numatytasispastraiposriftas"/>
    <w:link w:val="Antrats"/>
    <w:uiPriority w:val="99"/>
    <w:qFormat/>
    <w:locked/>
    <w:rsid w:val="00657907"/>
    <w:rPr>
      <w:color w:val="00000A"/>
      <w:szCs w:val="22"/>
      <w:lang w:val="lt-LT"/>
    </w:rPr>
  </w:style>
  <w:style w:type="character" w:customStyle="1" w:styleId="InternetLink0">
    <w:name w:val="Internet Link"/>
    <w:basedOn w:val="Numatytasispastraiposriftas"/>
    <w:uiPriority w:val="99"/>
    <w:unhideWhenUsed/>
    <w:rsid w:val="00A9344C"/>
    <w:rPr>
      <w:color w:val="0563C1" w:themeColor="hyperlink"/>
      <w:u w:val="single"/>
    </w:rPr>
  </w:style>
  <w:style w:type="character" w:customStyle="1" w:styleId="UnresolvedMention1">
    <w:name w:val="Unresolved Mention1"/>
    <w:basedOn w:val="Numatytasispastraiposriftas"/>
    <w:uiPriority w:val="99"/>
    <w:semiHidden/>
    <w:unhideWhenUsed/>
    <w:qFormat/>
    <w:rsid w:val="00A9344C"/>
    <w:rPr>
      <w:color w:val="808080"/>
      <w:shd w:val="clear" w:color="auto" w:fill="E6E6E6"/>
    </w:rPr>
  </w:style>
  <w:style w:type="character" w:customStyle="1" w:styleId="ListLabel62">
    <w:name w:val="ListLabel 62"/>
    <w:qFormat/>
    <w:rPr>
      <w:b/>
      <w:sz w:val="24"/>
    </w:rPr>
  </w:style>
  <w:style w:type="character" w:customStyle="1" w:styleId="ListLabel63">
    <w:name w:val="ListLabel 63"/>
    <w:qFormat/>
    <w:rPr>
      <w:rFonts w:cs="Times New Roman"/>
      <w:b/>
      <w:sz w:val="24"/>
    </w:rPr>
  </w:style>
  <w:style w:type="character" w:customStyle="1" w:styleId="ListLabel64">
    <w:name w:val="ListLabel 64"/>
    <w:qFormat/>
    <w:rPr>
      <w:rFonts w:cs="Times New Roman"/>
      <w:b/>
      <w:sz w:val="24"/>
    </w:rPr>
  </w:style>
  <w:style w:type="character" w:customStyle="1" w:styleId="ListLabel65">
    <w:name w:val="ListLabel 65"/>
    <w:qFormat/>
    <w:rPr>
      <w:rFonts w:cs="Times New Roman"/>
      <w:b/>
      <w:sz w:val="24"/>
    </w:rPr>
  </w:style>
  <w:style w:type="character" w:customStyle="1" w:styleId="ListLabel66">
    <w:name w:val="ListLabel 66"/>
    <w:qFormat/>
    <w:rPr>
      <w:rFonts w:cs="Times New Roman"/>
      <w:b/>
      <w:sz w:val="24"/>
    </w:rPr>
  </w:style>
  <w:style w:type="character" w:customStyle="1" w:styleId="ListLabel67">
    <w:name w:val="ListLabel 67"/>
    <w:qFormat/>
    <w:rPr>
      <w:rFonts w:cs="Times New Roman"/>
      <w:b/>
      <w:sz w:val="24"/>
    </w:rPr>
  </w:style>
  <w:style w:type="character" w:customStyle="1" w:styleId="ListLabel68">
    <w:name w:val="ListLabel 68"/>
    <w:qFormat/>
    <w:rPr>
      <w:rFonts w:cs="Times New Roman"/>
      <w:b/>
      <w:sz w:val="24"/>
    </w:rPr>
  </w:style>
  <w:style w:type="character" w:customStyle="1" w:styleId="ListLabel69">
    <w:name w:val="ListLabel 69"/>
    <w:qFormat/>
    <w:rPr>
      <w:rFonts w:cs="Times New Roman"/>
      <w:b/>
      <w:sz w:val="24"/>
    </w:rPr>
  </w:style>
  <w:style w:type="character" w:customStyle="1" w:styleId="ListLabel70">
    <w:name w:val="ListLabel 70"/>
    <w:qFormat/>
    <w:rPr>
      <w:rFonts w:cs="Times New Roman"/>
      <w:b/>
      <w:sz w:val="24"/>
    </w:rPr>
  </w:style>
  <w:style w:type="character" w:customStyle="1" w:styleId="ListLabel71">
    <w:name w:val="ListLabel 71"/>
    <w:qFormat/>
    <w:rPr>
      <w:rFonts w:ascii="Times New Roman" w:hAnsi="Times New Roman"/>
      <w:b/>
      <w:sz w:val="24"/>
    </w:rPr>
  </w:style>
  <w:style w:type="character" w:customStyle="1" w:styleId="ListLabel72">
    <w:name w:val="ListLabel 72"/>
    <w:qFormat/>
    <w:rPr>
      <w:rFonts w:cs="Times New Roman"/>
      <w:b/>
      <w:sz w:val="24"/>
    </w:rPr>
  </w:style>
  <w:style w:type="character" w:customStyle="1" w:styleId="ListLabel73">
    <w:name w:val="ListLabel 73"/>
    <w:qFormat/>
    <w:rPr>
      <w:rFonts w:cs="Times New Roman"/>
      <w:b/>
      <w:sz w:val="24"/>
    </w:rPr>
  </w:style>
  <w:style w:type="character" w:customStyle="1" w:styleId="ListLabel74">
    <w:name w:val="ListLabel 74"/>
    <w:qFormat/>
    <w:rPr>
      <w:rFonts w:cs="Times New Roman"/>
      <w:b/>
      <w:sz w:val="24"/>
    </w:rPr>
  </w:style>
  <w:style w:type="character" w:customStyle="1" w:styleId="ListLabel75">
    <w:name w:val="ListLabel 75"/>
    <w:qFormat/>
    <w:rPr>
      <w:rFonts w:cs="Times New Roman"/>
      <w:b/>
      <w:sz w:val="24"/>
    </w:rPr>
  </w:style>
  <w:style w:type="character" w:customStyle="1" w:styleId="ListLabel76">
    <w:name w:val="ListLabel 76"/>
    <w:qFormat/>
    <w:rPr>
      <w:rFonts w:cs="Times New Roman"/>
      <w:b/>
      <w:sz w:val="24"/>
    </w:rPr>
  </w:style>
  <w:style w:type="character" w:customStyle="1" w:styleId="ListLabel77">
    <w:name w:val="ListLabel 77"/>
    <w:qFormat/>
    <w:rPr>
      <w:rFonts w:cs="Times New Roman"/>
      <w:b/>
      <w:sz w:val="24"/>
    </w:rPr>
  </w:style>
  <w:style w:type="character" w:customStyle="1" w:styleId="ListLabel78">
    <w:name w:val="ListLabel 78"/>
    <w:qFormat/>
    <w:rPr>
      <w:rFonts w:cs="Times New Roman"/>
      <w:b/>
      <w:sz w:val="24"/>
    </w:rPr>
  </w:style>
  <w:style w:type="character" w:customStyle="1" w:styleId="ListLabel79">
    <w:name w:val="ListLabel 79"/>
    <w:qFormat/>
    <w:rPr>
      <w:rFonts w:cs="Times New Roman"/>
      <w:b/>
      <w:sz w:val="24"/>
    </w:rPr>
  </w:style>
  <w:style w:type="character" w:customStyle="1" w:styleId="ListLabel80">
    <w:name w:val="ListLabel 80"/>
    <w:qFormat/>
    <w:rPr>
      <w:color w:val="00000A"/>
      <w:sz w:val="24"/>
    </w:rPr>
  </w:style>
  <w:style w:type="character" w:customStyle="1" w:styleId="ListLabel81">
    <w:name w:val="ListLabel 81"/>
    <w:qFormat/>
    <w:rPr>
      <w:sz w:val="24"/>
      <w:szCs w:val="24"/>
    </w:rPr>
  </w:style>
  <w:style w:type="character" w:customStyle="1" w:styleId="ListLabel82">
    <w:name w:val="ListLabel 82"/>
    <w:qFormat/>
    <w:rPr>
      <w:rFonts w:ascii="Times New Roman" w:hAnsi="Times New Roman"/>
      <w:sz w:val="24"/>
      <w:szCs w:val="24"/>
    </w:rPr>
  </w:style>
  <w:style w:type="character" w:customStyle="1" w:styleId="ListLabel83">
    <w:name w:val="ListLabel 83"/>
    <w:qFormat/>
    <w:rPr>
      <w:rFonts w:ascii="Times New Roman" w:eastAsia="+mn-ea" w:hAnsi="Times New Roman"/>
      <w:color w:val="000000"/>
      <w:sz w:val="24"/>
      <w:szCs w:val="24"/>
      <w:lang w:eastAsia="lt-LT"/>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sz w:val="24"/>
    </w:rPr>
  </w:style>
  <w:style w:type="character" w:customStyle="1" w:styleId="ListLabel86">
    <w:name w:val="ListLabel 86"/>
    <w:qFormat/>
    <w:rPr>
      <w:rFonts w:cs="Times New Roman"/>
      <w:b/>
      <w:sz w:val="24"/>
    </w:rPr>
  </w:style>
  <w:style w:type="character" w:customStyle="1" w:styleId="ListLabel87">
    <w:name w:val="ListLabel 87"/>
    <w:qFormat/>
    <w:rPr>
      <w:rFonts w:cs="Times New Roman"/>
      <w:b/>
      <w:sz w:val="24"/>
    </w:rPr>
  </w:style>
  <w:style w:type="character" w:customStyle="1" w:styleId="ListLabel88">
    <w:name w:val="ListLabel 88"/>
    <w:qFormat/>
    <w:rPr>
      <w:rFonts w:cs="Times New Roman"/>
      <w:b/>
      <w:sz w:val="24"/>
    </w:rPr>
  </w:style>
  <w:style w:type="character" w:customStyle="1" w:styleId="ListLabel89">
    <w:name w:val="ListLabel 89"/>
    <w:qFormat/>
    <w:rPr>
      <w:rFonts w:cs="Times New Roman"/>
      <w:b/>
      <w:sz w:val="24"/>
    </w:rPr>
  </w:style>
  <w:style w:type="character" w:customStyle="1" w:styleId="ListLabel90">
    <w:name w:val="ListLabel 90"/>
    <w:qFormat/>
    <w:rPr>
      <w:rFonts w:cs="Times New Roman"/>
      <w:b/>
      <w:sz w:val="24"/>
    </w:rPr>
  </w:style>
  <w:style w:type="character" w:customStyle="1" w:styleId="ListLabel91">
    <w:name w:val="ListLabel 91"/>
    <w:qFormat/>
    <w:rPr>
      <w:rFonts w:cs="Times New Roman"/>
      <w:b/>
      <w:sz w:val="24"/>
    </w:rPr>
  </w:style>
  <w:style w:type="character" w:customStyle="1" w:styleId="ListLabel92">
    <w:name w:val="ListLabel 92"/>
    <w:qFormat/>
    <w:rPr>
      <w:rFonts w:cs="Times New Roman"/>
      <w:b/>
      <w:sz w:val="24"/>
    </w:rPr>
  </w:style>
  <w:style w:type="paragraph" w:customStyle="1" w:styleId="Heading">
    <w:name w:val="Heading"/>
    <w:next w:val="Pagrindinistekstas"/>
    <w:qFormat/>
    <w:pPr>
      <w:keepNext/>
      <w:widowControl w:val="0"/>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semiHidden/>
    <w:unhideWhenUsed/>
    <w:rsid w:val="0053482D"/>
    <w:pPr>
      <w:suppressAutoHyphens w:val="0"/>
      <w:spacing w:after="120"/>
      <w:textAlignment w:val="auto"/>
    </w:pPr>
    <w:rPr>
      <w:rFonts w:ascii="Times New Roman" w:eastAsia="Times New Roman" w:hAnsi="Times New Roman"/>
      <w:sz w:val="24"/>
      <w:szCs w:val="24"/>
      <w:lang w:val="x-none" w:eastAsia="x-none"/>
    </w:rPr>
  </w:style>
  <w:style w:type="paragraph" w:styleId="Sraas">
    <w:name w:val="List"/>
    <w:pPr>
      <w:widowControl w:val="0"/>
    </w:pPr>
    <w:rPr>
      <w:rFonts w:cs="Mangal"/>
    </w:rPr>
  </w:style>
  <w:style w:type="paragraph" w:styleId="Antrat">
    <w:name w:val="caption"/>
    <w:qFormat/>
    <w:pPr>
      <w:suppressLineNumbers/>
      <w:spacing w:before="120" w:after="120"/>
    </w:pPr>
    <w:rPr>
      <w:rFonts w:cs="Mangal"/>
      <w:i/>
      <w:iCs/>
      <w:sz w:val="24"/>
      <w:szCs w:val="24"/>
    </w:rPr>
  </w:style>
  <w:style w:type="paragraph" w:customStyle="1" w:styleId="Index">
    <w:name w:val="Index"/>
    <w:qFormat/>
    <w:pPr>
      <w:widowControl w:val="0"/>
      <w:suppressLineNumbers/>
    </w:pPr>
    <w:rPr>
      <w:rFonts w:cs="Mangal"/>
    </w:rPr>
  </w:style>
  <w:style w:type="paragraph" w:customStyle="1" w:styleId="Standard">
    <w:name w:val="Standard"/>
    <w:qFormat/>
    <w:pPr>
      <w:spacing w:after="200" w:line="276" w:lineRule="auto"/>
    </w:pPr>
    <w:rPr>
      <w:color w:val="00000A"/>
      <w:szCs w:val="22"/>
      <w:lang w:val="lt-LT"/>
    </w:rPr>
  </w:style>
  <w:style w:type="paragraph" w:customStyle="1" w:styleId="Textbody">
    <w:name w:val="Text body"/>
    <w:basedOn w:val="Standard"/>
    <w:qFormat/>
    <w:pPr>
      <w:spacing w:after="140" w:line="288" w:lineRule="auto"/>
    </w:pPr>
  </w:style>
  <w:style w:type="paragraph" w:styleId="Betarp">
    <w:name w:val="No Spacing"/>
    <w:qFormat/>
    <w:rPr>
      <w:color w:val="00000A"/>
      <w:szCs w:val="22"/>
      <w:lang w:val="ru-RU"/>
    </w:rPr>
  </w:style>
  <w:style w:type="paragraph" w:styleId="Debesliotekstas">
    <w:name w:val="Balloon Text"/>
    <w:basedOn w:val="Standard"/>
    <w:qFormat/>
    <w:pPr>
      <w:spacing w:after="0" w:line="240" w:lineRule="auto"/>
    </w:pPr>
    <w:rPr>
      <w:rFonts w:ascii="Tahoma" w:eastAsia="Tahoma" w:hAnsi="Tahoma" w:cs="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 w:val="24"/>
      <w:szCs w:val="24"/>
    </w:rPr>
  </w:style>
  <w:style w:type="paragraph" w:customStyle="1" w:styleId="Kopija">
    <w:name w:val="Kopija"/>
    <w:basedOn w:val="Standard"/>
    <w:qFormat/>
    <w:pPr>
      <w:spacing w:after="0" w:line="240" w:lineRule="auto"/>
      <w:ind w:right="3999"/>
    </w:pPr>
    <w:rPr>
      <w:rFonts w:ascii="Times New Roman" w:eastAsia="Times New Roman" w:hAnsi="Times New Roman"/>
      <w:sz w:val="24"/>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 w:val="24"/>
      <w:szCs w:val="2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ntrats">
    <w:name w:val="header"/>
    <w:basedOn w:val="Standard"/>
    <w:link w:val="AntratsDiagrama"/>
    <w:uiPriority w:val="99"/>
    <w:pPr>
      <w:tabs>
        <w:tab w:val="center" w:pos="4819"/>
        <w:tab w:val="right" w:pos="9638"/>
      </w:tabs>
    </w:pPr>
  </w:style>
  <w:style w:type="paragraph" w:styleId="Pagrindiniotekstotrauka3">
    <w:name w:val="Body Text Indent 3"/>
    <w:basedOn w:val="Standard"/>
    <w:qFormat/>
    <w:pPr>
      <w:spacing w:after="120"/>
      <w:ind w:left="283"/>
    </w:pPr>
    <w:rPr>
      <w:sz w:val="16"/>
      <w:szCs w:val="16"/>
      <w:lang w:val="ru-RU"/>
    </w:rPr>
  </w:style>
  <w:style w:type="paragraph" w:customStyle="1" w:styleId="neigiamirezultatai">
    <w:name w:val="neigiamirezultatai"/>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Pagrindiniotekstotrauka3"/>
    <w:qFormat/>
    <w:pPr>
      <w:spacing w:after="0" w:line="240" w:lineRule="auto"/>
      <w:ind w:left="720"/>
      <w:jc w:val="both"/>
    </w:pPr>
    <w:rPr>
      <w:rFonts w:ascii="Times New Roman" w:eastAsia="Times New Roman" w:hAnsi="Times New Roman"/>
      <w:sz w:val="22"/>
      <w:szCs w:val="20"/>
    </w:rPr>
  </w:style>
  <w:style w:type="paragraph" w:styleId="Porat">
    <w:name w:val="footer"/>
    <w:basedOn w:val="Standard"/>
    <w:pPr>
      <w:tabs>
        <w:tab w:val="center" w:pos="4819"/>
        <w:tab w:val="right" w:pos="9638"/>
      </w:tabs>
    </w:pPr>
    <w:rPr>
      <w:lang w:val="ru-RU"/>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s="TimesLT"/>
      <w:caps/>
      <w:sz w:val="24"/>
      <w:szCs w:val="20"/>
    </w:rPr>
  </w:style>
  <w:style w:type="paragraph" w:styleId="Pataisymai">
    <w:name w:val="Revision"/>
    <w:qFormat/>
    <w:rPr>
      <w:color w:val="00000A"/>
      <w:szCs w:val="22"/>
      <w:lang w:val="lt-LT"/>
    </w:rPr>
  </w:style>
  <w:style w:type="paragraph" w:customStyle="1" w:styleId="FrameContents">
    <w:name w:val="Frame Contents"/>
    <w:basedOn w:val="Standard"/>
    <w:qFormat/>
  </w:style>
  <w:style w:type="paragraph" w:customStyle="1" w:styleId="LO-Normal">
    <w:name w:val="LO-Normal"/>
    <w:qFormat/>
    <w:rPr>
      <w:color w:val="00000A"/>
      <w:sz w:val="24"/>
      <w:szCs w:val="24"/>
      <w:lang w:val="lt-LT"/>
    </w:rPr>
  </w:style>
  <w:style w:type="paragraph" w:customStyle="1" w:styleId="TableContents">
    <w:name w:val="Table Contents"/>
    <w:basedOn w:val="Standard"/>
    <w:qFormat/>
  </w:style>
  <w:style w:type="paragraph" w:customStyle="1" w:styleId="TableHeading">
    <w:name w:val="Table Heading"/>
    <w:basedOn w:val="TableContents"/>
    <w:qFormat/>
  </w:style>
  <w:style w:type="paragraph" w:customStyle="1" w:styleId="Adresas">
    <w:name w:val="Adresas"/>
    <w:basedOn w:val="prastasis"/>
    <w:qFormat/>
    <w:rsid w:val="00892592"/>
    <w:pPr>
      <w:ind w:right="318"/>
      <w:textAlignment w:val="auto"/>
    </w:pPr>
    <w:rPr>
      <w:rFonts w:ascii="Times New Roman" w:eastAsia="Times New Roman" w:hAnsi="Times New Roman"/>
      <w:sz w:val="24"/>
      <w:szCs w:val="24"/>
      <w:lang w:eastAsia="ar-SA"/>
    </w:rPr>
  </w:style>
  <w:style w:type="paragraph" w:styleId="prastasiniatinklio">
    <w:name w:val="Normal (Web)"/>
    <w:basedOn w:val="prastasis"/>
    <w:uiPriority w:val="99"/>
    <w:semiHidden/>
    <w:unhideWhenUsed/>
    <w:qFormat/>
    <w:rsid w:val="003260B1"/>
    <w:pPr>
      <w:suppressAutoHyphens w:val="0"/>
      <w:spacing w:beforeAutospacing="1" w:afterAutospacing="1"/>
      <w:textAlignment w:val="auto"/>
    </w:pPr>
    <w:rPr>
      <w:rFonts w:ascii="Times New Roman" w:eastAsia="Times New Roman" w:hAnsi="Times New Roman"/>
      <w:sz w:val="24"/>
      <w:szCs w:val="24"/>
      <w:lang w:eastAsia="lt-LT"/>
    </w:rPr>
  </w:style>
  <w:style w:type="numbering" w:customStyle="1" w:styleId="Sraonra1">
    <w:name w:val="Sąrašo nėra1"/>
    <w:qFormat/>
  </w:style>
  <w:style w:type="numbering" w:customStyle="1" w:styleId="Sraonra10">
    <w:name w:val="Sąrašo nėra10"/>
    <w:qFormat/>
  </w:style>
  <w:style w:type="table" w:styleId="6sraolentelspalvinga5parykinimas">
    <w:name w:val="List Table 6 Colorful Accent 5"/>
    <w:basedOn w:val="prastojilentel"/>
    <w:uiPriority w:val="51"/>
    <w:rsid w:val="00DC721C"/>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jurgita.laskeviciute@vrm.lt" TargetMode="External"
                 Type="http://schemas.openxmlformats.org/officeDocument/2006/relationships/hyperlink"/>
   <Relationship Id="rId13" Target="http://www.csdd.lv/autoveikali" TargetMode="External"
                 Type="http://schemas.openxmlformats.org/officeDocument/2006/relationships/hyperlink"/>
   <Relationship Id="rId14" Target="media/image2.png"
                 Type="http://schemas.openxmlformats.org/officeDocument/2006/relationships/image"/>
   <Relationship Id="rId15" Target="media/image3.png"
                 Type="http://schemas.openxmlformats.org/officeDocument/2006/relationships/image"/>
   <Relationship Id="rId16" Target="media/image4.png"
                 Type="http://schemas.openxmlformats.org/officeDocument/2006/relationships/image"/>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0807CF26EA29548B3E03FD089CA6146" ma:contentTypeVersion="8" ma:contentTypeDescription="Kurkite naują dokumentą." ma:contentTypeScope="" ma:versionID="336388f5ff2f8551e7388f516c7e8378">
  <xsd:schema xmlns:xsd="http://www.w3.org/2001/XMLSchema" xmlns:xs="http://www.w3.org/2001/XMLSchema" xmlns:p="http://schemas.microsoft.com/office/2006/metadata/properties" xmlns:ns2="1295e898-b634-46f2-aadd-180362b401f4" xmlns:ns3="74982fdd-0c4d-4cf3-afe7-1e831b3af204" targetNamespace="http://schemas.microsoft.com/office/2006/metadata/properties" ma:root="true" ma:fieldsID="57e579d1442e44479fafa40c0c32dcd6" ns2:_="" ns3:_="">
    <xsd:import namespace="1295e898-b634-46f2-aadd-180362b401f4"/>
    <xsd:import namespace="74982fdd-0c4d-4cf3-afe7-1e831b3af2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5e898-b634-46f2-aadd-180362b40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2fdd-0c4d-4cf3-afe7-1e831b3af2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3CA54-D754-477B-9D03-32746F6C4D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4D51CB-2166-4D51-B331-1717A3073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5e898-b634-46f2-aadd-180362b401f4"/>
    <ds:schemaRef ds:uri="74982fdd-0c4d-4cf3-afe7-1e831b3af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866A9-A616-431F-AD87-5C9E415DB76D}">
  <ds:schemaRefs>
    <ds:schemaRef ds:uri="http://schemas.microsoft.com/sharepoint/v3/contenttype/forms"/>
  </ds:schemaRefs>
</ds:datastoreItem>
</file>

<file path=customXml/itemProps4.xml><?xml version="1.0" encoding="utf-8"?>
<ds:datastoreItem xmlns:ds="http://schemas.openxmlformats.org/officeDocument/2006/customXml" ds:itemID="{E9C761FB-6783-4FA5-AF86-8A5D5B16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20655</Words>
  <Characters>11774</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 DĖL LIETUVOS RESPUBLIKOS</vt:lpstr>
      <vt:lpstr>AIŠKINAMASIS RAŠTAS DĖL LIETUVOS RESPUBLIKOS</vt:lpstr>
    </vt:vector>
  </TitlesOfParts>
  <Company>Microsoft</Company>
  <LinksUpToDate>false</LinksUpToDate>
  <CharactersWithSpaces>32365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2019-11-27T10:30:00Z</dcterms:created>
  <dc:creator>m.gusauskiene</dc:creator>
  <dc:language>lt-LT</dc:language>
  <cp:lastModifiedBy>Jurgita Laskevičiūtė</cp:lastModifiedBy>
  <cp:lastPrinted>2019-02-04T12:49:00Z</cp:lastPrinted>
  <dcterms:modified xsi:type="dcterms:W3CDTF">2019-11-27T10:31:00Z</dcterms:modified>
  <cp:revision>4</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ContentTypeId">
    <vt:lpwstr>0x01010030807CF26EA29548B3E03FD089CA6146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