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A1B90" w14:textId="77777777" w:rsidR="007E68FE" w:rsidRPr="00886459" w:rsidRDefault="007E68FE" w:rsidP="007C5AF9">
      <w:pPr>
        <w:jc w:val="center"/>
        <w:rPr>
          <w:b/>
          <w:szCs w:val="24"/>
        </w:rPr>
      </w:pPr>
      <w:r w:rsidRPr="00886459">
        <w:rPr>
          <w:b/>
          <w:szCs w:val="24"/>
        </w:rPr>
        <w:t>TEISĖS AKTŲ PROJEKTŲ ANTIKORUPCINIO VERTINIMO PAŽYMA</w:t>
      </w:r>
    </w:p>
    <w:p w14:paraId="0EC04AF1" w14:textId="77777777" w:rsidR="003321BE" w:rsidRPr="00886459" w:rsidRDefault="003321BE" w:rsidP="007C5AF9">
      <w:pPr>
        <w:rPr>
          <w:szCs w:val="24"/>
        </w:rPr>
      </w:pPr>
    </w:p>
    <w:p w14:paraId="0207BB0C" w14:textId="77777777" w:rsidR="002677E1" w:rsidRPr="00886459" w:rsidRDefault="002677E1" w:rsidP="007C5AF9">
      <w:pPr>
        <w:rPr>
          <w:szCs w:val="24"/>
        </w:rPr>
      </w:pPr>
    </w:p>
    <w:p w14:paraId="7D9F7760" w14:textId="77777777" w:rsidR="00DA053A" w:rsidRPr="00886459" w:rsidRDefault="007E68FE" w:rsidP="003B29B4">
      <w:pPr>
        <w:spacing w:line="360" w:lineRule="atLeast"/>
        <w:ind w:firstLine="720"/>
        <w:jc w:val="both"/>
        <w:rPr>
          <w:szCs w:val="24"/>
        </w:rPr>
      </w:pPr>
      <w:r w:rsidRPr="00886459">
        <w:rPr>
          <w:szCs w:val="24"/>
        </w:rPr>
        <w:t>Te</w:t>
      </w:r>
      <w:r w:rsidR="009957EB">
        <w:rPr>
          <w:szCs w:val="24"/>
        </w:rPr>
        <w:t xml:space="preserve">isės akto projekto pavadinimas: </w:t>
      </w:r>
      <w:r w:rsidR="009957EB" w:rsidRPr="00263D3B">
        <w:rPr>
          <w:szCs w:val="24"/>
        </w:rPr>
        <w:t xml:space="preserve">Lietuvos Respublikos Vyriausybės nutarimo „Dėl Lietuvos Respublikos Vyriausybės </w:t>
      </w:r>
      <w:smartTag w:uri="urn:schemas-microsoft-com:office:smarttags" w:element="metricconverter">
        <w:smartTagPr>
          <w:attr w:name="ProductID" w:val="2005 M"/>
        </w:smartTagPr>
        <w:r w:rsidR="009957EB" w:rsidRPr="00263D3B">
          <w:rPr>
            <w:szCs w:val="24"/>
          </w:rPr>
          <w:t>2005 m</w:t>
        </w:r>
      </w:smartTag>
      <w:r w:rsidR="009957EB" w:rsidRPr="00263D3B">
        <w:rPr>
          <w:szCs w:val="24"/>
        </w:rPr>
        <w:t>. balandžio 21</w:t>
      </w:r>
      <w:r w:rsidR="009957EB">
        <w:rPr>
          <w:szCs w:val="24"/>
        </w:rPr>
        <w:t> </w:t>
      </w:r>
      <w:r w:rsidR="009957EB" w:rsidRPr="00263D3B">
        <w:rPr>
          <w:szCs w:val="24"/>
        </w:rPr>
        <w:t>d. nutarimo Nr. 447 „Dėl Lietuvos Respublikos kelių priežiūros ir plėtros programos finansavimo įstatymo į</w:t>
      </w:r>
      <w:r w:rsidR="009957EB">
        <w:rPr>
          <w:szCs w:val="24"/>
        </w:rPr>
        <w:t>gyvendinimo“ pakeitimo“</w:t>
      </w:r>
      <w:r w:rsidR="0039109C" w:rsidRPr="00886459">
        <w:rPr>
          <w:szCs w:val="24"/>
        </w:rPr>
        <w:t xml:space="preserve"> projektas</w:t>
      </w:r>
      <w:r w:rsidRPr="00886459">
        <w:rPr>
          <w:szCs w:val="24"/>
        </w:rPr>
        <w:t xml:space="preserve"> (toliau – Projektas)</w:t>
      </w:r>
      <w:r w:rsidR="001D3ACC" w:rsidRPr="00886459">
        <w:rPr>
          <w:szCs w:val="24"/>
        </w:rPr>
        <w:t>.</w:t>
      </w:r>
    </w:p>
    <w:p w14:paraId="69B38AAC" w14:textId="78D50C82" w:rsidR="007E68FE" w:rsidRPr="00886459" w:rsidRDefault="007E68FE" w:rsidP="003B29B4">
      <w:pPr>
        <w:spacing w:line="360" w:lineRule="atLeast"/>
        <w:ind w:firstLine="720"/>
        <w:jc w:val="both"/>
        <w:rPr>
          <w:szCs w:val="24"/>
        </w:rPr>
      </w:pPr>
      <w:r w:rsidRPr="00886459">
        <w:rPr>
          <w:szCs w:val="24"/>
        </w:rPr>
        <w:t xml:space="preserve">Teisės akto projekto </w:t>
      </w:r>
      <w:r w:rsidR="00B269C6">
        <w:rPr>
          <w:szCs w:val="24"/>
        </w:rPr>
        <w:t>tiesioginis rengėjas</w:t>
      </w:r>
      <w:r w:rsidRPr="00886459">
        <w:rPr>
          <w:szCs w:val="24"/>
        </w:rPr>
        <w:t xml:space="preserve">: </w:t>
      </w:r>
      <w:r w:rsidR="001D7C76" w:rsidRPr="00886459">
        <w:rPr>
          <w:szCs w:val="24"/>
        </w:rPr>
        <w:t>Susisiekimo ministerijos Kelių transporto ir civilinės aviacijos politikos departamento Kelių transporto skyriaus</w:t>
      </w:r>
      <w:r w:rsidR="001211DA" w:rsidRPr="00886459">
        <w:rPr>
          <w:szCs w:val="24"/>
        </w:rPr>
        <w:t xml:space="preserve"> vyriausiasis specialistas</w:t>
      </w:r>
      <w:r w:rsidR="0029101A">
        <w:rPr>
          <w:szCs w:val="24"/>
        </w:rPr>
        <w:t xml:space="preserve"> Aleksandras Stupenko</w:t>
      </w:r>
      <w:r w:rsidR="001211DA" w:rsidRPr="00886459">
        <w:rPr>
          <w:szCs w:val="24"/>
        </w:rPr>
        <w:t>.</w:t>
      </w:r>
    </w:p>
    <w:p w14:paraId="27DBCF83" w14:textId="77777777" w:rsidR="007E68FE" w:rsidRPr="00886459" w:rsidRDefault="007E68FE" w:rsidP="003B29B4">
      <w:pPr>
        <w:spacing w:line="360" w:lineRule="atLeast"/>
        <w:ind w:firstLine="720"/>
        <w:jc w:val="both"/>
        <w:rPr>
          <w:szCs w:val="24"/>
        </w:rPr>
      </w:pPr>
      <w:r w:rsidRPr="00886459">
        <w:rPr>
          <w:szCs w:val="24"/>
        </w:rPr>
        <w:t>Antikorupciniu požiūriu rizikingos teisės akto projekto nuostatos:</w:t>
      </w:r>
      <w:r w:rsidR="00634E70" w:rsidRPr="00886459">
        <w:rPr>
          <w:szCs w:val="24"/>
        </w:rPr>
        <w:t xml:space="preserve"> nėra.</w:t>
      </w:r>
    </w:p>
    <w:p w14:paraId="36B4A510" w14:textId="77777777" w:rsidR="002677E1" w:rsidRPr="00886459" w:rsidRDefault="002677E1" w:rsidP="00185A31">
      <w:pPr>
        <w:spacing w:line="360" w:lineRule="atLeast"/>
        <w:jc w:val="both"/>
        <w:rPr>
          <w:sz w:val="22"/>
          <w:szCs w:val="22"/>
        </w:rPr>
      </w:pPr>
    </w:p>
    <w:tbl>
      <w:tblPr>
        <w:tblW w:w="15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3382"/>
        <w:gridCol w:w="4587"/>
        <w:gridCol w:w="3794"/>
        <w:gridCol w:w="2685"/>
      </w:tblGrid>
      <w:tr w:rsidR="00961370" w:rsidRPr="00886459" w14:paraId="7F359DAD" w14:textId="77777777" w:rsidTr="004D3611">
        <w:trPr>
          <w:trHeight w:val="23"/>
          <w:tblHeader/>
        </w:trPr>
        <w:tc>
          <w:tcPr>
            <w:tcW w:w="707" w:type="dxa"/>
            <w:vAlign w:val="center"/>
          </w:tcPr>
          <w:p w14:paraId="4B2D33CC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Eil. Nr.</w:t>
            </w:r>
          </w:p>
        </w:tc>
        <w:tc>
          <w:tcPr>
            <w:tcW w:w="3382" w:type="dxa"/>
            <w:vAlign w:val="center"/>
          </w:tcPr>
          <w:p w14:paraId="202902E9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Kriterijus</w:t>
            </w:r>
          </w:p>
        </w:tc>
        <w:tc>
          <w:tcPr>
            <w:tcW w:w="4587" w:type="dxa"/>
            <w:vAlign w:val="center"/>
          </w:tcPr>
          <w:p w14:paraId="60616A67" w14:textId="77777777" w:rsidR="007E68FE" w:rsidRPr="00886459" w:rsidRDefault="007E68FE" w:rsidP="00AC7250">
            <w:pPr>
              <w:jc w:val="center"/>
              <w:rPr>
                <w:b/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794" w:type="dxa"/>
            <w:vAlign w:val="center"/>
          </w:tcPr>
          <w:p w14:paraId="143BCF62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vAlign w:val="center"/>
          </w:tcPr>
          <w:p w14:paraId="558F8D89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961370" w:rsidRPr="00886459" w14:paraId="05B05F0E" w14:textId="77777777" w:rsidTr="004D3611">
        <w:trPr>
          <w:trHeight w:val="23"/>
        </w:trPr>
        <w:tc>
          <w:tcPr>
            <w:tcW w:w="707" w:type="dxa"/>
          </w:tcPr>
          <w:p w14:paraId="46EEFF0B" w14:textId="77777777" w:rsidR="007E68FE" w:rsidRPr="00886459" w:rsidRDefault="007E68FE" w:rsidP="00AC725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2" w:type="dxa"/>
          </w:tcPr>
          <w:p w14:paraId="59BB12F3" w14:textId="77777777" w:rsidR="007E68FE" w:rsidRPr="00886459" w:rsidRDefault="007E68FE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78D2D8D4" w14:textId="77777777" w:rsidR="007E68FE" w:rsidRPr="00886459" w:rsidRDefault="007E68FE" w:rsidP="00AC7250">
            <w:pPr>
              <w:jc w:val="center"/>
              <w:rPr>
                <w:i/>
                <w:sz w:val="22"/>
                <w:szCs w:val="22"/>
              </w:rPr>
            </w:pPr>
            <w:r w:rsidRPr="00886459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794" w:type="dxa"/>
            <w:vAlign w:val="center"/>
          </w:tcPr>
          <w:p w14:paraId="4BD53414" w14:textId="77777777" w:rsidR="007E68FE" w:rsidRPr="00886459" w:rsidRDefault="007E68FE" w:rsidP="00AC7250">
            <w:pPr>
              <w:jc w:val="center"/>
              <w:rPr>
                <w:i/>
                <w:sz w:val="22"/>
                <w:szCs w:val="22"/>
              </w:rPr>
            </w:pPr>
            <w:r w:rsidRPr="00886459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685" w:type="dxa"/>
            <w:vAlign w:val="center"/>
          </w:tcPr>
          <w:p w14:paraId="4D3BAEDE" w14:textId="77777777" w:rsidR="007E68FE" w:rsidRPr="00886459" w:rsidRDefault="007E68FE" w:rsidP="00AC7250">
            <w:pPr>
              <w:jc w:val="center"/>
              <w:rPr>
                <w:i/>
                <w:sz w:val="22"/>
                <w:szCs w:val="22"/>
              </w:rPr>
            </w:pPr>
            <w:r w:rsidRPr="00886459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961370" w:rsidRPr="00886459" w14:paraId="4FE156ED" w14:textId="77777777" w:rsidTr="004D3611">
        <w:trPr>
          <w:trHeight w:val="23"/>
        </w:trPr>
        <w:tc>
          <w:tcPr>
            <w:tcW w:w="707" w:type="dxa"/>
          </w:tcPr>
          <w:p w14:paraId="5A3B5ED9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1.</w:t>
            </w:r>
          </w:p>
        </w:tc>
        <w:tc>
          <w:tcPr>
            <w:tcW w:w="3382" w:type="dxa"/>
          </w:tcPr>
          <w:p w14:paraId="32B27E9A" w14:textId="77777777" w:rsidR="007E68FE" w:rsidRPr="00886459" w:rsidRDefault="007E68FE" w:rsidP="00185A31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587" w:type="dxa"/>
          </w:tcPr>
          <w:p w14:paraId="04AFB6A3" w14:textId="77777777" w:rsidR="00082B95" w:rsidRPr="00E549FE" w:rsidRDefault="007E68FE" w:rsidP="00045E53">
            <w:pPr>
              <w:jc w:val="both"/>
              <w:rPr>
                <w:sz w:val="22"/>
                <w:szCs w:val="22"/>
              </w:rPr>
            </w:pPr>
            <w:r w:rsidRPr="00E549FE">
              <w:rPr>
                <w:sz w:val="22"/>
                <w:szCs w:val="22"/>
              </w:rPr>
              <w:t>Projektas nesukuria išskirtinių ar nevienodų sąlygų</w:t>
            </w:r>
            <w:r w:rsidR="00082B95" w:rsidRPr="00E549FE">
              <w:rPr>
                <w:sz w:val="22"/>
                <w:szCs w:val="22"/>
              </w:rPr>
              <w:t xml:space="preserve"> a</w:t>
            </w:r>
            <w:r w:rsidR="00A14221" w:rsidRPr="00E549FE">
              <w:rPr>
                <w:sz w:val="22"/>
                <w:szCs w:val="22"/>
              </w:rPr>
              <w:t>smenims, su kuriais susijęs šis</w:t>
            </w:r>
            <w:r w:rsidR="00082B95" w:rsidRPr="00E549FE">
              <w:rPr>
                <w:sz w:val="22"/>
                <w:szCs w:val="22"/>
              </w:rPr>
              <w:t xml:space="preserve"> projektas.</w:t>
            </w:r>
          </w:p>
          <w:p w14:paraId="63FE32C6" w14:textId="77777777" w:rsidR="006F6C96" w:rsidRPr="00E549FE" w:rsidRDefault="00266978" w:rsidP="00045E53">
            <w:pPr>
              <w:jc w:val="both"/>
              <w:rPr>
                <w:sz w:val="22"/>
                <w:szCs w:val="22"/>
              </w:rPr>
            </w:pPr>
            <w:r w:rsidRPr="00E549FE">
              <w:rPr>
                <w:sz w:val="22"/>
                <w:szCs w:val="22"/>
              </w:rPr>
              <w:t xml:space="preserve">Projektas nustatys </w:t>
            </w:r>
            <w:r w:rsidR="00EF38B6" w:rsidRPr="00E549FE">
              <w:rPr>
                <w:sz w:val="22"/>
                <w:szCs w:val="22"/>
              </w:rPr>
              <w:t xml:space="preserve">vienodas sąlygas valstybės institucijoms </w:t>
            </w:r>
            <w:r w:rsidR="00321838" w:rsidRPr="00E549FE">
              <w:rPr>
                <w:sz w:val="22"/>
                <w:szCs w:val="22"/>
              </w:rPr>
              <w:t xml:space="preserve">ir savivaldybėms </w:t>
            </w:r>
            <w:r w:rsidR="00EF38B6" w:rsidRPr="00E549FE">
              <w:rPr>
                <w:sz w:val="22"/>
                <w:szCs w:val="22"/>
              </w:rPr>
              <w:t xml:space="preserve">gauti </w:t>
            </w:r>
            <w:r w:rsidR="006F6C96" w:rsidRPr="00E549FE">
              <w:rPr>
                <w:sz w:val="22"/>
                <w:szCs w:val="22"/>
              </w:rPr>
              <w:t>K</w:t>
            </w:r>
            <w:r w:rsidR="00A77B48" w:rsidRPr="00E549FE">
              <w:rPr>
                <w:sz w:val="22"/>
                <w:szCs w:val="22"/>
              </w:rPr>
              <w:t>elių priežiūros ir plėtros programos</w:t>
            </w:r>
            <w:r w:rsidR="00552CED" w:rsidRPr="00E549FE">
              <w:rPr>
                <w:sz w:val="22"/>
                <w:szCs w:val="22"/>
              </w:rPr>
              <w:t xml:space="preserve"> (toliau – Programa)</w:t>
            </w:r>
            <w:r w:rsidR="00A77B48" w:rsidRPr="00E549FE">
              <w:rPr>
                <w:sz w:val="22"/>
                <w:szCs w:val="22"/>
              </w:rPr>
              <w:t xml:space="preserve"> </w:t>
            </w:r>
            <w:r w:rsidR="00321838" w:rsidRPr="00E549FE">
              <w:rPr>
                <w:sz w:val="22"/>
                <w:szCs w:val="22"/>
              </w:rPr>
              <w:t>finansavimo lėšų rezervo lėšų valstybės reikmėms, susijusioms su keliais, finansuoti, kai stokojama lėšų pradėtiems darbams užbaigti, taip pat nenumatytų kelių tinklo plėtojimo, rekonstravimo ir funkcionavimo darbų finansavimui užtikrinti.</w:t>
            </w:r>
          </w:p>
          <w:p w14:paraId="4A0FAE3B" w14:textId="77777777" w:rsidR="008F7EAA" w:rsidRPr="00E549FE" w:rsidRDefault="00552CED" w:rsidP="00045E53">
            <w:pPr>
              <w:jc w:val="both"/>
              <w:rPr>
                <w:sz w:val="22"/>
                <w:szCs w:val="22"/>
              </w:rPr>
            </w:pPr>
            <w:r w:rsidRPr="00E549FE">
              <w:rPr>
                <w:sz w:val="22"/>
                <w:szCs w:val="22"/>
              </w:rPr>
              <w:t>Valstybės institucijos ir savivaldybės pra</w:t>
            </w:r>
            <w:r w:rsidR="00321838" w:rsidRPr="00E549FE">
              <w:rPr>
                <w:sz w:val="22"/>
                <w:szCs w:val="22"/>
              </w:rPr>
              <w:t>šymus skirti rezervo lėšų teiks</w:t>
            </w:r>
            <w:r w:rsidRPr="00E549FE">
              <w:rPr>
                <w:sz w:val="22"/>
                <w:szCs w:val="22"/>
              </w:rPr>
              <w:t xml:space="preserve"> Lietuvos automobilių kelių direkcijai, kuri, įvertinusi šiuos prašymus </w:t>
            </w:r>
            <w:r w:rsidR="00321838" w:rsidRPr="00E549FE">
              <w:rPr>
                <w:sz w:val="22"/>
                <w:szCs w:val="22"/>
              </w:rPr>
              <w:t>sudarys</w:t>
            </w:r>
            <w:r w:rsidRPr="00E549FE">
              <w:rPr>
                <w:sz w:val="22"/>
                <w:szCs w:val="22"/>
              </w:rPr>
              <w:t xml:space="preserve"> valstybinės reikšmės ir vietinės reikšmės </w:t>
            </w:r>
            <w:r w:rsidRPr="00E549FE">
              <w:rPr>
                <w:sz w:val="22"/>
                <w:szCs w:val="22"/>
              </w:rPr>
              <w:lastRenderedPageBreak/>
              <w:t xml:space="preserve">kelių (gatvių) objektų prioritetų sąrašą (toliau – sąrašas) ir </w:t>
            </w:r>
            <w:r w:rsidR="00321838" w:rsidRPr="00E549FE">
              <w:rPr>
                <w:sz w:val="22"/>
                <w:szCs w:val="22"/>
              </w:rPr>
              <w:t xml:space="preserve">pateiks </w:t>
            </w:r>
            <w:r w:rsidRPr="00E549FE">
              <w:rPr>
                <w:sz w:val="22"/>
                <w:szCs w:val="22"/>
              </w:rPr>
              <w:t xml:space="preserve">Susisiekimo ministerijai. Susisiekimo ministerija </w:t>
            </w:r>
            <w:r w:rsidR="00321838" w:rsidRPr="00E549FE">
              <w:rPr>
                <w:sz w:val="22"/>
                <w:szCs w:val="22"/>
              </w:rPr>
              <w:t>parengs</w:t>
            </w:r>
            <w:r w:rsidRPr="00E549FE">
              <w:rPr>
                <w:sz w:val="22"/>
                <w:szCs w:val="22"/>
              </w:rPr>
              <w:t xml:space="preserve"> Lietuvos Respublikos Vyriausybės nutarimo dėl P</w:t>
            </w:r>
            <w:r w:rsidRPr="00E549FE">
              <w:rPr>
                <w:rStyle w:val="Hipersaitas"/>
                <w:color w:val="auto"/>
                <w:sz w:val="22"/>
                <w:szCs w:val="22"/>
                <w:u w:val="none"/>
              </w:rPr>
              <w:t xml:space="preserve">rogramos finansavimo lėšų rezervo valstybės reikmėms, susijusioms su keliais, finansuoti paskirstymo </w:t>
            </w:r>
            <w:r w:rsidRPr="00E549FE">
              <w:rPr>
                <w:sz w:val="22"/>
                <w:szCs w:val="22"/>
              </w:rPr>
              <w:t>pagal sąrašą projektą.</w:t>
            </w:r>
          </w:p>
          <w:p w14:paraId="3B906CBF" w14:textId="6EC532BF" w:rsidR="00552CED" w:rsidRPr="00E549FE" w:rsidRDefault="00961370" w:rsidP="00045E53">
            <w:pPr>
              <w:jc w:val="both"/>
              <w:rPr>
                <w:sz w:val="22"/>
                <w:szCs w:val="22"/>
              </w:rPr>
            </w:pPr>
            <w:r w:rsidRPr="00E549FE">
              <w:rPr>
                <w:sz w:val="22"/>
                <w:szCs w:val="22"/>
              </w:rPr>
              <w:t>Projektas nustatys vienodas sąlygas savivaldybėms gauti Programos finansavimo lėšų vietinės reikšmės keliams (gatvėms) tiesti, rekonstruoti,</w:t>
            </w:r>
            <w:r w:rsidRPr="00E549FE">
              <w:rPr>
                <w:bCs/>
                <w:sz w:val="22"/>
                <w:szCs w:val="22"/>
              </w:rPr>
              <w:t> </w:t>
            </w:r>
            <w:r w:rsidRPr="00E549FE">
              <w:rPr>
                <w:sz w:val="22"/>
                <w:szCs w:val="22"/>
              </w:rPr>
              <w:t>taisyti (remontuoti), prižiūrėti ir saugaus eismo sąlygoms užtikrinti</w:t>
            </w:r>
            <w:r w:rsidR="003B29B4" w:rsidRPr="00E549FE">
              <w:rPr>
                <w:sz w:val="22"/>
                <w:szCs w:val="22"/>
              </w:rPr>
              <w:t>,</w:t>
            </w:r>
            <w:r w:rsidRPr="00E549FE">
              <w:rPr>
                <w:sz w:val="22"/>
                <w:szCs w:val="22"/>
              </w:rPr>
              <w:t xml:space="preserve"> naudojamų pagal Projekto 6.2 papunktį.</w:t>
            </w:r>
          </w:p>
          <w:p w14:paraId="1E38B4E9" w14:textId="663C157A" w:rsidR="003B29B4" w:rsidRPr="00E549FE" w:rsidRDefault="00267523" w:rsidP="00045E53">
            <w:pPr>
              <w:jc w:val="both"/>
              <w:rPr>
                <w:sz w:val="22"/>
                <w:szCs w:val="22"/>
              </w:rPr>
            </w:pPr>
            <w:r w:rsidRPr="00E549FE">
              <w:rPr>
                <w:sz w:val="22"/>
                <w:szCs w:val="22"/>
              </w:rPr>
              <w:t>Lietuvos Respublikos kelių priežiūros ir plėtros programos finansavimo įstatymo 9 straipsnio 6 dalyje nurodytų keleivių ir transporto priemonių atžvilgiu bus taikomi vienodi reikalavimai kompensuojant perkėlimo keltais per Klaipėdos valstybinio jūrų uosto akvatoriją į Kuršių neriją ir i</w:t>
            </w:r>
            <w:r w:rsidR="003B29B4" w:rsidRPr="00E549FE">
              <w:rPr>
                <w:sz w:val="22"/>
                <w:szCs w:val="22"/>
              </w:rPr>
              <w:t>š Kuršių nerijos bilieto kainą.</w:t>
            </w:r>
          </w:p>
          <w:p w14:paraId="6EABCFE2" w14:textId="62B13099" w:rsidR="00FF4389" w:rsidRPr="00E549FE" w:rsidRDefault="00267523" w:rsidP="003B29B4">
            <w:pPr>
              <w:jc w:val="both"/>
              <w:rPr>
                <w:sz w:val="22"/>
                <w:szCs w:val="22"/>
              </w:rPr>
            </w:pPr>
            <w:r w:rsidRPr="00E549FE">
              <w:rPr>
                <w:sz w:val="22"/>
                <w:szCs w:val="22"/>
              </w:rPr>
              <w:t xml:space="preserve">Minėti asmenys ir transporto priemonės bus </w:t>
            </w:r>
            <w:r w:rsidR="003B29B4" w:rsidRPr="00E549FE">
              <w:rPr>
                <w:sz w:val="22"/>
                <w:szCs w:val="22"/>
              </w:rPr>
              <w:t>identifikuojami</w:t>
            </w:r>
            <w:r w:rsidRPr="00E549FE">
              <w:rPr>
                <w:sz w:val="22"/>
                <w:szCs w:val="22"/>
              </w:rPr>
              <w:t xml:space="preserve"> informacinės sistemos pagalba (išskyrus dviračius, kurie nebus </w:t>
            </w:r>
            <w:r w:rsidR="003B29B4" w:rsidRPr="00E549FE">
              <w:rPr>
                <w:sz w:val="22"/>
                <w:szCs w:val="22"/>
              </w:rPr>
              <w:t>identifikuojami</w:t>
            </w:r>
            <w:r w:rsidRPr="00E549FE">
              <w:rPr>
                <w:sz w:val="22"/>
                <w:szCs w:val="22"/>
              </w:rPr>
              <w:t xml:space="preserve"> informacinės sistemos pagalba dėl </w:t>
            </w:r>
            <w:r w:rsidR="00D40DF9" w:rsidRPr="00E549FE">
              <w:rPr>
                <w:sz w:val="22"/>
                <w:szCs w:val="22"/>
              </w:rPr>
              <w:t xml:space="preserve">šios transporto rūšies </w:t>
            </w:r>
            <w:r w:rsidRPr="00E549FE">
              <w:rPr>
                <w:sz w:val="22"/>
                <w:szCs w:val="22"/>
              </w:rPr>
              <w:t>identifikavimo galimybių stokos</w:t>
            </w:r>
            <w:r w:rsidR="00D40DF9" w:rsidRPr="00E549FE">
              <w:rPr>
                <w:sz w:val="22"/>
                <w:szCs w:val="22"/>
              </w:rPr>
              <w:t>)</w:t>
            </w:r>
            <w:r w:rsidRPr="00E549FE">
              <w:rPr>
                <w:sz w:val="22"/>
                <w:szCs w:val="22"/>
              </w:rPr>
              <w:t>.</w:t>
            </w:r>
          </w:p>
        </w:tc>
        <w:tc>
          <w:tcPr>
            <w:tcW w:w="3794" w:type="dxa"/>
          </w:tcPr>
          <w:p w14:paraId="50530983" w14:textId="77777777" w:rsidR="007E68FE" w:rsidRPr="00886459" w:rsidRDefault="007E68FE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1CA0BC8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D6D945B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2168DDD7" w14:textId="77777777" w:rsidTr="004D3611">
        <w:trPr>
          <w:trHeight w:val="23"/>
        </w:trPr>
        <w:tc>
          <w:tcPr>
            <w:tcW w:w="707" w:type="dxa"/>
          </w:tcPr>
          <w:p w14:paraId="12D0A335" w14:textId="77777777" w:rsidR="007E68FE" w:rsidRPr="00886459" w:rsidRDefault="007E68FE" w:rsidP="00AC7250">
            <w:pPr>
              <w:keepNext/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2.</w:t>
            </w:r>
          </w:p>
        </w:tc>
        <w:tc>
          <w:tcPr>
            <w:tcW w:w="3382" w:type="dxa"/>
          </w:tcPr>
          <w:p w14:paraId="6911EB50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587" w:type="dxa"/>
          </w:tcPr>
          <w:p w14:paraId="6F7D4BB4" w14:textId="77777777" w:rsidR="002677E1" w:rsidRPr="00A23812" w:rsidRDefault="006A4DC7" w:rsidP="00045E53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  <w:r w:rsidRPr="00A23812">
              <w:rPr>
                <w:sz w:val="22"/>
                <w:szCs w:val="22"/>
              </w:rPr>
              <w:t xml:space="preserve">Projekto nuostatos </w:t>
            </w:r>
            <w:r w:rsidR="007E68FE" w:rsidRPr="00A23812">
              <w:rPr>
                <w:sz w:val="22"/>
                <w:szCs w:val="22"/>
              </w:rPr>
              <w:t xml:space="preserve">yra aiškios ir nesudaro galimybės </w:t>
            </w:r>
            <w:r w:rsidR="00901D06" w:rsidRPr="00A23812">
              <w:rPr>
                <w:sz w:val="22"/>
                <w:szCs w:val="22"/>
              </w:rPr>
              <w:t xml:space="preserve">jas </w:t>
            </w:r>
            <w:r w:rsidR="007E68FE" w:rsidRPr="00A23812">
              <w:rPr>
                <w:sz w:val="22"/>
                <w:szCs w:val="22"/>
              </w:rPr>
              <w:t>dviprasmiškai aiškinti ir taikyti</w:t>
            </w:r>
            <w:r w:rsidR="00BF3BF7" w:rsidRPr="00A23812">
              <w:rPr>
                <w:sz w:val="22"/>
                <w:szCs w:val="22"/>
              </w:rPr>
              <w:t>.</w:t>
            </w:r>
          </w:p>
          <w:p w14:paraId="34CE2AF5" w14:textId="77777777" w:rsidR="00FF4389" w:rsidRPr="00A23812" w:rsidRDefault="00FF4389" w:rsidP="00045E53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6452C880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6E2CBFD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5B87B8E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12AB7ECA" w14:textId="77777777" w:rsidTr="004D3611">
        <w:trPr>
          <w:trHeight w:val="23"/>
        </w:trPr>
        <w:tc>
          <w:tcPr>
            <w:tcW w:w="707" w:type="dxa"/>
          </w:tcPr>
          <w:p w14:paraId="4F13401F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3.</w:t>
            </w:r>
          </w:p>
        </w:tc>
        <w:tc>
          <w:tcPr>
            <w:tcW w:w="3382" w:type="dxa"/>
          </w:tcPr>
          <w:p w14:paraId="308FB5E3" w14:textId="77777777" w:rsidR="007E68FE" w:rsidRPr="00886459" w:rsidRDefault="007E68FE" w:rsidP="00185A31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Teisės akto projekte nustatyta, kad sprendimą dėl teisių suteikimo, </w:t>
            </w:r>
            <w:r w:rsidRPr="00886459">
              <w:rPr>
                <w:sz w:val="22"/>
                <w:szCs w:val="22"/>
              </w:rPr>
              <w:lastRenderedPageBreak/>
              <w:t>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4587" w:type="dxa"/>
          </w:tcPr>
          <w:p w14:paraId="14418A07" w14:textId="77777777" w:rsidR="0005460B" w:rsidRPr="00A23812" w:rsidRDefault="00F5739C" w:rsidP="003B3349">
            <w:pPr>
              <w:jc w:val="both"/>
              <w:rPr>
                <w:sz w:val="22"/>
                <w:szCs w:val="22"/>
              </w:rPr>
            </w:pPr>
            <w:r w:rsidRPr="00A23812">
              <w:rPr>
                <w:sz w:val="22"/>
                <w:szCs w:val="22"/>
              </w:rPr>
              <w:lastRenderedPageBreak/>
              <w:t>Nereglamentuota.</w:t>
            </w:r>
          </w:p>
          <w:p w14:paraId="3158E9BD" w14:textId="77777777" w:rsidR="002677E1" w:rsidRPr="00BB358C" w:rsidRDefault="002677E1" w:rsidP="003B33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3B0BBE2B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4C8B4E8A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750D296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2D9E90E3" w14:textId="77777777" w:rsidTr="004D3611">
        <w:trPr>
          <w:trHeight w:val="23"/>
        </w:trPr>
        <w:tc>
          <w:tcPr>
            <w:tcW w:w="707" w:type="dxa"/>
          </w:tcPr>
          <w:p w14:paraId="582BCAFF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4.</w:t>
            </w:r>
          </w:p>
        </w:tc>
        <w:tc>
          <w:tcPr>
            <w:tcW w:w="3382" w:type="dxa"/>
          </w:tcPr>
          <w:p w14:paraId="23177AA5" w14:textId="77777777" w:rsidR="007E68FE" w:rsidRPr="00886459" w:rsidRDefault="007E68FE" w:rsidP="00185A31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4587" w:type="dxa"/>
          </w:tcPr>
          <w:p w14:paraId="71C296BE" w14:textId="6696607D" w:rsidR="00A25AF2" w:rsidRPr="00E120D6" w:rsidRDefault="00B25EE5" w:rsidP="003B29B4">
            <w:pPr>
              <w:jc w:val="both"/>
              <w:rPr>
                <w:szCs w:val="24"/>
              </w:rPr>
            </w:pPr>
            <w:r w:rsidRPr="00BB358C">
              <w:rPr>
                <w:sz w:val="22"/>
                <w:szCs w:val="22"/>
              </w:rPr>
              <w:t xml:space="preserve">Projektu </w:t>
            </w:r>
            <w:r w:rsidR="007E68FE" w:rsidRPr="00BB358C">
              <w:rPr>
                <w:sz w:val="22"/>
                <w:szCs w:val="22"/>
              </w:rPr>
              <w:t xml:space="preserve">įtvirtinti </w:t>
            </w:r>
            <w:r w:rsidR="00751172">
              <w:rPr>
                <w:sz w:val="22"/>
                <w:szCs w:val="22"/>
              </w:rPr>
              <w:t>valstybės institucijų ir savivaldybės</w:t>
            </w:r>
            <w:r w:rsidR="00A25AF2">
              <w:rPr>
                <w:sz w:val="22"/>
                <w:szCs w:val="22"/>
              </w:rPr>
              <w:t xml:space="preserve"> </w:t>
            </w:r>
            <w:r w:rsidR="00751172">
              <w:rPr>
                <w:sz w:val="22"/>
                <w:szCs w:val="22"/>
              </w:rPr>
              <w:t>įgaliojimai</w:t>
            </w:r>
            <w:r w:rsidR="00A25AF2">
              <w:rPr>
                <w:sz w:val="22"/>
                <w:szCs w:val="22"/>
              </w:rPr>
              <w:t xml:space="preserve"> (teisės)</w:t>
            </w:r>
            <w:r w:rsidR="00751172">
              <w:rPr>
                <w:sz w:val="22"/>
                <w:szCs w:val="22"/>
              </w:rPr>
              <w:t xml:space="preserve"> </w:t>
            </w:r>
            <w:r w:rsidR="00A25AF2">
              <w:rPr>
                <w:sz w:val="22"/>
                <w:szCs w:val="22"/>
              </w:rPr>
              <w:t xml:space="preserve">atitiks jų atliekamas funkcijas (pareigas), nustatytas </w:t>
            </w:r>
            <w:r w:rsidR="00751172" w:rsidRPr="00BB358C">
              <w:rPr>
                <w:sz w:val="22"/>
                <w:szCs w:val="22"/>
              </w:rPr>
              <w:t>Lietuvos Respublikos</w:t>
            </w:r>
            <w:r w:rsidR="00E120D6">
              <w:rPr>
                <w:sz w:val="22"/>
                <w:szCs w:val="22"/>
              </w:rPr>
              <w:t xml:space="preserve"> viešojo administravimo įstatyme</w:t>
            </w:r>
            <w:r w:rsidR="00A25AF2">
              <w:rPr>
                <w:sz w:val="22"/>
                <w:szCs w:val="22"/>
              </w:rPr>
              <w:t xml:space="preserve">, </w:t>
            </w:r>
            <w:r w:rsidR="00A25AF2" w:rsidRPr="00263D3B">
              <w:rPr>
                <w:szCs w:val="24"/>
              </w:rPr>
              <w:t xml:space="preserve">Lietuvos Respublikos </w:t>
            </w:r>
            <w:r w:rsidR="00A25AF2">
              <w:rPr>
                <w:szCs w:val="24"/>
              </w:rPr>
              <w:t>vietos savivaldos įstatyme,</w:t>
            </w:r>
            <w:r w:rsidR="00A25AF2">
              <w:rPr>
                <w:sz w:val="22"/>
                <w:szCs w:val="22"/>
              </w:rPr>
              <w:t xml:space="preserve"> </w:t>
            </w:r>
            <w:r w:rsidR="00751172" w:rsidRPr="00BB358C">
              <w:rPr>
                <w:sz w:val="22"/>
                <w:szCs w:val="22"/>
              </w:rPr>
              <w:t>Lietuvos Respublikos Vyriausybės įstatym</w:t>
            </w:r>
            <w:r w:rsidR="00A25AF2">
              <w:rPr>
                <w:sz w:val="22"/>
                <w:szCs w:val="22"/>
              </w:rPr>
              <w:t xml:space="preserve">e, </w:t>
            </w:r>
            <w:r w:rsidR="00A25AF2" w:rsidRPr="00263D3B">
              <w:rPr>
                <w:szCs w:val="24"/>
              </w:rPr>
              <w:t xml:space="preserve">Lietuvos Respublikos kelių priežiūros ir plėtros </w:t>
            </w:r>
            <w:r w:rsidR="00A25AF2">
              <w:rPr>
                <w:szCs w:val="24"/>
              </w:rPr>
              <w:t>programos finansavimo įstatyme ir kituose teisės aktuose.</w:t>
            </w:r>
          </w:p>
        </w:tc>
        <w:tc>
          <w:tcPr>
            <w:tcW w:w="3794" w:type="dxa"/>
          </w:tcPr>
          <w:p w14:paraId="511DEE15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4438D9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2E9BE4A0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AA55508" w14:textId="77777777" w:rsidTr="004D3611">
        <w:trPr>
          <w:trHeight w:val="746"/>
        </w:trPr>
        <w:tc>
          <w:tcPr>
            <w:tcW w:w="707" w:type="dxa"/>
          </w:tcPr>
          <w:p w14:paraId="3729283C" w14:textId="64A49441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5.</w:t>
            </w:r>
          </w:p>
        </w:tc>
        <w:tc>
          <w:tcPr>
            <w:tcW w:w="3382" w:type="dxa"/>
          </w:tcPr>
          <w:p w14:paraId="40F9627C" w14:textId="77777777" w:rsidR="007E68FE" w:rsidRPr="00886459" w:rsidRDefault="007E68FE" w:rsidP="001079FB">
            <w:pPr>
              <w:rPr>
                <w:sz w:val="22"/>
                <w:szCs w:val="22"/>
                <w:highlight w:val="yellow"/>
              </w:rPr>
            </w:pPr>
            <w:r w:rsidRPr="0088645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587" w:type="dxa"/>
          </w:tcPr>
          <w:p w14:paraId="6CC9C7DF" w14:textId="55E93D2C" w:rsidR="00E549FE" w:rsidRPr="00BB358C" w:rsidRDefault="00E549FE" w:rsidP="00E549F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3611">
              <w:rPr>
                <w:sz w:val="22"/>
                <w:szCs w:val="22"/>
              </w:rPr>
              <w:t>Nereglamentuota.</w:t>
            </w:r>
          </w:p>
          <w:p w14:paraId="5D4CB2B3" w14:textId="2F796C14" w:rsidR="00D6729A" w:rsidRPr="00BB358C" w:rsidRDefault="00D6729A" w:rsidP="00E549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6270597D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B25EFCC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496D215A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10D8AA0E" w14:textId="77777777" w:rsidTr="004D3611">
        <w:trPr>
          <w:trHeight w:val="23"/>
        </w:trPr>
        <w:tc>
          <w:tcPr>
            <w:tcW w:w="707" w:type="dxa"/>
          </w:tcPr>
          <w:p w14:paraId="33BBFDDB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6.</w:t>
            </w:r>
          </w:p>
        </w:tc>
        <w:tc>
          <w:tcPr>
            <w:tcW w:w="3382" w:type="dxa"/>
          </w:tcPr>
          <w:p w14:paraId="4E068E67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587" w:type="dxa"/>
          </w:tcPr>
          <w:p w14:paraId="3518E82F" w14:textId="6D4DA3B9" w:rsidR="00E549FE" w:rsidRPr="00BB358C" w:rsidRDefault="00E549FE" w:rsidP="00E549F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Nereglamentuota.</w:t>
            </w:r>
          </w:p>
          <w:p w14:paraId="34A747B5" w14:textId="0916ACE9" w:rsidR="002677E1" w:rsidRPr="00BB358C" w:rsidRDefault="002677E1" w:rsidP="00A97E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1076C173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36E81253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0013C0D0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56EE86C7" w14:textId="77777777" w:rsidTr="004D3611">
        <w:trPr>
          <w:trHeight w:val="23"/>
        </w:trPr>
        <w:tc>
          <w:tcPr>
            <w:tcW w:w="707" w:type="dxa"/>
          </w:tcPr>
          <w:p w14:paraId="6300A14B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7.</w:t>
            </w:r>
          </w:p>
        </w:tc>
        <w:tc>
          <w:tcPr>
            <w:tcW w:w="3382" w:type="dxa"/>
          </w:tcPr>
          <w:p w14:paraId="2A38A94F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587" w:type="dxa"/>
          </w:tcPr>
          <w:p w14:paraId="0F8290EB" w14:textId="7C3C4C02" w:rsidR="00E549FE" w:rsidRPr="00BB358C" w:rsidRDefault="00E549FE" w:rsidP="00E549F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  <w:p w14:paraId="5AC41503" w14:textId="2AC4629E" w:rsidR="00A67275" w:rsidRPr="00BB358C" w:rsidRDefault="00A67275" w:rsidP="00D1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2F6701B6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1DB972FE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6E7D45E0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55FA74F2" w14:textId="77777777" w:rsidTr="004D3611">
        <w:trPr>
          <w:trHeight w:val="23"/>
        </w:trPr>
        <w:tc>
          <w:tcPr>
            <w:tcW w:w="707" w:type="dxa"/>
          </w:tcPr>
          <w:p w14:paraId="17B5696C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8.</w:t>
            </w:r>
          </w:p>
        </w:tc>
        <w:tc>
          <w:tcPr>
            <w:tcW w:w="3382" w:type="dxa"/>
          </w:tcPr>
          <w:p w14:paraId="259A01A5" w14:textId="77777777" w:rsidR="007E68FE" w:rsidRPr="00886459" w:rsidRDefault="007E68FE" w:rsidP="00B57826">
            <w:pPr>
              <w:rPr>
                <w:sz w:val="22"/>
                <w:szCs w:val="22"/>
                <w:highlight w:val="yellow"/>
              </w:rPr>
            </w:pPr>
            <w:r w:rsidRPr="00886459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587" w:type="dxa"/>
          </w:tcPr>
          <w:p w14:paraId="203DCD44" w14:textId="77777777" w:rsidR="007E68FE" w:rsidRPr="00BB358C" w:rsidRDefault="00A77A0F" w:rsidP="00A77A0F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</w:p>
        </w:tc>
        <w:tc>
          <w:tcPr>
            <w:tcW w:w="3794" w:type="dxa"/>
          </w:tcPr>
          <w:p w14:paraId="7DF877A0" w14:textId="77777777" w:rsidR="007E68FE" w:rsidRPr="00886459" w:rsidRDefault="007E68FE" w:rsidP="00B57826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401231BB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50AAF79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203CD99D" w14:textId="77777777" w:rsidTr="004D3611">
        <w:trPr>
          <w:trHeight w:val="23"/>
        </w:trPr>
        <w:tc>
          <w:tcPr>
            <w:tcW w:w="707" w:type="dxa"/>
          </w:tcPr>
          <w:p w14:paraId="04654667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382" w:type="dxa"/>
          </w:tcPr>
          <w:p w14:paraId="3C4A92C4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3ED4FA2" w14:textId="77777777" w:rsidR="007E68FE" w:rsidRPr="00886459" w:rsidRDefault="007E68FE" w:rsidP="00AC7250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1214B8F2" w14:textId="77777777" w:rsidR="007E68FE" w:rsidRPr="00886459" w:rsidRDefault="007E68FE" w:rsidP="00AC7250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4007CD24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9.3</w:t>
            </w:r>
            <w:r w:rsidRPr="00886459">
              <w:rPr>
                <w:spacing w:val="-4"/>
                <w:sz w:val="22"/>
                <w:szCs w:val="22"/>
              </w:rPr>
              <w:t>. narių skyrimo mechanizmas;</w:t>
            </w:r>
          </w:p>
          <w:p w14:paraId="0655C4E2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9.4. narių rotacija ir kadencijų skaičius ir trukmė;</w:t>
            </w:r>
          </w:p>
          <w:p w14:paraId="236ECDAC" w14:textId="77777777" w:rsidR="007E68FE" w:rsidRPr="00886459" w:rsidRDefault="007E68FE" w:rsidP="00AC7250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9.5. veiklos pobūdis laiko atžvilgiu;</w:t>
            </w:r>
          </w:p>
          <w:p w14:paraId="6CD50278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4587" w:type="dxa"/>
          </w:tcPr>
          <w:p w14:paraId="42CC9E45" w14:textId="37BE765B" w:rsidR="007E68FE" w:rsidRPr="00BB358C" w:rsidRDefault="001D64A0" w:rsidP="00C50D8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  <w:p w14:paraId="3EE08D77" w14:textId="77777777" w:rsidR="00862D47" w:rsidRPr="00BB358C" w:rsidRDefault="00862D47" w:rsidP="00C50D8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479FE43F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C0432CE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281DF496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523D9FB6" w14:textId="77777777" w:rsidTr="004D3611">
        <w:trPr>
          <w:trHeight w:val="23"/>
        </w:trPr>
        <w:tc>
          <w:tcPr>
            <w:tcW w:w="707" w:type="dxa"/>
          </w:tcPr>
          <w:p w14:paraId="59751B93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10.</w:t>
            </w:r>
          </w:p>
        </w:tc>
        <w:tc>
          <w:tcPr>
            <w:tcW w:w="3382" w:type="dxa"/>
          </w:tcPr>
          <w:p w14:paraId="7CAFB170" w14:textId="77777777" w:rsidR="007E68FE" w:rsidRPr="00886459" w:rsidRDefault="007E68FE" w:rsidP="00C35E85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886459">
              <w:rPr>
                <w:sz w:val="22"/>
                <w:szCs w:val="22"/>
                <w:shd w:val="clear" w:color="auto" w:fill="FFFFFF"/>
              </w:rPr>
              <w:t>būtinos,</w:t>
            </w:r>
            <w:r w:rsidRPr="00886459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4587" w:type="dxa"/>
          </w:tcPr>
          <w:p w14:paraId="7B370A1F" w14:textId="0BD65917" w:rsidR="00D057EB" w:rsidRPr="00BB358C" w:rsidRDefault="00AB15D6" w:rsidP="00D05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  <w:p w14:paraId="098C51F5" w14:textId="77777777" w:rsidR="007E68FE" w:rsidRPr="00BB358C" w:rsidRDefault="007E68FE" w:rsidP="00AC02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6730DFDF" w14:textId="77777777" w:rsidR="007E68FE" w:rsidRPr="00886459" w:rsidRDefault="007E68FE" w:rsidP="00EF139A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9094CDF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4D6DF34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2860829" w14:textId="77777777" w:rsidTr="004D3611">
        <w:trPr>
          <w:trHeight w:val="23"/>
        </w:trPr>
        <w:tc>
          <w:tcPr>
            <w:tcW w:w="707" w:type="dxa"/>
          </w:tcPr>
          <w:p w14:paraId="2124F072" w14:textId="77777777" w:rsidR="007E68FE" w:rsidRPr="00886459" w:rsidRDefault="007E68FE" w:rsidP="00AC7250">
            <w:pPr>
              <w:keepNext/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382" w:type="dxa"/>
          </w:tcPr>
          <w:p w14:paraId="21290B66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4587" w:type="dxa"/>
          </w:tcPr>
          <w:p w14:paraId="3EA7148F" w14:textId="77777777" w:rsidR="007E68FE" w:rsidRPr="00BB358C" w:rsidRDefault="005E0696" w:rsidP="00AC0205">
            <w:pPr>
              <w:keepNext/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  <w:r w:rsidR="007E68FE" w:rsidRPr="00BB358C">
              <w:rPr>
                <w:sz w:val="22"/>
                <w:szCs w:val="22"/>
              </w:rPr>
              <w:t xml:space="preserve"> </w:t>
            </w:r>
          </w:p>
          <w:p w14:paraId="2ACC76E3" w14:textId="77777777" w:rsidR="007E68FE" w:rsidRPr="00BB358C" w:rsidRDefault="007E68FE" w:rsidP="00AC0205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00F99A24" w14:textId="77777777" w:rsidR="007E68FE" w:rsidRPr="00886459" w:rsidRDefault="007E68FE" w:rsidP="004F1430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29B08FC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0B45DFA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DCDC678" w14:textId="77777777" w:rsidTr="004D3611">
        <w:trPr>
          <w:trHeight w:val="23"/>
        </w:trPr>
        <w:tc>
          <w:tcPr>
            <w:tcW w:w="707" w:type="dxa"/>
          </w:tcPr>
          <w:p w14:paraId="1AF3F143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12.</w:t>
            </w:r>
          </w:p>
        </w:tc>
        <w:tc>
          <w:tcPr>
            <w:tcW w:w="3382" w:type="dxa"/>
          </w:tcPr>
          <w:p w14:paraId="1B7B69D7" w14:textId="77777777" w:rsidR="007E68FE" w:rsidRPr="00886459" w:rsidRDefault="007E68FE" w:rsidP="00C35E85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587" w:type="dxa"/>
          </w:tcPr>
          <w:p w14:paraId="6898100E" w14:textId="77777777" w:rsidR="007E68FE" w:rsidRPr="00BB358C" w:rsidRDefault="00F02396" w:rsidP="00AC0205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</w:p>
          <w:p w14:paraId="2CACD6B5" w14:textId="77777777" w:rsidR="007E68FE" w:rsidRPr="00BB358C" w:rsidRDefault="007E68FE" w:rsidP="00AC02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7DB5ADA0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3DD2C517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9DFE7D5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0AAE07D" w14:textId="77777777" w:rsidTr="004D3611">
        <w:trPr>
          <w:trHeight w:val="23"/>
        </w:trPr>
        <w:tc>
          <w:tcPr>
            <w:tcW w:w="707" w:type="dxa"/>
          </w:tcPr>
          <w:p w14:paraId="5A43DF9B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13.</w:t>
            </w:r>
          </w:p>
        </w:tc>
        <w:tc>
          <w:tcPr>
            <w:tcW w:w="3382" w:type="dxa"/>
          </w:tcPr>
          <w:p w14:paraId="78E61A71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4587" w:type="dxa"/>
          </w:tcPr>
          <w:p w14:paraId="2E9158CA" w14:textId="77777777" w:rsidR="00312D93" w:rsidRPr="00BB358C" w:rsidRDefault="00312D93" w:rsidP="00312D93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</w:p>
          <w:p w14:paraId="1907FB0D" w14:textId="77777777" w:rsidR="007E68FE" w:rsidRPr="00BB358C" w:rsidRDefault="007E68FE" w:rsidP="00312D93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236E801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6F6F56BC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D5F6B7A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3CECF01C" w14:textId="77777777" w:rsidTr="004D3611">
        <w:trPr>
          <w:trHeight w:val="23"/>
        </w:trPr>
        <w:tc>
          <w:tcPr>
            <w:tcW w:w="707" w:type="dxa"/>
          </w:tcPr>
          <w:p w14:paraId="66730BF3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14.</w:t>
            </w:r>
          </w:p>
        </w:tc>
        <w:tc>
          <w:tcPr>
            <w:tcW w:w="3382" w:type="dxa"/>
          </w:tcPr>
          <w:p w14:paraId="669E62E2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4587" w:type="dxa"/>
          </w:tcPr>
          <w:p w14:paraId="654470BC" w14:textId="77777777" w:rsidR="0093442C" w:rsidRPr="00BB358C" w:rsidRDefault="0093442C" w:rsidP="0093442C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</w:p>
        </w:tc>
        <w:tc>
          <w:tcPr>
            <w:tcW w:w="3794" w:type="dxa"/>
          </w:tcPr>
          <w:p w14:paraId="0DA5C713" w14:textId="77777777" w:rsidR="007E68FE" w:rsidRPr="00886459" w:rsidRDefault="007E68FE" w:rsidP="004F14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2BD2D12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1AEE0A5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069ACB95" w14:textId="77777777" w:rsidTr="004D3611">
        <w:trPr>
          <w:trHeight w:val="23"/>
        </w:trPr>
        <w:tc>
          <w:tcPr>
            <w:tcW w:w="707" w:type="dxa"/>
          </w:tcPr>
          <w:p w14:paraId="68C437AA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15.</w:t>
            </w:r>
          </w:p>
        </w:tc>
        <w:tc>
          <w:tcPr>
            <w:tcW w:w="3382" w:type="dxa"/>
          </w:tcPr>
          <w:p w14:paraId="4A985843" w14:textId="77777777" w:rsidR="007E68FE" w:rsidRPr="00886459" w:rsidRDefault="007E68FE" w:rsidP="00AA480E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4587" w:type="dxa"/>
          </w:tcPr>
          <w:p w14:paraId="517EE492" w14:textId="77777777" w:rsidR="00F50995" w:rsidRPr="00BB358C" w:rsidRDefault="00E305F3" w:rsidP="0020767F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 xml:space="preserve">Kontrolės (priežiūros) procedūrą ir aiškius jos atlikimo </w:t>
            </w:r>
            <w:r w:rsidR="00FA01A9" w:rsidRPr="00BB358C">
              <w:rPr>
                <w:sz w:val="22"/>
                <w:szCs w:val="22"/>
              </w:rPr>
              <w:t xml:space="preserve">kriterijus </w:t>
            </w:r>
            <w:r w:rsidR="0020767F" w:rsidRPr="00BB358C">
              <w:rPr>
                <w:sz w:val="22"/>
                <w:szCs w:val="22"/>
              </w:rPr>
              <w:t>nustato kiti</w:t>
            </w:r>
            <w:r w:rsidRPr="00BB358C">
              <w:rPr>
                <w:sz w:val="22"/>
                <w:szCs w:val="22"/>
              </w:rPr>
              <w:t xml:space="preserve"> teisės aktai.</w:t>
            </w:r>
          </w:p>
        </w:tc>
        <w:tc>
          <w:tcPr>
            <w:tcW w:w="3794" w:type="dxa"/>
          </w:tcPr>
          <w:p w14:paraId="0C1393E7" w14:textId="77777777" w:rsidR="007E68FE" w:rsidRPr="00886459" w:rsidRDefault="007E68FE" w:rsidP="004F14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661DB6BE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CF88F36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C16D212" w14:textId="77777777" w:rsidTr="004D3611">
        <w:trPr>
          <w:trHeight w:val="23"/>
        </w:trPr>
        <w:tc>
          <w:tcPr>
            <w:tcW w:w="707" w:type="dxa"/>
          </w:tcPr>
          <w:p w14:paraId="7B80D91C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16.</w:t>
            </w:r>
          </w:p>
        </w:tc>
        <w:tc>
          <w:tcPr>
            <w:tcW w:w="3382" w:type="dxa"/>
          </w:tcPr>
          <w:p w14:paraId="1915FA0A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88645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4587" w:type="dxa"/>
          </w:tcPr>
          <w:p w14:paraId="7B2616A3" w14:textId="77777777" w:rsidR="007E68FE" w:rsidRPr="00BB358C" w:rsidRDefault="0093442C" w:rsidP="0093442C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K</w:t>
            </w:r>
            <w:r w:rsidR="007E68FE" w:rsidRPr="00BB358C">
              <w:rPr>
                <w:sz w:val="22"/>
                <w:szCs w:val="22"/>
              </w:rPr>
              <w:t>ontrolės (priežiūros) skaidrumo ir objektyvumo užtikrinimo priemonės</w:t>
            </w:r>
            <w:r w:rsidRPr="00BB358C">
              <w:rPr>
                <w:sz w:val="22"/>
                <w:szCs w:val="22"/>
              </w:rPr>
              <w:t xml:space="preserve"> </w:t>
            </w:r>
            <w:r w:rsidR="007E68FE" w:rsidRPr="00BB358C">
              <w:rPr>
                <w:sz w:val="22"/>
                <w:szCs w:val="22"/>
              </w:rPr>
              <w:t>nustatomos kitais teisės aktais.</w:t>
            </w:r>
          </w:p>
          <w:p w14:paraId="7F3F7694" w14:textId="77777777" w:rsidR="0093442C" w:rsidRPr="00BB358C" w:rsidRDefault="0093442C" w:rsidP="009344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40B50646" w14:textId="77777777" w:rsidR="007E68FE" w:rsidRPr="00886459" w:rsidRDefault="007E68FE" w:rsidP="00B57826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7BBE84AA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6F47AC6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5788F724" w14:textId="77777777" w:rsidTr="004D3611">
        <w:trPr>
          <w:trHeight w:val="23"/>
        </w:trPr>
        <w:tc>
          <w:tcPr>
            <w:tcW w:w="707" w:type="dxa"/>
          </w:tcPr>
          <w:p w14:paraId="1285FC12" w14:textId="77777777" w:rsidR="007E68FE" w:rsidRPr="00886459" w:rsidRDefault="007E68FE" w:rsidP="00AC7250">
            <w:pPr>
              <w:keepNext/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382" w:type="dxa"/>
          </w:tcPr>
          <w:p w14:paraId="3923F803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4587" w:type="dxa"/>
          </w:tcPr>
          <w:p w14:paraId="57B79D44" w14:textId="6B56487F" w:rsidR="002677E1" w:rsidRPr="00BB358C" w:rsidRDefault="00194D0D" w:rsidP="00194D0D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</w:tc>
        <w:tc>
          <w:tcPr>
            <w:tcW w:w="3794" w:type="dxa"/>
          </w:tcPr>
          <w:p w14:paraId="3A1925E6" w14:textId="77777777" w:rsidR="007E68FE" w:rsidRPr="00886459" w:rsidRDefault="007E68FE" w:rsidP="00AC7250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71CFCD7B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4C0ADB39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4518A9F8" w14:textId="77777777" w:rsidTr="004D3611">
        <w:trPr>
          <w:trHeight w:val="23"/>
        </w:trPr>
        <w:tc>
          <w:tcPr>
            <w:tcW w:w="707" w:type="dxa"/>
          </w:tcPr>
          <w:p w14:paraId="3C7E0D53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18.</w:t>
            </w:r>
          </w:p>
        </w:tc>
        <w:tc>
          <w:tcPr>
            <w:tcW w:w="3382" w:type="dxa"/>
          </w:tcPr>
          <w:p w14:paraId="4AD1FC8C" w14:textId="77777777" w:rsidR="007E68FE" w:rsidRPr="00886459" w:rsidRDefault="007E68FE" w:rsidP="00C46B48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</w:t>
            </w:r>
            <w:r w:rsidR="003A11C0" w:rsidRPr="00886459">
              <w:rPr>
                <w:sz w:val="22"/>
                <w:szCs w:val="22"/>
              </w:rPr>
              <w:t>o</w:t>
            </w:r>
            <w:r w:rsidRPr="00886459">
              <w:rPr>
                <w:sz w:val="22"/>
                <w:szCs w:val="22"/>
              </w:rPr>
              <w:t xml:space="preserve">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587" w:type="dxa"/>
          </w:tcPr>
          <w:p w14:paraId="29B77834" w14:textId="0EBD0213" w:rsidR="002677E1" w:rsidRPr="00BB358C" w:rsidRDefault="00194D0D" w:rsidP="00292486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  <w:p w14:paraId="7E8B3216" w14:textId="77777777" w:rsidR="002677E1" w:rsidRPr="00BB358C" w:rsidRDefault="002677E1" w:rsidP="00292486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3D0D75F8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48738E3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4240676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2B08D0BC" w14:textId="77777777" w:rsidTr="004D3611">
        <w:trPr>
          <w:trHeight w:val="23"/>
        </w:trPr>
        <w:tc>
          <w:tcPr>
            <w:tcW w:w="707" w:type="dxa"/>
          </w:tcPr>
          <w:p w14:paraId="5E3D6569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19.</w:t>
            </w:r>
          </w:p>
        </w:tc>
        <w:tc>
          <w:tcPr>
            <w:tcW w:w="3382" w:type="dxa"/>
          </w:tcPr>
          <w:p w14:paraId="74685092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587" w:type="dxa"/>
          </w:tcPr>
          <w:p w14:paraId="60E7F2AA" w14:textId="77777777" w:rsidR="007E68FE" w:rsidRPr="00BB358C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Nėra</w:t>
            </w:r>
            <w:r w:rsidR="001D3ACC" w:rsidRPr="00886459">
              <w:rPr>
                <w:sz w:val="22"/>
                <w:szCs w:val="22"/>
              </w:rPr>
              <w:t>.</w:t>
            </w:r>
          </w:p>
        </w:tc>
        <w:tc>
          <w:tcPr>
            <w:tcW w:w="3794" w:type="dxa"/>
          </w:tcPr>
          <w:p w14:paraId="3D5546E3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B8D583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487E2972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</w:tbl>
    <w:p w14:paraId="0C3C795E" w14:textId="77777777" w:rsidR="007E68FE" w:rsidRPr="00886459" w:rsidRDefault="007E68F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45"/>
        <w:gridCol w:w="4741"/>
        <w:gridCol w:w="2422"/>
        <w:gridCol w:w="4911"/>
      </w:tblGrid>
      <w:tr w:rsidR="007E68FE" w:rsidRPr="00886459" w14:paraId="2239E8CF" w14:textId="77777777" w:rsidTr="00AC0205">
        <w:trPr>
          <w:trHeight w:val="517"/>
        </w:trPr>
        <w:tc>
          <w:tcPr>
            <w:tcW w:w="2457" w:type="dxa"/>
          </w:tcPr>
          <w:p w14:paraId="0708C00D" w14:textId="77777777" w:rsidR="007E68FE" w:rsidRPr="00886459" w:rsidRDefault="007E68FE" w:rsidP="005D455E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Teisės akto projekto </w:t>
            </w:r>
            <w:r w:rsidR="00B269C6">
              <w:rPr>
                <w:szCs w:val="24"/>
              </w:rPr>
              <w:t>tiesioginis rengėjas</w:t>
            </w:r>
            <w:r w:rsidRPr="00886459">
              <w:rPr>
                <w:sz w:val="22"/>
                <w:szCs w:val="22"/>
              </w:rPr>
              <w:t>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75BC6F56" w14:textId="5D664DAA" w:rsidR="007E68FE" w:rsidRPr="00886459" w:rsidRDefault="00A30F74" w:rsidP="00A30F74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Susisiekimo ministerijos Kelių transporto ir civilinės aviacijos politikos departamento Kelių transporto skyriaus vyriausiasis specialistas </w:t>
            </w:r>
            <w:r w:rsidR="0029101A">
              <w:rPr>
                <w:sz w:val="22"/>
                <w:szCs w:val="22"/>
              </w:rPr>
              <w:t>Aleksandras Stupenko</w:t>
            </w:r>
          </w:p>
          <w:p w14:paraId="5908346C" w14:textId="77777777" w:rsidR="003321BE" w:rsidRPr="00886459" w:rsidRDefault="003321BE" w:rsidP="00A30F74">
            <w:pPr>
              <w:rPr>
                <w:sz w:val="22"/>
                <w:szCs w:val="22"/>
              </w:rPr>
            </w:pPr>
          </w:p>
          <w:p w14:paraId="2ACFE894" w14:textId="77777777" w:rsidR="003321BE" w:rsidRPr="00886459" w:rsidRDefault="003321BE" w:rsidP="00A30F74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051A4B56" w14:textId="77777777" w:rsidR="007E68FE" w:rsidRPr="00886459" w:rsidRDefault="007E68FE" w:rsidP="00AA480E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5CC8E65A" w14:textId="06B8D27C" w:rsidR="007E68FE" w:rsidRPr="00886459" w:rsidRDefault="00A30F74" w:rsidP="00194D0D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Susisiekimo ministerijos Teisės skyriaus</w:t>
            </w:r>
            <w:r w:rsidR="007E68FE" w:rsidRPr="00886459">
              <w:rPr>
                <w:sz w:val="22"/>
                <w:szCs w:val="22"/>
              </w:rPr>
              <w:t xml:space="preserve"> </w:t>
            </w:r>
            <w:r w:rsidR="00194D0D">
              <w:rPr>
                <w:sz w:val="22"/>
                <w:szCs w:val="22"/>
              </w:rPr>
              <w:t>patarėjas</w:t>
            </w:r>
            <w:r w:rsidR="007E68FE" w:rsidRPr="00886459">
              <w:rPr>
                <w:sz w:val="22"/>
                <w:szCs w:val="22"/>
              </w:rPr>
              <w:t xml:space="preserve"> </w:t>
            </w:r>
            <w:r w:rsidRPr="00886459">
              <w:rPr>
                <w:sz w:val="22"/>
                <w:szCs w:val="22"/>
              </w:rPr>
              <w:t>Liutauras Šlajus</w:t>
            </w:r>
            <w:bookmarkStart w:id="0" w:name="_GoBack"/>
            <w:bookmarkEnd w:id="0"/>
          </w:p>
        </w:tc>
      </w:tr>
      <w:tr w:rsidR="007E68FE" w:rsidRPr="00886459" w14:paraId="4DAC0981" w14:textId="77777777" w:rsidTr="00AC7250">
        <w:trPr>
          <w:trHeight w:val="23"/>
        </w:trPr>
        <w:tc>
          <w:tcPr>
            <w:tcW w:w="2457" w:type="dxa"/>
          </w:tcPr>
          <w:p w14:paraId="22A50612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14:paraId="2FE6B536" w14:textId="77777777" w:rsidR="007E68FE" w:rsidRPr="00886459" w:rsidRDefault="007E68FE" w:rsidP="00AC7250">
            <w:pPr>
              <w:ind w:left="-11" w:firstLine="11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</w:tcPr>
          <w:p w14:paraId="40C295D5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03FAF595" w14:textId="77777777" w:rsidR="007E68FE" w:rsidRPr="00886459" w:rsidRDefault="007E68FE" w:rsidP="00AC0205">
            <w:pPr>
              <w:ind w:left="-11" w:firstLine="11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(pareigos)                                      (vardas ir pavardė)</w:t>
            </w:r>
          </w:p>
        </w:tc>
      </w:tr>
      <w:tr w:rsidR="007E68FE" w:rsidRPr="00886459" w14:paraId="3516E361" w14:textId="77777777" w:rsidTr="00AC7250">
        <w:trPr>
          <w:trHeight w:val="23"/>
        </w:trPr>
        <w:tc>
          <w:tcPr>
            <w:tcW w:w="2457" w:type="dxa"/>
          </w:tcPr>
          <w:p w14:paraId="5BF5726D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7233B442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44974110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79A7CAAA" w14:textId="77777777" w:rsidR="007E68FE" w:rsidRPr="00886459" w:rsidRDefault="007E68FE" w:rsidP="00AC7250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7E68FE" w:rsidRPr="00886459" w14:paraId="5112AE18" w14:textId="77777777" w:rsidTr="00AC7250">
        <w:trPr>
          <w:trHeight w:val="23"/>
        </w:trPr>
        <w:tc>
          <w:tcPr>
            <w:tcW w:w="2457" w:type="dxa"/>
          </w:tcPr>
          <w:p w14:paraId="4A1DD163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</w:tcPr>
          <w:p w14:paraId="74F691F0" w14:textId="77777777" w:rsidR="007E68FE" w:rsidRPr="00886459" w:rsidRDefault="007E68FE" w:rsidP="00AC7250">
            <w:pPr>
              <w:ind w:left="-11" w:firstLine="11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</w:tcPr>
          <w:p w14:paraId="32498F43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B09C68B" w14:textId="77777777" w:rsidR="007E68FE" w:rsidRPr="00886459" w:rsidRDefault="007E68FE" w:rsidP="00AC7250">
            <w:pPr>
              <w:ind w:left="-11" w:firstLine="11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54ADA243" w14:textId="77777777" w:rsidR="007E68FE" w:rsidRPr="00886459" w:rsidRDefault="007E68F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14:paraId="2436D27D" w14:textId="77777777" w:rsidR="007E68FE" w:rsidRPr="00886459" w:rsidRDefault="007E68FE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  <w:r w:rsidRPr="00886459">
        <w:rPr>
          <w:color w:val="000000"/>
          <w:sz w:val="22"/>
          <w:szCs w:val="22"/>
        </w:rPr>
        <w:t>––––––––––––––––––––</w:t>
      </w:r>
    </w:p>
    <w:sectPr w:rsidR="007E68FE" w:rsidRPr="00886459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374FC" w14:textId="77777777" w:rsidR="0025361C" w:rsidRDefault="0025361C">
      <w:r>
        <w:separator/>
      </w:r>
    </w:p>
  </w:endnote>
  <w:endnote w:type="continuationSeparator" w:id="0">
    <w:p w14:paraId="77A0E9F0" w14:textId="77777777" w:rsidR="0025361C" w:rsidRDefault="0025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D6ADF" w14:textId="77777777" w:rsidR="0025361C" w:rsidRDefault="0025361C">
      <w:r>
        <w:separator/>
      </w:r>
    </w:p>
  </w:footnote>
  <w:footnote w:type="continuationSeparator" w:id="0">
    <w:p w14:paraId="1B4283E3" w14:textId="77777777" w:rsidR="0025361C" w:rsidRDefault="0025361C">
      <w:r>
        <w:continuationSeparator/>
      </w:r>
    </w:p>
  </w:footnote>
  <w:footnote w:id="1">
    <w:p w14:paraId="085FC062" w14:textId="77777777" w:rsidR="000962CF" w:rsidRDefault="000962CF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7B6D" w14:textId="77777777" w:rsidR="000962CF" w:rsidRDefault="000962C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01E842" w14:textId="77777777" w:rsidR="000962CF" w:rsidRDefault="000962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127D" w14:textId="77777777" w:rsidR="000962CF" w:rsidRDefault="000962C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49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5B1E5A" w14:textId="77777777" w:rsidR="000962CF" w:rsidRDefault="000962CF">
    <w:pPr>
      <w:pStyle w:val="Antrats"/>
    </w:pPr>
  </w:p>
  <w:p w14:paraId="25A82D7A" w14:textId="77777777" w:rsidR="000962CF" w:rsidRDefault="000962CF" w:rsidP="004A0AD8">
    <w:pPr>
      <w:pStyle w:val="Antrats"/>
      <w:jc w:val="center"/>
    </w:pPr>
  </w:p>
  <w:p w14:paraId="3FE55F70" w14:textId="77777777" w:rsidR="000962CF" w:rsidRDefault="000962CF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76F5B94"/>
    <w:multiLevelType w:val="hybridMultilevel"/>
    <w:tmpl w:val="D2CA10E8"/>
    <w:lvl w:ilvl="0" w:tplc="F7D2D5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8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0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EEB"/>
    <w:rsid w:val="00002260"/>
    <w:rsid w:val="00004C33"/>
    <w:rsid w:val="00007AB8"/>
    <w:rsid w:val="00010674"/>
    <w:rsid w:val="00015401"/>
    <w:rsid w:val="00015F0D"/>
    <w:rsid w:val="00017C9E"/>
    <w:rsid w:val="00021155"/>
    <w:rsid w:val="000213BA"/>
    <w:rsid w:val="0002398C"/>
    <w:rsid w:val="00023F53"/>
    <w:rsid w:val="00025D55"/>
    <w:rsid w:val="000274E4"/>
    <w:rsid w:val="00027A6C"/>
    <w:rsid w:val="000303FE"/>
    <w:rsid w:val="00035A9B"/>
    <w:rsid w:val="00037E57"/>
    <w:rsid w:val="00040D80"/>
    <w:rsid w:val="00041129"/>
    <w:rsid w:val="000412C7"/>
    <w:rsid w:val="0004190B"/>
    <w:rsid w:val="00041CEA"/>
    <w:rsid w:val="0004392A"/>
    <w:rsid w:val="00045098"/>
    <w:rsid w:val="000452BB"/>
    <w:rsid w:val="00045E53"/>
    <w:rsid w:val="00047E4C"/>
    <w:rsid w:val="00050062"/>
    <w:rsid w:val="00051B76"/>
    <w:rsid w:val="000521E5"/>
    <w:rsid w:val="0005460B"/>
    <w:rsid w:val="00055F17"/>
    <w:rsid w:val="00057183"/>
    <w:rsid w:val="0005781B"/>
    <w:rsid w:val="00061715"/>
    <w:rsid w:val="00071F90"/>
    <w:rsid w:val="00075FB8"/>
    <w:rsid w:val="00077077"/>
    <w:rsid w:val="00081E7D"/>
    <w:rsid w:val="00082332"/>
    <w:rsid w:val="000826E8"/>
    <w:rsid w:val="00082B95"/>
    <w:rsid w:val="00082C18"/>
    <w:rsid w:val="00082EFE"/>
    <w:rsid w:val="00082FEB"/>
    <w:rsid w:val="0008470F"/>
    <w:rsid w:val="0008581D"/>
    <w:rsid w:val="00087F96"/>
    <w:rsid w:val="000949E4"/>
    <w:rsid w:val="000962CF"/>
    <w:rsid w:val="00097EC7"/>
    <w:rsid w:val="000A2743"/>
    <w:rsid w:val="000A31E1"/>
    <w:rsid w:val="000A6572"/>
    <w:rsid w:val="000A70F5"/>
    <w:rsid w:val="000B5645"/>
    <w:rsid w:val="000B6A65"/>
    <w:rsid w:val="000C1A4C"/>
    <w:rsid w:val="000C4921"/>
    <w:rsid w:val="000C564A"/>
    <w:rsid w:val="000C6FAA"/>
    <w:rsid w:val="000D32D3"/>
    <w:rsid w:val="000D47C2"/>
    <w:rsid w:val="000D5958"/>
    <w:rsid w:val="000E18AC"/>
    <w:rsid w:val="000E1B35"/>
    <w:rsid w:val="000E1CAC"/>
    <w:rsid w:val="000E26C3"/>
    <w:rsid w:val="000E3428"/>
    <w:rsid w:val="000E479B"/>
    <w:rsid w:val="000E487C"/>
    <w:rsid w:val="000E5567"/>
    <w:rsid w:val="000E6350"/>
    <w:rsid w:val="000E7876"/>
    <w:rsid w:val="000F016F"/>
    <w:rsid w:val="000F12E8"/>
    <w:rsid w:val="000F2280"/>
    <w:rsid w:val="000F2380"/>
    <w:rsid w:val="000F33F3"/>
    <w:rsid w:val="000F4DAE"/>
    <w:rsid w:val="000F52F1"/>
    <w:rsid w:val="001030C6"/>
    <w:rsid w:val="001033C3"/>
    <w:rsid w:val="00107902"/>
    <w:rsid w:val="001079FB"/>
    <w:rsid w:val="001130BB"/>
    <w:rsid w:val="0011343E"/>
    <w:rsid w:val="001146E2"/>
    <w:rsid w:val="001149C9"/>
    <w:rsid w:val="0011770C"/>
    <w:rsid w:val="00117B76"/>
    <w:rsid w:val="001211DA"/>
    <w:rsid w:val="00121BDA"/>
    <w:rsid w:val="00125D8E"/>
    <w:rsid w:val="001272CA"/>
    <w:rsid w:val="0012788F"/>
    <w:rsid w:val="00130979"/>
    <w:rsid w:val="00130E5A"/>
    <w:rsid w:val="001346E6"/>
    <w:rsid w:val="00135095"/>
    <w:rsid w:val="0013687E"/>
    <w:rsid w:val="00136AFB"/>
    <w:rsid w:val="00136E81"/>
    <w:rsid w:val="00137B56"/>
    <w:rsid w:val="00137D80"/>
    <w:rsid w:val="0014280B"/>
    <w:rsid w:val="00142FFF"/>
    <w:rsid w:val="00144257"/>
    <w:rsid w:val="00144BD5"/>
    <w:rsid w:val="00147EE3"/>
    <w:rsid w:val="00151CB6"/>
    <w:rsid w:val="00151EA6"/>
    <w:rsid w:val="0015204F"/>
    <w:rsid w:val="0015253C"/>
    <w:rsid w:val="00153234"/>
    <w:rsid w:val="0015374A"/>
    <w:rsid w:val="001557EC"/>
    <w:rsid w:val="0015638C"/>
    <w:rsid w:val="00156A81"/>
    <w:rsid w:val="00161CA3"/>
    <w:rsid w:val="00162228"/>
    <w:rsid w:val="0016233A"/>
    <w:rsid w:val="00163EFE"/>
    <w:rsid w:val="00167063"/>
    <w:rsid w:val="00170355"/>
    <w:rsid w:val="00172259"/>
    <w:rsid w:val="00173C38"/>
    <w:rsid w:val="001745C4"/>
    <w:rsid w:val="00174CE4"/>
    <w:rsid w:val="00183972"/>
    <w:rsid w:val="00185668"/>
    <w:rsid w:val="00185A31"/>
    <w:rsid w:val="001872E2"/>
    <w:rsid w:val="00194342"/>
    <w:rsid w:val="001946BD"/>
    <w:rsid w:val="00194C4A"/>
    <w:rsid w:val="00194D0D"/>
    <w:rsid w:val="001955AC"/>
    <w:rsid w:val="001A0A85"/>
    <w:rsid w:val="001A27DF"/>
    <w:rsid w:val="001A2AC4"/>
    <w:rsid w:val="001A3D33"/>
    <w:rsid w:val="001A4758"/>
    <w:rsid w:val="001A72C3"/>
    <w:rsid w:val="001A796E"/>
    <w:rsid w:val="001B50A0"/>
    <w:rsid w:val="001B680B"/>
    <w:rsid w:val="001B6DE4"/>
    <w:rsid w:val="001B7E03"/>
    <w:rsid w:val="001C15FF"/>
    <w:rsid w:val="001C7639"/>
    <w:rsid w:val="001D0ECF"/>
    <w:rsid w:val="001D0EFC"/>
    <w:rsid w:val="001D1AF4"/>
    <w:rsid w:val="001D257A"/>
    <w:rsid w:val="001D2FBD"/>
    <w:rsid w:val="001D3ACC"/>
    <w:rsid w:val="001D5C9E"/>
    <w:rsid w:val="001D5EDB"/>
    <w:rsid w:val="001D64A0"/>
    <w:rsid w:val="001D77D7"/>
    <w:rsid w:val="001D7C76"/>
    <w:rsid w:val="001E03F9"/>
    <w:rsid w:val="001E73C0"/>
    <w:rsid w:val="001E7EC9"/>
    <w:rsid w:val="001F03BA"/>
    <w:rsid w:val="001F2B14"/>
    <w:rsid w:val="001F2C38"/>
    <w:rsid w:val="001F3314"/>
    <w:rsid w:val="001F46B3"/>
    <w:rsid w:val="001F4A01"/>
    <w:rsid w:val="001F57A7"/>
    <w:rsid w:val="001F7C9D"/>
    <w:rsid w:val="00201AC2"/>
    <w:rsid w:val="002022F6"/>
    <w:rsid w:val="0020767F"/>
    <w:rsid w:val="00207C40"/>
    <w:rsid w:val="002109F5"/>
    <w:rsid w:val="00213184"/>
    <w:rsid w:val="00214F78"/>
    <w:rsid w:val="00217859"/>
    <w:rsid w:val="002209DC"/>
    <w:rsid w:val="002211A1"/>
    <w:rsid w:val="002241D5"/>
    <w:rsid w:val="0022473D"/>
    <w:rsid w:val="00225F35"/>
    <w:rsid w:val="00226350"/>
    <w:rsid w:val="002325E5"/>
    <w:rsid w:val="00233FFE"/>
    <w:rsid w:val="00234578"/>
    <w:rsid w:val="00234B9C"/>
    <w:rsid w:val="002351DA"/>
    <w:rsid w:val="002355EA"/>
    <w:rsid w:val="0023628E"/>
    <w:rsid w:val="002368EF"/>
    <w:rsid w:val="00241B57"/>
    <w:rsid w:val="002425CD"/>
    <w:rsid w:val="00243E54"/>
    <w:rsid w:val="00244099"/>
    <w:rsid w:val="00244D6B"/>
    <w:rsid w:val="00245AD0"/>
    <w:rsid w:val="00245C90"/>
    <w:rsid w:val="002504B1"/>
    <w:rsid w:val="00252927"/>
    <w:rsid w:val="0025361C"/>
    <w:rsid w:val="00253D11"/>
    <w:rsid w:val="002568CC"/>
    <w:rsid w:val="0026001E"/>
    <w:rsid w:val="00266978"/>
    <w:rsid w:val="002672B6"/>
    <w:rsid w:val="00267523"/>
    <w:rsid w:val="002677E1"/>
    <w:rsid w:val="00270369"/>
    <w:rsid w:val="00271607"/>
    <w:rsid w:val="0027356B"/>
    <w:rsid w:val="00274189"/>
    <w:rsid w:val="00275233"/>
    <w:rsid w:val="00276CC1"/>
    <w:rsid w:val="00290B21"/>
    <w:rsid w:val="0029101A"/>
    <w:rsid w:val="00292486"/>
    <w:rsid w:val="0029473A"/>
    <w:rsid w:val="00296040"/>
    <w:rsid w:val="002963CB"/>
    <w:rsid w:val="00296812"/>
    <w:rsid w:val="00297E04"/>
    <w:rsid w:val="002A1B35"/>
    <w:rsid w:val="002A2CE6"/>
    <w:rsid w:val="002A3A01"/>
    <w:rsid w:val="002A7821"/>
    <w:rsid w:val="002B0DF8"/>
    <w:rsid w:val="002B15FE"/>
    <w:rsid w:val="002B3947"/>
    <w:rsid w:val="002B3A50"/>
    <w:rsid w:val="002B3B8D"/>
    <w:rsid w:val="002B5916"/>
    <w:rsid w:val="002C1849"/>
    <w:rsid w:val="002C2FE0"/>
    <w:rsid w:val="002C4C93"/>
    <w:rsid w:val="002C5ADB"/>
    <w:rsid w:val="002C69E1"/>
    <w:rsid w:val="002D0CD9"/>
    <w:rsid w:val="002D2918"/>
    <w:rsid w:val="002D4B01"/>
    <w:rsid w:val="002E3918"/>
    <w:rsid w:val="002F5298"/>
    <w:rsid w:val="002F60C1"/>
    <w:rsid w:val="002F74D7"/>
    <w:rsid w:val="0030023B"/>
    <w:rsid w:val="00301BF8"/>
    <w:rsid w:val="00306BC9"/>
    <w:rsid w:val="00312D93"/>
    <w:rsid w:val="00313A93"/>
    <w:rsid w:val="003148BE"/>
    <w:rsid w:val="00317A35"/>
    <w:rsid w:val="00321838"/>
    <w:rsid w:val="00321C73"/>
    <w:rsid w:val="003224B3"/>
    <w:rsid w:val="00325364"/>
    <w:rsid w:val="00326341"/>
    <w:rsid w:val="00331F88"/>
    <w:rsid w:val="003321BE"/>
    <w:rsid w:val="00334F2E"/>
    <w:rsid w:val="00337AF3"/>
    <w:rsid w:val="00337FE5"/>
    <w:rsid w:val="0034131A"/>
    <w:rsid w:val="00341916"/>
    <w:rsid w:val="00344307"/>
    <w:rsid w:val="0034541B"/>
    <w:rsid w:val="00352F9E"/>
    <w:rsid w:val="003548DA"/>
    <w:rsid w:val="003615F9"/>
    <w:rsid w:val="003641A5"/>
    <w:rsid w:val="003656A6"/>
    <w:rsid w:val="003673CF"/>
    <w:rsid w:val="00371BA6"/>
    <w:rsid w:val="0037337A"/>
    <w:rsid w:val="00373CF7"/>
    <w:rsid w:val="0037689A"/>
    <w:rsid w:val="003804C0"/>
    <w:rsid w:val="003873A4"/>
    <w:rsid w:val="0039109C"/>
    <w:rsid w:val="00391E6F"/>
    <w:rsid w:val="00396211"/>
    <w:rsid w:val="003A0E31"/>
    <w:rsid w:val="003A11C0"/>
    <w:rsid w:val="003A32AD"/>
    <w:rsid w:val="003A60DD"/>
    <w:rsid w:val="003B09B2"/>
    <w:rsid w:val="003B1B9D"/>
    <w:rsid w:val="003B292E"/>
    <w:rsid w:val="003B29B4"/>
    <w:rsid w:val="003B3349"/>
    <w:rsid w:val="003B5330"/>
    <w:rsid w:val="003C2C02"/>
    <w:rsid w:val="003C46B3"/>
    <w:rsid w:val="003C4F25"/>
    <w:rsid w:val="003C65CB"/>
    <w:rsid w:val="003C7823"/>
    <w:rsid w:val="003D0922"/>
    <w:rsid w:val="003D2AAA"/>
    <w:rsid w:val="003D3314"/>
    <w:rsid w:val="003D6349"/>
    <w:rsid w:val="003D6996"/>
    <w:rsid w:val="003D7F22"/>
    <w:rsid w:val="003E24DC"/>
    <w:rsid w:val="003E5A59"/>
    <w:rsid w:val="003E7F7B"/>
    <w:rsid w:val="003F0025"/>
    <w:rsid w:val="003F081B"/>
    <w:rsid w:val="003F1A4B"/>
    <w:rsid w:val="003F22B2"/>
    <w:rsid w:val="003F2BD4"/>
    <w:rsid w:val="003F6DF6"/>
    <w:rsid w:val="004024B7"/>
    <w:rsid w:val="00404A91"/>
    <w:rsid w:val="0040785D"/>
    <w:rsid w:val="00407C8E"/>
    <w:rsid w:val="00411A4D"/>
    <w:rsid w:val="00412549"/>
    <w:rsid w:val="00414527"/>
    <w:rsid w:val="00416DE9"/>
    <w:rsid w:val="00421EDB"/>
    <w:rsid w:val="00423A5B"/>
    <w:rsid w:val="00424387"/>
    <w:rsid w:val="00431F67"/>
    <w:rsid w:val="00433288"/>
    <w:rsid w:val="00436531"/>
    <w:rsid w:val="00440821"/>
    <w:rsid w:val="0044267A"/>
    <w:rsid w:val="00445E68"/>
    <w:rsid w:val="0044617C"/>
    <w:rsid w:val="00450530"/>
    <w:rsid w:val="004516B2"/>
    <w:rsid w:val="00453016"/>
    <w:rsid w:val="0045470D"/>
    <w:rsid w:val="00454864"/>
    <w:rsid w:val="00455087"/>
    <w:rsid w:val="00455B9B"/>
    <w:rsid w:val="0046127E"/>
    <w:rsid w:val="00461459"/>
    <w:rsid w:val="00465D2F"/>
    <w:rsid w:val="00467932"/>
    <w:rsid w:val="00480ED2"/>
    <w:rsid w:val="00481D88"/>
    <w:rsid w:val="0048524F"/>
    <w:rsid w:val="00486062"/>
    <w:rsid w:val="00486DC3"/>
    <w:rsid w:val="00494B20"/>
    <w:rsid w:val="00495855"/>
    <w:rsid w:val="004967C2"/>
    <w:rsid w:val="00497F39"/>
    <w:rsid w:val="004A0AD8"/>
    <w:rsid w:val="004A1FDD"/>
    <w:rsid w:val="004A2F39"/>
    <w:rsid w:val="004A2FDB"/>
    <w:rsid w:val="004A3796"/>
    <w:rsid w:val="004A3B94"/>
    <w:rsid w:val="004A438D"/>
    <w:rsid w:val="004A46B8"/>
    <w:rsid w:val="004A59CA"/>
    <w:rsid w:val="004A6A6E"/>
    <w:rsid w:val="004A6CAB"/>
    <w:rsid w:val="004B008E"/>
    <w:rsid w:val="004B174B"/>
    <w:rsid w:val="004B35AE"/>
    <w:rsid w:val="004B533D"/>
    <w:rsid w:val="004C332C"/>
    <w:rsid w:val="004C66E7"/>
    <w:rsid w:val="004D2472"/>
    <w:rsid w:val="004D2FF3"/>
    <w:rsid w:val="004D3611"/>
    <w:rsid w:val="004D4D2C"/>
    <w:rsid w:val="004D563D"/>
    <w:rsid w:val="004D58F0"/>
    <w:rsid w:val="004E005E"/>
    <w:rsid w:val="004E2065"/>
    <w:rsid w:val="004E3F7C"/>
    <w:rsid w:val="004F0BC4"/>
    <w:rsid w:val="004F1430"/>
    <w:rsid w:val="004F4562"/>
    <w:rsid w:val="004F4A62"/>
    <w:rsid w:val="004F779C"/>
    <w:rsid w:val="005017B9"/>
    <w:rsid w:val="00503306"/>
    <w:rsid w:val="00503C0E"/>
    <w:rsid w:val="00504530"/>
    <w:rsid w:val="0051002D"/>
    <w:rsid w:val="005128F7"/>
    <w:rsid w:val="005146F7"/>
    <w:rsid w:val="00514C76"/>
    <w:rsid w:val="00516462"/>
    <w:rsid w:val="00520A15"/>
    <w:rsid w:val="00525E9D"/>
    <w:rsid w:val="0052668D"/>
    <w:rsid w:val="00526EE2"/>
    <w:rsid w:val="00530414"/>
    <w:rsid w:val="0053051D"/>
    <w:rsid w:val="005349E1"/>
    <w:rsid w:val="00535DB9"/>
    <w:rsid w:val="005371BA"/>
    <w:rsid w:val="005428FA"/>
    <w:rsid w:val="0054722F"/>
    <w:rsid w:val="0055005E"/>
    <w:rsid w:val="005520E9"/>
    <w:rsid w:val="00552CED"/>
    <w:rsid w:val="00553870"/>
    <w:rsid w:val="00562A05"/>
    <w:rsid w:val="00563918"/>
    <w:rsid w:val="00564182"/>
    <w:rsid w:val="00570172"/>
    <w:rsid w:val="00570591"/>
    <w:rsid w:val="005709CF"/>
    <w:rsid w:val="0057341E"/>
    <w:rsid w:val="0057362D"/>
    <w:rsid w:val="00574F8C"/>
    <w:rsid w:val="00581771"/>
    <w:rsid w:val="00584E75"/>
    <w:rsid w:val="00590630"/>
    <w:rsid w:val="00592506"/>
    <w:rsid w:val="005A0170"/>
    <w:rsid w:val="005A287F"/>
    <w:rsid w:val="005A4048"/>
    <w:rsid w:val="005A4ACD"/>
    <w:rsid w:val="005A5535"/>
    <w:rsid w:val="005A6186"/>
    <w:rsid w:val="005A73F0"/>
    <w:rsid w:val="005B0B0D"/>
    <w:rsid w:val="005B10DA"/>
    <w:rsid w:val="005B1CFC"/>
    <w:rsid w:val="005B1DF8"/>
    <w:rsid w:val="005B203B"/>
    <w:rsid w:val="005B3583"/>
    <w:rsid w:val="005B45E9"/>
    <w:rsid w:val="005B74F3"/>
    <w:rsid w:val="005C1717"/>
    <w:rsid w:val="005C2BB9"/>
    <w:rsid w:val="005D0D74"/>
    <w:rsid w:val="005D1566"/>
    <w:rsid w:val="005D3B0F"/>
    <w:rsid w:val="005D455E"/>
    <w:rsid w:val="005E0696"/>
    <w:rsid w:val="005E0B44"/>
    <w:rsid w:val="005E21A3"/>
    <w:rsid w:val="005E23ED"/>
    <w:rsid w:val="005E3E9F"/>
    <w:rsid w:val="005E44A8"/>
    <w:rsid w:val="005E7127"/>
    <w:rsid w:val="005E7DD4"/>
    <w:rsid w:val="005F41D9"/>
    <w:rsid w:val="00600A4B"/>
    <w:rsid w:val="00601921"/>
    <w:rsid w:val="00601D72"/>
    <w:rsid w:val="00601EBA"/>
    <w:rsid w:val="00604045"/>
    <w:rsid w:val="00604E19"/>
    <w:rsid w:val="006056FE"/>
    <w:rsid w:val="00606A51"/>
    <w:rsid w:val="00610121"/>
    <w:rsid w:val="006119CA"/>
    <w:rsid w:val="00611A5B"/>
    <w:rsid w:val="006134B5"/>
    <w:rsid w:val="00615784"/>
    <w:rsid w:val="006157D4"/>
    <w:rsid w:val="00616BDE"/>
    <w:rsid w:val="0062183E"/>
    <w:rsid w:val="006219A0"/>
    <w:rsid w:val="00626F9E"/>
    <w:rsid w:val="0063305C"/>
    <w:rsid w:val="006338DA"/>
    <w:rsid w:val="00634E70"/>
    <w:rsid w:val="00636083"/>
    <w:rsid w:val="006361CF"/>
    <w:rsid w:val="006460A4"/>
    <w:rsid w:val="00647B8D"/>
    <w:rsid w:val="006515D4"/>
    <w:rsid w:val="006547B6"/>
    <w:rsid w:val="006579C1"/>
    <w:rsid w:val="00665225"/>
    <w:rsid w:val="006658BE"/>
    <w:rsid w:val="006669A4"/>
    <w:rsid w:val="00670213"/>
    <w:rsid w:val="00672980"/>
    <w:rsid w:val="00672A7F"/>
    <w:rsid w:val="00673133"/>
    <w:rsid w:val="0067585A"/>
    <w:rsid w:val="00677A14"/>
    <w:rsid w:val="00680411"/>
    <w:rsid w:val="00681139"/>
    <w:rsid w:val="006817AF"/>
    <w:rsid w:val="006819E4"/>
    <w:rsid w:val="006827A5"/>
    <w:rsid w:val="00683F55"/>
    <w:rsid w:val="00684C7E"/>
    <w:rsid w:val="006850CA"/>
    <w:rsid w:val="00685AA4"/>
    <w:rsid w:val="006871FC"/>
    <w:rsid w:val="00690F71"/>
    <w:rsid w:val="00691100"/>
    <w:rsid w:val="006924AE"/>
    <w:rsid w:val="00692D92"/>
    <w:rsid w:val="0069507F"/>
    <w:rsid w:val="006972E2"/>
    <w:rsid w:val="00697FD6"/>
    <w:rsid w:val="006A15C3"/>
    <w:rsid w:val="006A2A82"/>
    <w:rsid w:val="006A3635"/>
    <w:rsid w:val="006A3871"/>
    <w:rsid w:val="006A4DC7"/>
    <w:rsid w:val="006A5502"/>
    <w:rsid w:val="006A694D"/>
    <w:rsid w:val="006A7076"/>
    <w:rsid w:val="006A7E63"/>
    <w:rsid w:val="006B023A"/>
    <w:rsid w:val="006B0EEB"/>
    <w:rsid w:val="006B2E2C"/>
    <w:rsid w:val="006B7E9D"/>
    <w:rsid w:val="006C21A4"/>
    <w:rsid w:val="006C46DC"/>
    <w:rsid w:val="006D39D2"/>
    <w:rsid w:val="006D5495"/>
    <w:rsid w:val="006D5D3D"/>
    <w:rsid w:val="006D64AE"/>
    <w:rsid w:val="006D7067"/>
    <w:rsid w:val="006E164B"/>
    <w:rsid w:val="006E2CD3"/>
    <w:rsid w:val="006E35A5"/>
    <w:rsid w:val="006E5666"/>
    <w:rsid w:val="006E65D0"/>
    <w:rsid w:val="006F0839"/>
    <w:rsid w:val="006F1432"/>
    <w:rsid w:val="006F3877"/>
    <w:rsid w:val="006F3E75"/>
    <w:rsid w:val="006F42DB"/>
    <w:rsid w:val="006F595B"/>
    <w:rsid w:val="006F5A7B"/>
    <w:rsid w:val="006F6C96"/>
    <w:rsid w:val="00700F59"/>
    <w:rsid w:val="00701EE2"/>
    <w:rsid w:val="00702DBE"/>
    <w:rsid w:val="00704DB7"/>
    <w:rsid w:val="00704F2B"/>
    <w:rsid w:val="0070708D"/>
    <w:rsid w:val="007102C4"/>
    <w:rsid w:val="00710CFB"/>
    <w:rsid w:val="00714ABA"/>
    <w:rsid w:val="007163B0"/>
    <w:rsid w:val="0071780B"/>
    <w:rsid w:val="00721946"/>
    <w:rsid w:val="00722BF7"/>
    <w:rsid w:val="00723042"/>
    <w:rsid w:val="00726E25"/>
    <w:rsid w:val="00727930"/>
    <w:rsid w:val="00742292"/>
    <w:rsid w:val="00742D89"/>
    <w:rsid w:val="007430CE"/>
    <w:rsid w:val="00744C7C"/>
    <w:rsid w:val="00746968"/>
    <w:rsid w:val="007469D8"/>
    <w:rsid w:val="00747F54"/>
    <w:rsid w:val="00751172"/>
    <w:rsid w:val="0075181B"/>
    <w:rsid w:val="00757DFF"/>
    <w:rsid w:val="0076043E"/>
    <w:rsid w:val="00760F86"/>
    <w:rsid w:val="00761339"/>
    <w:rsid w:val="007625C6"/>
    <w:rsid w:val="00763C5D"/>
    <w:rsid w:val="00764175"/>
    <w:rsid w:val="00764B3B"/>
    <w:rsid w:val="00765E1F"/>
    <w:rsid w:val="00770EC2"/>
    <w:rsid w:val="0077657D"/>
    <w:rsid w:val="007768AD"/>
    <w:rsid w:val="00776A96"/>
    <w:rsid w:val="00777ECB"/>
    <w:rsid w:val="007841F4"/>
    <w:rsid w:val="00784E27"/>
    <w:rsid w:val="00785979"/>
    <w:rsid w:val="00786450"/>
    <w:rsid w:val="00790726"/>
    <w:rsid w:val="007907D5"/>
    <w:rsid w:val="007932A1"/>
    <w:rsid w:val="007942ED"/>
    <w:rsid w:val="00795A4F"/>
    <w:rsid w:val="00797663"/>
    <w:rsid w:val="007A39E8"/>
    <w:rsid w:val="007A5B23"/>
    <w:rsid w:val="007B2E69"/>
    <w:rsid w:val="007B4671"/>
    <w:rsid w:val="007B66C0"/>
    <w:rsid w:val="007B7C73"/>
    <w:rsid w:val="007C13F1"/>
    <w:rsid w:val="007C1C24"/>
    <w:rsid w:val="007C246B"/>
    <w:rsid w:val="007C28C2"/>
    <w:rsid w:val="007C5707"/>
    <w:rsid w:val="007C5AF9"/>
    <w:rsid w:val="007D107A"/>
    <w:rsid w:val="007D495F"/>
    <w:rsid w:val="007D525F"/>
    <w:rsid w:val="007D5637"/>
    <w:rsid w:val="007D6E06"/>
    <w:rsid w:val="007E0025"/>
    <w:rsid w:val="007E1750"/>
    <w:rsid w:val="007E1B7B"/>
    <w:rsid w:val="007E46ED"/>
    <w:rsid w:val="007E68FE"/>
    <w:rsid w:val="007F1013"/>
    <w:rsid w:val="007F26B5"/>
    <w:rsid w:val="007F27AF"/>
    <w:rsid w:val="007F78DC"/>
    <w:rsid w:val="008057A5"/>
    <w:rsid w:val="00806A91"/>
    <w:rsid w:val="00814D28"/>
    <w:rsid w:val="00822697"/>
    <w:rsid w:val="00823B95"/>
    <w:rsid w:val="00824675"/>
    <w:rsid w:val="00825919"/>
    <w:rsid w:val="008264A8"/>
    <w:rsid w:val="00827AF1"/>
    <w:rsid w:val="00830FB8"/>
    <w:rsid w:val="00832A41"/>
    <w:rsid w:val="00833583"/>
    <w:rsid w:val="00834294"/>
    <w:rsid w:val="0083531F"/>
    <w:rsid w:val="00835967"/>
    <w:rsid w:val="00836286"/>
    <w:rsid w:val="00837526"/>
    <w:rsid w:val="008378BE"/>
    <w:rsid w:val="00840540"/>
    <w:rsid w:val="0084220B"/>
    <w:rsid w:val="008431FA"/>
    <w:rsid w:val="00845FD7"/>
    <w:rsid w:val="008471CD"/>
    <w:rsid w:val="008473DD"/>
    <w:rsid w:val="008528B4"/>
    <w:rsid w:val="0085599E"/>
    <w:rsid w:val="00855BA8"/>
    <w:rsid w:val="00856BCC"/>
    <w:rsid w:val="008605BD"/>
    <w:rsid w:val="00861CF6"/>
    <w:rsid w:val="00862D47"/>
    <w:rsid w:val="00863C47"/>
    <w:rsid w:val="00870934"/>
    <w:rsid w:val="00872212"/>
    <w:rsid w:val="00872981"/>
    <w:rsid w:val="00873068"/>
    <w:rsid w:val="00874631"/>
    <w:rsid w:val="00874FCA"/>
    <w:rsid w:val="00875C0C"/>
    <w:rsid w:val="00876B2D"/>
    <w:rsid w:val="00877E32"/>
    <w:rsid w:val="00882B6E"/>
    <w:rsid w:val="00882DA3"/>
    <w:rsid w:val="00884805"/>
    <w:rsid w:val="00886459"/>
    <w:rsid w:val="00886504"/>
    <w:rsid w:val="0088728B"/>
    <w:rsid w:val="008874B7"/>
    <w:rsid w:val="008902CE"/>
    <w:rsid w:val="00890721"/>
    <w:rsid w:val="00892B62"/>
    <w:rsid w:val="00892DE2"/>
    <w:rsid w:val="00893629"/>
    <w:rsid w:val="00895DFD"/>
    <w:rsid w:val="00897303"/>
    <w:rsid w:val="008A1290"/>
    <w:rsid w:val="008A2661"/>
    <w:rsid w:val="008A2B63"/>
    <w:rsid w:val="008A3E70"/>
    <w:rsid w:val="008A7999"/>
    <w:rsid w:val="008B09B2"/>
    <w:rsid w:val="008C051C"/>
    <w:rsid w:val="008C08EA"/>
    <w:rsid w:val="008C095C"/>
    <w:rsid w:val="008C27C3"/>
    <w:rsid w:val="008C5C61"/>
    <w:rsid w:val="008C5E17"/>
    <w:rsid w:val="008D729C"/>
    <w:rsid w:val="008D7D9E"/>
    <w:rsid w:val="008E465F"/>
    <w:rsid w:val="008E4C80"/>
    <w:rsid w:val="008F3BED"/>
    <w:rsid w:val="008F6B9B"/>
    <w:rsid w:val="008F7EAA"/>
    <w:rsid w:val="00901D06"/>
    <w:rsid w:val="00901D43"/>
    <w:rsid w:val="009029DC"/>
    <w:rsid w:val="00903E17"/>
    <w:rsid w:val="00906F89"/>
    <w:rsid w:val="00907BDD"/>
    <w:rsid w:val="00907FC5"/>
    <w:rsid w:val="00914213"/>
    <w:rsid w:val="009145B9"/>
    <w:rsid w:val="00915AB9"/>
    <w:rsid w:val="00920FC2"/>
    <w:rsid w:val="009235E5"/>
    <w:rsid w:val="00924096"/>
    <w:rsid w:val="00924E59"/>
    <w:rsid w:val="0092596C"/>
    <w:rsid w:val="00925B3F"/>
    <w:rsid w:val="00926066"/>
    <w:rsid w:val="009303BD"/>
    <w:rsid w:val="0093141E"/>
    <w:rsid w:val="00931FD4"/>
    <w:rsid w:val="0093442C"/>
    <w:rsid w:val="00935AD7"/>
    <w:rsid w:val="00936075"/>
    <w:rsid w:val="00936C73"/>
    <w:rsid w:val="00936ED0"/>
    <w:rsid w:val="009410F5"/>
    <w:rsid w:val="00941641"/>
    <w:rsid w:val="0094315A"/>
    <w:rsid w:val="00943590"/>
    <w:rsid w:val="0094440D"/>
    <w:rsid w:val="00946504"/>
    <w:rsid w:val="00952AA8"/>
    <w:rsid w:val="0095365A"/>
    <w:rsid w:val="0095511E"/>
    <w:rsid w:val="00956722"/>
    <w:rsid w:val="00956874"/>
    <w:rsid w:val="00961370"/>
    <w:rsid w:val="00961417"/>
    <w:rsid w:val="00967488"/>
    <w:rsid w:val="00967551"/>
    <w:rsid w:val="00967EAF"/>
    <w:rsid w:val="00974C53"/>
    <w:rsid w:val="009752BF"/>
    <w:rsid w:val="009927AF"/>
    <w:rsid w:val="00993F52"/>
    <w:rsid w:val="009957EB"/>
    <w:rsid w:val="009A37CB"/>
    <w:rsid w:val="009A3959"/>
    <w:rsid w:val="009A3EFF"/>
    <w:rsid w:val="009A4204"/>
    <w:rsid w:val="009A612B"/>
    <w:rsid w:val="009A6DE7"/>
    <w:rsid w:val="009A78FD"/>
    <w:rsid w:val="009B05A1"/>
    <w:rsid w:val="009B0D25"/>
    <w:rsid w:val="009B2682"/>
    <w:rsid w:val="009B6921"/>
    <w:rsid w:val="009C063D"/>
    <w:rsid w:val="009C2A3A"/>
    <w:rsid w:val="009C5ED1"/>
    <w:rsid w:val="009C6305"/>
    <w:rsid w:val="009C6CA2"/>
    <w:rsid w:val="009D22CB"/>
    <w:rsid w:val="009D2F44"/>
    <w:rsid w:val="009D3F2E"/>
    <w:rsid w:val="009F22D3"/>
    <w:rsid w:val="009F4164"/>
    <w:rsid w:val="009F4586"/>
    <w:rsid w:val="009F5C0D"/>
    <w:rsid w:val="00A00E8B"/>
    <w:rsid w:val="00A0204D"/>
    <w:rsid w:val="00A044BB"/>
    <w:rsid w:val="00A06E95"/>
    <w:rsid w:val="00A11E35"/>
    <w:rsid w:val="00A14221"/>
    <w:rsid w:val="00A14E8E"/>
    <w:rsid w:val="00A22DBF"/>
    <w:rsid w:val="00A23812"/>
    <w:rsid w:val="00A259A8"/>
    <w:rsid w:val="00A25AF2"/>
    <w:rsid w:val="00A26344"/>
    <w:rsid w:val="00A26AC1"/>
    <w:rsid w:val="00A26C9E"/>
    <w:rsid w:val="00A305A8"/>
    <w:rsid w:val="00A30F74"/>
    <w:rsid w:val="00A3153C"/>
    <w:rsid w:val="00A336B3"/>
    <w:rsid w:val="00A33B1C"/>
    <w:rsid w:val="00A35253"/>
    <w:rsid w:val="00A359DC"/>
    <w:rsid w:val="00A36575"/>
    <w:rsid w:val="00A42EF8"/>
    <w:rsid w:val="00A445D6"/>
    <w:rsid w:val="00A47C35"/>
    <w:rsid w:val="00A508F2"/>
    <w:rsid w:val="00A51051"/>
    <w:rsid w:val="00A521DE"/>
    <w:rsid w:val="00A5243C"/>
    <w:rsid w:val="00A53C1F"/>
    <w:rsid w:val="00A54498"/>
    <w:rsid w:val="00A549F7"/>
    <w:rsid w:val="00A551A3"/>
    <w:rsid w:val="00A57AE7"/>
    <w:rsid w:val="00A63B8B"/>
    <w:rsid w:val="00A651E0"/>
    <w:rsid w:val="00A66CDE"/>
    <w:rsid w:val="00A66CE2"/>
    <w:rsid w:val="00A67275"/>
    <w:rsid w:val="00A729BE"/>
    <w:rsid w:val="00A72B81"/>
    <w:rsid w:val="00A7328A"/>
    <w:rsid w:val="00A77A0F"/>
    <w:rsid w:val="00A77B48"/>
    <w:rsid w:val="00A82E09"/>
    <w:rsid w:val="00A831D7"/>
    <w:rsid w:val="00A853EC"/>
    <w:rsid w:val="00A909E1"/>
    <w:rsid w:val="00A90C10"/>
    <w:rsid w:val="00A918C6"/>
    <w:rsid w:val="00A91C2C"/>
    <w:rsid w:val="00A92315"/>
    <w:rsid w:val="00A93A1B"/>
    <w:rsid w:val="00A93F7E"/>
    <w:rsid w:val="00A94258"/>
    <w:rsid w:val="00A95F2C"/>
    <w:rsid w:val="00A9659D"/>
    <w:rsid w:val="00A97E91"/>
    <w:rsid w:val="00AA053C"/>
    <w:rsid w:val="00AA2395"/>
    <w:rsid w:val="00AA2665"/>
    <w:rsid w:val="00AA284F"/>
    <w:rsid w:val="00AA480E"/>
    <w:rsid w:val="00AA7247"/>
    <w:rsid w:val="00AB15D6"/>
    <w:rsid w:val="00AC0205"/>
    <w:rsid w:val="00AC02DA"/>
    <w:rsid w:val="00AC31A7"/>
    <w:rsid w:val="00AC3FCD"/>
    <w:rsid w:val="00AC6EC7"/>
    <w:rsid w:val="00AC7250"/>
    <w:rsid w:val="00AD13F2"/>
    <w:rsid w:val="00AD29ED"/>
    <w:rsid w:val="00AD391A"/>
    <w:rsid w:val="00AD7299"/>
    <w:rsid w:val="00AE1E21"/>
    <w:rsid w:val="00AE26D2"/>
    <w:rsid w:val="00AE6ACC"/>
    <w:rsid w:val="00AF220D"/>
    <w:rsid w:val="00AF3B6E"/>
    <w:rsid w:val="00AF4619"/>
    <w:rsid w:val="00AF55C1"/>
    <w:rsid w:val="00AF7132"/>
    <w:rsid w:val="00AF7901"/>
    <w:rsid w:val="00AF7D79"/>
    <w:rsid w:val="00B07C5F"/>
    <w:rsid w:val="00B11070"/>
    <w:rsid w:val="00B1186D"/>
    <w:rsid w:val="00B16079"/>
    <w:rsid w:val="00B1730B"/>
    <w:rsid w:val="00B201E6"/>
    <w:rsid w:val="00B203E0"/>
    <w:rsid w:val="00B232DD"/>
    <w:rsid w:val="00B2588B"/>
    <w:rsid w:val="00B25EE5"/>
    <w:rsid w:val="00B269C6"/>
    <w:rsid w:val="00B32BDC"/>
    <w:rsid w:val="00B331C4"/>
    <w:rsid w:val="00B3477E"/>
    <w:rsid w:val="00B34A6A"/>
    <w:rsid w:val="00B378E2"/>
    <w:rsid w:val="00B4119B"/>
    <w:rsid w:val="00B429AE"/>
    <w:rsid w:val="00B43101"/>
    <w:rsid w:val="00B45C71"/>
    <w:rsid w:val="00B509E2"/>
    <w:rsid w:val="00B5137D"/>
    <w:rsid w:val="00B52244"/>
    <w:rsid w:val="00B538BF"/>
    <w:rsid w:val="00B53F68"/>
    <w:rsid w:val="00B57826"/>
    <w:rsid w:val="00B57B0B"/>
    <w:rsid w:val="00B63A73"/>
    <w:rsid w:val="00B641A8"/>
    <w:rsid w:val="00B66AFD"/>
    <w:rsid w:val="00B67D5C"/>
    <w:rsid w:val="00B71E40"/>
    <w:rsid w:val="00B72613"/>
    <w:rsid w:val="00B72EB4"/>
    <w:rsid w:val="00B758B2"/>
    <w:rsid w:val="00B760D1"/>
    <w:rsid w:val="00B76743"/>
    <w:rsid w:val="00B83E9E"/>
    <w:rsid w:val="00B84917"/>
    <w:rsid w:val="00B853E5"/>
    <w:rsid w:val="00B87660"/>
    <w:rsid w:val="00B900C6"/>
    <w:rsid w:val="00B905AA"/>
    <w:rsid w:val="00B91888"/>
    <w:rsid w:val="00B93A21"/>
    <w:rsid w:val="00BA12C2"/>
    <w:rsid w:val="00BA398E"/>
    <w:rsid w:val="00BA4F2E"/>
    <w:rsid w:val="00BB2555"/>
    <w:rsid w:val="00BB2A6F"/>
    <w:rsid w:val="00BB358C"/>
    <w:rsid w:val="00BB5B11"/>
    <w:rsid w:val="00BB644C"/>
    <w:rsid w:val="00BC1F64"/>
    <w:rsid w:val="00BC4DD7"/>
    <w:rsid w:val="00BC59D7"/>
    <w:rsid w:val="00BD0878"/>
    <w:rsid w:val="00BD72C5"/>
    <w:rsid w:val="00BD7FBD"/>
    <w:rsid w:val="00BE1A23"/>
    <w:rsid w:val="00BE2E2E"/>
    <w:rsid w:val="00BE4541"/>
    <w:rsid w:val="00BE4BB8"/>
    <w:rsid w:val="00BE6078"/>
    <w:rsid w:val="00BE6275"/>
    <w:rsid w:val="00BE641A"/>
    <w:rsid w:val="00BE659E"/>
    <w:rsid w:val="00BE7224"/>
    <w:rsid w:val="00BE75D8"/>
    <w:rsid w:val="00BE7AC7"/>
    <w:rsid w:val="00BF1B5A"/>
    <w:rsid w:val="00BF3BF7"/>
    <w:rsid w:val="00BF6BFB"/>
    <w:rsid w:val="00BF78E5"/>
    <w:rsid w:val="00C02FFC"/>
    <w:rsid w:val="00C03516"/>
    <w:rsid w:val="00C05ABA"/>
    <w:rsid w:val="00C1159A"/>
    <w:rsid w:val="00C12694"/>
    <w:rsid w:val="00C130E7"/>
    <w:rsid w:val="00C14328"/>
    <w:rsid w:val="00C14790"/>
    <w:rsid w:val="00C21080"/>
    <w:rsid w:val="00C2286B"/>
    <w:rsid w:val="00C263AE"/>
    <w:rsid w:val="00C266D5"/>
    <w:rsid w:val="00C30976"/>
    <w:rsid w:val="00C316F0"/>
    <w:rsid w:val="00C32EEB"/>
    <w:rsid w:val="00C35E85"/>
    <w:rsid w:val="00C409B9"/>
    <w:rsid w:val="00C42E52"/>
    <w:rsid w:val="00C43F6C"/>
    <w:rsid w:val="00C43F9A"/>
    <w:rsid w:val="00C45431"/>
    <w:rsid w:val="00C46B48"/>
    <w:rsid w:val="00C47234"/>
    <w:rsid w:val="00C47E59"/>
    <w:rsid w:val="00C50D8E"/>
    <w:rsid w:val="00C528F8"/>
    <w:rsid w:val="00C539BD"/>
    <w:rsid w:val="00C53AA1"/>
    <w:rsid w:val="00C55592"/>
    <w:rsid w:val="00C555CC"/>
    <w:rsid w:val="00C56075"/>
    <w:rsid w:val="00C56C4A"/>
    <w:rsid w:val="00C608CD"/>
    <w:rsid w:val="00C6289A"/>
    <w:rsid w:val="00C6358F"/>
    <w:rsid w:val="00C64738"/>
    <w:rsid w:val="00C658E2"/>
    <w:rsid w:val="00C6676E"/>
    <w:rsid w:val="00C67878"/>
    <w:rsid w:val="00C67CA0"/>
    <w:rsid w:val="00C72442"/>
    <w:rsid w:val="00C73BB3"/>
    <w:rsid w:val="00C80CD4"/>
    <w:rsid w:val="00C81126"/>
    <w:rsid w:val="00C845B7"/>
    <w:rsid w:val="00C905CA"/>
    <w:rsid w:val="00C90CFC"/>
    <w:rsid w:val="00C93472"/>
    <w:rsid w:val="00C94C03"/>
    <w:rsid w:val="00C94CE9"/>
    <w:rsid w:val="00C9637E"/>
    <w:rsid w:val="00CA04C7"/>
    <w:rsid w:val="00CA2571"/>
    <w:rsid w:val="00CA38B2"/>
    <w:rsid w:val="00CA42B5"/>
    <w:rsid w:val="00CB0D0C"/>
    <w:rsid w:val="00CB5874"/>
    <w:rsid w:val="00CC0D89"/>
    <w:rsid w:val="00CC4485"/>
    <w:rsid w:val="00CC52D8"/>
    <w:rsid w:val="00CC5961"/>
    <w:rsid w:val="00CD100E"/>
    <w:rsid w:val="00CD1539"/>
    <w:rsid w:val="00CD2B6E"/>
    <w:rsid w:val="00CD2DBA"/>
    <w:rsid w:val="00CD445B"/>
    <w:rsid w:val="00CD6530"/>
    <w:rsid w:val="00CE12F8"/>
    <w:rsid w:val="00CE33F0"/>
    <w:rsid w:val="00CE5372"/>
    <w:rsid w:val="00CE5414"/>
    <w:rsid w:val="00CE6FA4"/>
    <w:rsid w:val="00CE7549"/>
    <w:rsid w:val="00CE7A05"/>
    <w:rsid w:val="00CF15B4"/>
    <w:rsid w:val="00CF2F5F"/>
    <w:rsid w:val="00CF45B1"/>
    <w:rsid w:val="00CF5BDA"/>
    <w:rsid w:val="00CF6571"/>
    <w:rsid w:val="00D00D9F"/>
    <w:rsid w:val="00D01C42"/>
    <w:rsid w:val="00D01FB2"/>
    <w:rsid w:val="00D02AD4"/>
    <w:rsid w:val="00D043A7"/>
    <w:rsid w:val="00D04A4C"/>
    <w:rsid w:val="00D057EB"/>
    <w:rsid w:val="00D06F6D"/>
    <w:rsid w:val="00D1030B"/>
    <w:rsid w:val="00D12D83"/>
    <w:rsid w:val="00D13782"/>
    <w:rsid w:val="00D13A73"/>
    <w:rsid w:val="00D13FB0"/>
    <w:rsid w:val="00D166C9"/>
    <w:rsid w:val="00D16DE9"/>
    <w:rsid w:val="00D20B6A"/>
    <w:rsid w:val="00D213B8"/>
    <w:rsid w:val="00D2154B"/>
    <w:rsid w:val="00D22470"/>
    <w:rsid w:val="00D25786"/>
    <w:rsid w:val="00D30C82"/>
    <w:rsid w:val="00D33019"/>
    <w:rsid w:val="00D35FB2"/>
    <w:rsid w:val="00D36845"/>
    <w:rsid w:val="00D40DF9"/>
    <w:rsid w:val="00D42CA5"/>
    <w:rsid w:val="00D46CF6"/>
    <w:rsid w:val="00D47507"/>
    <w:rsid w:val="00D50991"/>
    <w:rsid w:val="00D50F32"/>
    <w:rsid w:val="00D553BE"/>
    <w:rsid w:val="00D57DCE"/>
    <w:rsid w:val="00D57EC3"/>
    <w:rsid w:val="00D61788"/>
    <w:rsid w:val="00D61AA4"/>
    <w:rsid w:val="00D621A4"/>
    <w:rsid w:val="00D64147"/>
    <w:rsid w:val="00D64841"/>
    <w:rsid w:val="00D65483"/>
    <w:rsid w:val="00D667C7"/>
    <w:rsid w:val="00D6729A"/>
    <w:rsid w:val="00D679EE"/>
    <w:rsid w:val="00D729AC"/>
    <w:rsid w:val="00D73FD5"/>
    <w:rsid w:val="00D80E1C"/>
    <w:rsid w:val="00D820C7"/>
    <w:rsid w:val="00D86D3D"/>
    <w:rsid w:val="00D939BF"/>
    <w:rsid w:val="00DA053A"/>
    <w:rsid w:val="00DA215C"/>
    <w:rsid w:val="00DA3554"/>
    <w:rsid w:val="00DA3592"/>
    <w:rsid w:val="00DA38CD"/>
    <w:rsid w:val="00DA416A"/>
    <w:rsid w:val="00DA445F"/>
    <w:rsid w:val="00DA601D"/>
    <w:rsid w:val="00DA7F0F"/>
    <w:rsid w:val="00DB07D3"/>
    <w:rsid w:val="00DB0A26"/>
    <w:rsid w:val="00DB3B0F"/>
    <w:rsid w:val="00DB7786"/>
    <w:rsid w:val="00DC2C28"/>
    <w:rsid w:val="00DC3281"/>
    <w:rsid w:val="00DC3752"/>
    <w:rsid w:val="00DC7C38"/>
    <w:rsid w:val="00DD0084"/>
    <w:rsid w:val="00DD0109"/>
    <w:rsid w:val="00DD3636"/>
    <w:rsid w:val="00DD42F5"/>
    <w:rsid w:val="00DD446A"/>
    <w:rsid w:val="00DD54EF"/>
    <w:rsid w:val="00DD6BE3"/>
    <w:rsid w:val="00DE080C"/>
    <w:rsid w:val="00DE13A1"/>
    <w:rsid w:val="00DE4809"/>
    <w:rsid w:val="00DE5C27"/>
    <w:rsid w:val="00DF16D9"/>
    <w:rsid w:val="00DF17D9"/>
    <w:rsid w:val="00DF31CE"/>
    <w:rsid w:val="00DF4097"/>
    <w:rsid w:val="00DF43C3"/>
    <w:rsid w:val="00DF46EF"/>
    <w:rsid w:val="00DF71B1"/>
    <w:rsid w:val="00E00BC0"/>
    <w:rsid w:val="00E05CE7"/>
    <w:rsid w:val="00E06A06"/>
    <w:rsid w:val="00E1098A"/>
    <w:rsid w:val="00E11E41"/>
    <w:rsid w:val="00E120D6"/>
    <w:rsid w:val="00E12A00"/>
    <w:rsid w:val="00E14A4D"/>
    <w:rsid w:val="00E14DB1"/>
    <w:rsid w:val="00E17804"/>
    <w:rsid w:val="00E17B62"/>
    <w:rsid w:val="00E2031E"/>
    <w:rsid w:val="00E2089E"/>
    <w:rsid w:val="00E25F82"/>
    <w:rsid w:val="00E305F3"/>
    <w:rsid w:val="00E306A9"/>
    <w:rsid w:val="00E3099A"/>
    <w:rsid w:val="00E30B01"/>
    <w:rsid w:val="00E30D4D"/>
    <w:rsid w:val="00E3319B"/>
    <w:rsid w:val="00E34514"/>
    <w:rsid w:val="00E44E34"/>
    <w:rsid w:val="00E466C0"/>
    <w:rsid w:val="00E54514"/>
    <w:rsid w:val="00E549FE"/>
    <w:rsid w:val="00E5628E"/>
    <w:rsid w:val="00E63C4E"/>
    <w:rsid w:val="00E67666"/>
    <w:rsid w:val="00E74020"/>
    <w:rsid w:val="00E7444B"/>
    <w:rsid w:val="00E745B6"/>
    <w:rsid w:val="00E761F4"/>
    <w:rsid w:val="00E82B12"/>
    <w:rsid w:val="00E84FE2"/>
    <w:rsid w:val="00E854D8"/>
    <w:rsid w:val="00E93CF4"/>
    <w:rsid w:val="00E9449F"/>
    <w:rsid w:val="00E9526B"/>
    <w:rsid w:val="00E963E3"/>
    <w:rsid w:val="00EA311E"/>
    <w:rsid w:val="00EA46E2"/>
    <w:rsid w:val="00EA5325"/>
    <w:rsid w:val="00EA6659"/>
    <w:rsid w:val="00EA7193"/>
    <w:rsid w:val="00EA7853"/>
    <w:rsid w:val="00EB1001"/>
    <w:rsid w:val="00EB2D72"/>
    <w:rsid w:val="00EB3DA3"/>
    <w:rsid w:val="00EB432A"/>
    <w:rsid w:val="00EB435B"/>
    <w:rsid w:val="00EC2578"/>
    <w:rsid w:val="00EC37C0"/>
    <w:rsid w:val="00EC4110"/>
    <w:rsid w:val="00EC57A1"/>
    <w:rsid w:val="00EC739C"/>
    <w:rsid w:val="00EC7AED"/>
    <w:rsid w:val="00EC7B18"/>
    <w:rsid w:val="00ED0125"/>
    <w:rsid w:val="00ED3AFB"/>
    <w:rsid w:val="00ED3FC0"/>
    <w:rsid w:val="00ED5EFF"/>
    <w:rsid w:val="00EE3743"/>
    <w:rsid w:val="00EE38D6"/>
    <w:rsid w:val="00EE3E26"/>
    <w:rsid w:val="00EE41B3"/>
    <w:rsid w:val="00EE5D78"/>
    <w:rsid w:val="00EF031D"/>
    <w:rsid w:val="00EF0D3C"/>
    <w:rsid w:val="00EF139A"/>
    <w:rsid w:val="00EF1437"/>
    <w:rsid w:val="00EF1B7D"/>
    <w:rsid w:val="00EF1DC6"/>
    <w:rsid w:val="00EF3123"/>
    <w:rsid w:val="00EF38B6"/>
    <w:rsid w:val="00EF4947"/>
    <w:rsid w:val="00EF6526"/>
    <w:rsid w:val="00EF6562"/>
    <w:rsid w:val="00EF6CF6"/>
    <w:rsid w:val="00EF724B"/>
    <w:rsid w:val="00F016F2"/>
    <w:rsid w:val="00F02396"/>
    <w:rsid w:val="00F02FD1"/>
    <w:rsid w:val="00F03F3A"/>
    <w:rsid w:val="00F05574"/>
    <w:rsid w:val="00F06C14"/>
    <w:rsid w:val="00F077C2"/>
    <w:rsid w:val="00F1040E"/>
    <w:rsid w:val="00F10831"/>
    <w:rsid w:val="00F11447"/>
    <w:rsid w:val="00F1317F"/>
    <w:rsid w:val="00F13AC6"/>
    <w:rsid w:val="00F14E20"/>
    <w:rsid w:val="00F1526B"/>
    <w:rsid w:val="00F16F65"/>
    <w:rsid w:val="00F174AB"/>
    <w:rsid w:val="00F2236E"/>
    <w:rsid w:val="00F2277B"/>
    <w:rsid w:val="00F22EF5"/>
    <w:rsid w:val="00F25302"/>
    <w:rsid w:val="00F25CF1"/>
    <w:rsid w:val="00F2796F"/>
    <w:rsid w:val="00F27CEE"/>
    <w:rsid w:val="00F31785"/>
    <w:rsid w:val="00F327DB"/>
    <w:rsid w:val="00F33B18"/>
    <w:rsid w:val="00F36D64"/>
    <w:rsid w:val="00F40B4C"/>
    <w:rsid w:val="00F41AF2"/>
    <w:rsid w:val="00F425E3"/>
    <w:rsid w:val="00F428C7"/>
    <w:rsid w:val="00F460DD"/>
    <w:rsid w:val="00F4638F"/>
    <w:rsid w:val="00F5075A"/>
    <w:rsid w:val="00F50995"/>
    <w:rsid w:val="00F5277D"/>
    <w:rsid w:val="00F52D86"/>
    <w:rsid w:val="00F54938"/>
    <w:rsid w:val="00F5739C"/>
    <w:rsid w:val="00F63B71"/>
    <w:rsid w:val="00F657FA"/>
    <w:rsid w:val="00F65D0F"/>
    <w:rsid w:val="00F67BD6"/>
    <w:rsid w:val="00F710E2"/>
    <w:rsid w:val="00F71F06"/>
    <w:rsid w:val="00F734D6"/>
    <w:rsid w:val="00F748F6"/>
    <w:rsid w:val="00F74AAF"/>
    <w:rsid w:val="00F836CA"/>
    <w:rsid w:val="00F870CA"/>
    <w:rsid w:val="00F87A0D"/>
    <w:rsid w:val="00F90103"/>
    <w:rsid w:val="00F93EB6"/>
    <w:rsid w:val="00F95663"/>
    <w:rsid w:val="00F97B40"/>
    <w:rsid w:val="00FA01A9"/>
    <w:rsid w:val="00FA0215"/>
    <w:rsid w:val="00FA0D23"/>
    <w:rsid w:val="00FA2D09"/>
    <w:rsid w:val="00FA3E74"/>
    <w:rsid w:val="00FA6C20"/>
    <w:rsid w:val="00FB062E"/>
    <w:rsid w:val="00FB39A4"/>
    <w:rsid w:val="00FB4201"/>
    <w:rsid w:val="00FB5AC5"/>
    <w:rsid w:val="00FC00E5"/>
    <w:rsid w:val="00FC1F84"/>
    <w:rsid w:val="00FC2C23"/>
    <w:rsid w:val="00FC75A4"/>
    <w:rsid w:val="00FD1DD5"/>
    <w:rsid w:val="00FE051B"/>
    <w:rsid w:val="00FE1302"/>
    <w:rsid w:val="00FE1404"/>
    <w:rsid w:val="00FE30F3"/>
    <w:rsid w:val="00FE43BD"/>
    <w:rsid w:val="00FE47C5"/>
    <w:rsid w:val="00FE4F63"/>
    <w:rsid w:val="00FE7DB1"/>
    <w:rsid w:val="00FF138F"/>
    <w:rsid w:val="00FF1987"/>
    <w:rsid w:val="00FF2265"/>
    <w:rsid w:val="00FF3C51"/>
    <w:rsid w:val="00FF438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EB83A7"/>
  <w15:docId w15:val="{77FB09AD-4ED1-4D0D-8117-CFA00F85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99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7C5AF9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7C5AF9"/>
    <w:rPr>
      <w:rFonts w:eastAsia="Times New Roman" w:cs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rsid w:val="007C5AF9"/>
    <w:rPr>
      <w:rFonts w:cs="Times New Roman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rsid w:val="002F74D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F74D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F74D7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F74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F74D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3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4B25-B3DA-4BF5-907A-EDC5E840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5011</Words>
  <Characters>2857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Teisės aktų projektų antikorupcinio vertinimo taisyklių</vt:lpstr>
      <vt:lpstr>Teisės aktų projektų antikorupcinio vertinimo taisyklių</vt:lpstr>
    </vt:vector>
  </TitlesOfParts>
  <Company>LRVK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2018-07-19T08:15:00Z</dcterms:created>
  <dc:creator>lrvk</dc:creator>
  <cp:lastModifiedBy>Aleksandras Stupenko</cp:lastModifiedBy>
  <cp:lastPrinted>2017-02-10T16:44:00Z</cp:lastPrinted>
  <dcterms:modified xsi:type="dcterms:W3CDTF">2018-07-19T08:15:00Z</dcterms:modified>
  <cp:revision>2</cp:revision>
  <dc:title>Teisės aktų projektų antikorupcinio vertinimo taisyklių</dc:title>
</cp:coreProperties>
</file>