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E321CD" w:rsidRDefault="001934A6" w:rsidP="001F7871">
      <w:pPr>
        <w:pStyle w:val="Preformatted"/>
        <w:jc w:val="center"/>
        <w:rPr>
          <w:rFonts w:ascii="Times New Roman" w:hAnsi="Times New Roman"/>
          <w:b/>
          <w:sz w:val="24"/>
          <w:szCs w:val="24"/>
        </w:rPr>
      </w:pPr>
      <w:r w:rsidRPr="00E321CD">
        <w:rPr>
          <w:rFonts w:ascii="Times New Roman" w:hAnsi="Times New Roman"/>
          <w:b/>
          <w:sz w:val="24"/>
          <w:szCs w:val="24"/>
        </w:rPr>
        <w:t>LIETUVOS RESPUBLIKOS VYRIAUSYBĖS KANCELIARIJ</w:t>
      </w:r>
      <w:r w:rsidR="0050221B" w:rsidRPr="00E321CD">
        <w:rPr>
          <w:rFonts w:ascii="Times New Roman" w:hAnsi="Times New Roman"/>
          <w:b/>
          <w:sz w:val="24"/>
          <w:szCs w:val="24"/>
        </w:rPr>
        <w:t>OS</w:t>
      </w:r>
    </w:p>
    <w:p w:rsidR="00AA615C" w:rsidRPr="00E321CD" w:rsidRDefault="00AA615C" w:rsidP="001F7871">
      <w:pPr>
        <w:pStyle w:val="Preformatted"/>
        <w:jc w:val="center"/>
        <w:rPr>
          <w:rFonts w:ascii="Times New Roman" w:hAnsi="Times New Roman"/>
          <w:b/>
          <w:sz w:val="24"/>
          <w:szCs w:val="24"/>
        </w:rPr>
      </w:pPr>
      <w:r w:rsidRPr="00E321CD">
        <w:rPr>
          <w:rFonts w:ascii="Times New Roman" w:hAnsi="Times New Roman"/>
          <w:b/>
          <w:sz w:val="24"/>
          <w:szCs w:val="24"/>
        </w:rPr>
        <w:t>VIEŠOJO VALDYMO GRUPĖ</w:t>
      </w:r>
    </w:p>
    <w:p w:rsidR="00EF2CE1" w:rsidRPr="00E321CD" w:rsidRDefault="00EF2CE1" w:rsidP="001F7871">
      <w:pPr>
        <w:overflowPunct w:val="0"/>
        <w:autoSpaceDE w:val="0"/>
        <w:autoSpaceDN w:val="0"/>
        <w:adjustRightInd w:val="0"/>
        <w:rPr>
          <w:b/>
          <w:szCs w:val="24"/>
        </w:rPr>
      </w:pPr>
    </w:p>
    <w:p w:rsidR="00553DF3" w:rsidRDefault="00BD12BB" w:rsidP="001F7871">
      <w:pPr>
        <w:pStyle w:val="Antraste"/>
        <w:rPr>
          <w:szCs w:val="24"/>
        </w:rPr>
      </w:pPr>
      <w:r w:rsidRPr="00E321CD">
        <w:rPr>
          <w:szCs w:val="24"/>
        </w:rPr>
        <w:t>PAŽYMA</w:t>
      </w:r>
    </w:p>
    <w:p w:rsidR="001F7871" w:rsidRPr="00E321CD" w:rsidRDefault="001F7871" w:rsidP="001F7871">
      <w:pPr>
        <w:pStyle w:val="Antraste"/>
        <w:rPr>
          <w:szCs w:val="24"/>
        </w:rPr>
      </w:pPr>
    </w:p>
    <w:p w:rsidR="00C820F2" w:rsidRPr="00E321CD" w:rsidRDefault="00A804E9" w:rsidP="001F7871">
      <w:pPr>
        <w:pStyle w:val="Antraste"/>
        <w:rPr>
          <w:bCs/>
          <w:caps w:val="0"/>
          <w:color w:val="000000"/>
          <w:spacing w:val="0"/>
          <w:szCs w:val="24"/>
        </w:rPr>
      </w:pPr>
      <w:r w:rsidRPr="00E321CD">
        <w:rPr>
          <w:bCs/>
          <w:caps w:val="0"/>
          <w:color w:val="000000"/>
          <w:spacing w:val="0"/>
          <w:szCs w:val="24"/>
        </w:rPr>
        <w:t>DĖL LIETUVOS RESPUBLIKOS PROKURATŪROS VEIKLOS 201</w:t>
      </w:r>
      <w:r w:rsidR="00A540EC">
        <w:rPr>
          <w:bCs/>
          <w:caps w:val="0"/>
          <w:color w:val="000000"/>
          <w:spacing w:val="0"/>
          <w:szCs w:val="24"/>
        </w:rPr>
        <w:t>9</w:t>
      </w:r>
      <w:r w:rsidRPr="00E321CD">
        <w:rPr>
          <w:bCs/>
          <w:caps w:val="0"/>
          <w:color w:val="000000"/>
          <w:spacing w:val="0"/>
          <w:szCs w:val="24"/>
        </w:rPr>
        <w:t xml:space="preserve"> METAIS ATASKAITOS</w:t>
      </w:r>
    </w:p>
    <w:p w:rsidR="00957B50" w:rsidRPr="00E321CD" w:rsidRDefault="00957B50" w:rsidP="001F7871">
      <w:pPr>
        <w:pStyle w:val="Antraste"/>
        <w:rPr>
          <w:szCs w:val="24"/>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E321CD" w:rsidTr="00F94D25">
        <w:tc>
          <w:tcPr>
            <w:tcW w:w="4536" w:type="dxa"/>
          </w:tcPr>
          <w:p w:rsidR="00F94D25" w:rsidRPr="00E321CD" w:rsidRDefault="00AA3432" w:rsidP="001F7871">
            <w:pPr>
              <w:jc w:val="center"/>
              <w:rPr>
                <w:spacing w:val="-6"/>
                <w:szCs w:val="24"/>
              </w:rPr>
            </w:pPr>
            <w:sdt>
              <w:sdtPr>
                <w:rPr>
                  <w:spacing w:val="-6"/>
                  <w:szCs w:val="24"/>
                </w:rPr>
                <w:tag w:val="registravimoData"/>
                <w:id w:val="-283805736"/>
                <w:placeholder>
                  <w:docPart w:val="5227F9497BEB4502967040EA23B522FC"/>
                </w:placeholder>
              </w:sdtPr>
              <w:sdtEndPr/>
              <w:sdtContent>
                <w:r>
                  <w:t/>
                </w:r>
              </w:sdtContent>
            </w:sdt>
            <w:r w:rsidR="00F94D25" w:rsidRPr="00E321CD">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rsidR="00E26301" w:rsidRDefault="008F31A4" w:rsidP="001F7871">
      <w:pPr>
        <w:jc w:val="center"/>
        <w:rPr>
          <w:szCs w:val="24"/>
        </w:rPr>
      </w:pPr>
      <w:r w:rsidRPr="00E321CD">
        <w:rPr>
          <w:szCs w:val="24"/>
        </w:rPr>
        <w:t>Vilnius</w:t>
      </w:r>
    </w:p>
    <w:p w:rsidR="001F7871" w:rsidRPr="00E321CD" w:rsidRDefault="001F7871" w:rsidP="001F7871">
      <w:pPr>
        <w:jc w:val="center"/>
        <w:rPr>
          <w:szCs w:val="24"/>
        </w:rPr>
      </w:pPr>
    </w:p>
    <w:p w:rsidR="00972017" w:rsidRDefault="00A804E9" w:rsidP="001F7871">
      <w:pPr>
        <w:shd w:val="clear" w:color="auto" w:fill="FFFFFF"/>
        <w:ind w:right="23" w:firstLine="709"/>
        <w:rPr>
          <w:szCs w:val="24"/>
          <w:lang w:bidi="lt-LT"/>
        </w:rPr>
      </w:pPr>
      <w:r w:rsidRPr="00E321CD">
        <w:rPr>
          <w:b/>
          <w:szCs w:val="24"/>
          <w:lang w:bidi="lt-LT"/>
        </w:rPr>
        <w:t>Teikėjas</w:t>
      </w:r>
      <w:r w:rsidR="00A540EC">
        <w:rPr>
          <w:szCs w:val="24"/>
          <w:lang w:bidi="lt-LT"/>
        </w:rPr>
        <w:t>:</w:t>
      </w:r>
      <w:r w:rsidR="00063BC5" w:rsidRPr="00E321CD">
        <w:rPr>
          <w:szCs w:val="24"/>
          <w:lang w:bidi="lt-LT"/>
        </w:rPr>
        <w:t xml:space="preserve"> </w:t>
      </w:r>
      <w:r w:rsidRPr="00E321CD">
        <w:rPr>
          <w:szCs w:val="24"/>
          <w:lang w:bidi="lt-LT"/>
        </w:rPr>
        <w:t>Lietuvos Respublikos generalinis prokuroras</w:t>
      </w:r>
    </w:p>
    <w:p w:rsidR="001F7871" w:rsidRPr="00E321CD" w:rsidRDefault="001F7871" w:rsidP="001F7871">
      <w:pPr>
        <w:shd w:val="clear" w:color="auto" w:fill="FFFFFF"/>
        <w:ind w:right="23" w:firstLine="709"/>
        <w:rPr>
          <w:szCs w:val="24"/>
          <w:lang w:bidi="lt-LT"/>
        </w:rPr>
      </w:pPr>
    </w:p>
    <w:p w:rsidR="00163681" w:rsidRDefault="006A2673" w:rsidP="001F7871">
      <w:pPr>
        <w:shd w:val="clear" w:color="auto" w:fill="FFFFFF"/>
        <w:ind w:right="23" w:firstLine="709"/>
        <w:rPr>
          <w:szCs w:val="24"/>
          <w:lang w:bidi="lt-LT"/>
        </w:rPr>
      </w:pPr>
      <w:r w:rsidRPr="00E321CD">
        <w:rPr>
          <w:b/>
          <w:szCs w:val="24"/>
          <w:lang w:bidi="lt-LT"/>
        </w:rPr>
        <w:t>T</w:t>
      </w:r>
      <w:r w:rsidR="00063BC5" w:rsidRPr="00E321CD">
        <w:rPr>
          <w:b/>
          <w:szCs w:val="24"/>
          <w:lang w:bidi="lt-LT"/>
        </w:rPr>
        <w:t>iksla</w:t>
      </w:r>
      <w:r w:rsidR="004A4180" w:rsidRPr="00E321CD">
        <w:rPr>
          <w:b/>
          <w:szCs w:val="24"/>
          <w:lang w:bidi="lt-LT"/>
        </w:rPr>
        <w:t>s</w:t>
      </w:r>
      <w:r w:rsidR="00A540EC">
        <w:rPr>
          <w:b/>
          <w:szCs w:val="24"/>
          <w:lang w:bidi="lt-LT"/>
        </w:rPr>
        <w:t>:</w:t>
      </w:r>
      <w:r w:rsidR="001116FB" w:rsidRPr="00E321CD">
        <w:rPr>
          <w:b/>
          <w:szCs w:val="24"/>
          <w:lang w:bidi="lt-LT"/>
        </w:rPr>
        <w:t xml:space="preserve"> </w:t>
      </w:r>
      <w:r w:rsidR="00A804E9" w:rsidRPr="00E321CD">
        <w:rPr>
          <w:szCs w:val="24"/>
          <w:lang w:bidi="lt-LT"/>
        </w:rPr>
        <w:t xml:space="preserve">pateikti Vyriausybei informaciją apie </w:t>
      </w:r>
      <w:r w:rsidR="00A540EC">
        <w:rPr>
          <w:szCs w:val="24"/>
          <w:lang w:bidi="lt-LT"/>
        </w:rPr>
        <w:t>G</w:t>
      </w:r>
      <w:r w:rsidR="00A804E9" w:rsidRPr="00E321CD">
        <w:rPr>
          <w:szCs w:val="24"/>
          <w:lang w:bidi="lt-LT"/>
        </w:rPr>
        <w:t>eneralinės prokuratūros veiklą 201</w:t>
      </w:r>
      <w:r w:rsidR="00A540EC">
        <w:rPr>
          <w:szCs w:val="24"/>
          <w:lang w:bidi="lt-LT"/>
        </w:rPr>
        <w:t>9</w:t>
      </w:r>
      <w:r w:rsidR="00A804E9" w:rsidRPr="00E321CD">
        <w:rPr>
          <w:szCs w:val="24"/>
          <w:lang w:bidi="lt-LT"/>
        </w:rPr>
        <w:t xml:space="preserve"> metais.</w:t>
      </w:r>
    </w:p>
    <w:p w:rsidR="001F7871" w:rsidRPr="00E321CD" w:rsidRDefault="001F7871" w:rsidP="001F7871">
      <w:pPr>
        <w:shd w:val="clear" w:color="auto" w:fill="FFFFFF"/>
        <w:ind w:right="23" w:firstLine="709"/>
        <w:rPr>
          <w:szCs w:val="24"/>
        </w:rPr>
      </w:pPr>
    </w:p>
    <w:p w:rsidR="002D7102" w:rsidRDefault="006A2673" w:rsidP="001F7871">
      <w:pPr>
        <w:shd w:val="clear" w:color="auto" w:fill="FFFFFF"/>
        <w:ind w:right="23" w:firstLine="709"/>
        <w:rPr>
          <w:szCs w:val="24"/>
        </w:rPr>
      </w:pPr>
      <w:r w:rsidRPr="00E321CD">
        <w:rPr>
          <w:b/>
          <w:szCs w:val="24"/>
        </w:rPr>
        <w:t>Dabart</w:t>
      </w:r>
      <w:r w:rsidR="00063BC5" w:rsidRPr="00E321CD">
        <w:rPr>
          <w:b/>
          <w:szCs w:val="24"/>
        </w:rPr>
        <w:t>inė situacija.</w:t>
      </w:r>
      <w:r w:rsidR="00063BC5" w:rsidRPr="00E321CD">
        <w:rPr>
          <w:szCs w:val="24"/>
        </w:rPr>
        <w:t xml:space="preserve"> </w:t>
      </w:r>
      <w:r w:rsidR="002D7102" w:rsidRPr="002D7102">
        <w:rPr>
          <w:szCs w:val="24"/>
        </w:rPr>
        <w:t xml:space="preserve">Prokuratūra yra valstybės institucija, </w:t>
      </w:r>
      <w:r w:rsidR="002D7102">
        <w:rPr>
          <w:szCs w:val="24"/>
        </w:rPr>
        <w:t>kuri pagal įstatymus</w:t>
      </w:r>
      <w:r w:rsidR="002D7102" w:rsidRPr="002D7102">
        <w:rPr>
          <w:szCs w:val="24"/>
        </w:rPr>
        <w:t xml:space="preserve"> padeda užtikrinti teisėtumą ir teismui vykdyti teisingumą.</w:t>
      </w:r>
      <w:r w:rsidR="002D7102">
        <w:rPr>
          <w:szCs w:val="24"/>
        </w:rPr>
        <w:t xml:space="preserve"> Į</w:t>
      </w:r>
      <w:r w:rsidR="002D7102" w:rsidRPr="002D7102">
        <w:rPr>
          <w:szCs w:val="24"/>
        </w:rPr>
        <w:t>statymų nustatyta tvarka</w:t>
      </w:r>
      <w:r w:rsidR="002D7102">
        <w:rPr>
          <w:szCs w:val="24"/>
        </w:rPr>
        <w:t xml:space="preserve"> prokuratūra</w:t>
      </w:r>
      <w:r w:rsidR="002D7102" w:rsidRPr="002D7102">
        <w:rPr>
          <w:szCs w:val="24"/>
        </w:rPr>
        <w:t xml:space="preserve"> organizuoja</w:t>
      </w:r>
      <w:r w:rsidR="002D7102">
        <w:rPr>
          <w:szCs w:val="24"/>
        </w:rPr>
        <w:t>, vadovauja ir atlieka</w:t>
      </w:r>
      <w:r w:rsidR="002D7102" w:rsidRPr="002D7102">
        <w:rPr>
          <w:szCs w:val="24"/>
        </w:rPr>
        <w:t xml:space="preserve"> ikiteisminį tyrimą</w:t>
      </w:r>
      <w:r w:rsidR="002D7102">
        <w:rPr>
          <w:szCs w:val="24"/>
        </w:rPr>
        <w:t xml:space="preserve">, </w:t>
      </w:r>
      <w:r w:rsidR="002D7102" w:rsidRPr="002D7102">
        <w:rPr>
          <w:szCs w:val="24"/>
        </w:rPr>
        <w:t>kontroliuoja ikiteisminio tyrimo pareigūnų veiklą baudžiamajame procese</w:t>
      </w:r>
      <w:r w:rsidR="002D7102">
        <w:rPr>
          <w:szCs w:val="24"/>
        </w:rPr>
        <w:t>,</w:t>
      </w:r>
      <w:r w:rsidR="002D7102" w:rsidRPr="002D7102">
        <w:rPr>
          <w:szCs w:val="24"/>
        </w:rPr>
        <w:t xml:space="preserve"> koordinuoja ikiteisminio tyrimo įstaigų veiksmus tiriant nusikalstamas veikas</w:t>
      </w:r>
      <w:r w:rsidR="002D7102">
        <w:rPr>
          <w:szCs w:val="24"/>
        </w:rPr>
        <w:t>,</w:t>
      </w:r>
      <w:r w:rsidR="002D7102" w:rsidRPr="002D7102">
        <w:rPr>
          <w:szCs w:val="24"/>
        </w:rPr>
        <w:t xml:space="preserve"> palaiko valstybinį kaltinimą baudžiamosiose bylose</w:t>
      </w:r>
      <w:r w:rsidR="002D7102">
        <w:rPr>
          <w:szCs w:val="24"/>
        </w:rPr>
        <w:t>,</w:t>
      </w:r>
      <w:r w:rsidR="002D7102" w:rsidRPr="002D7102">
        <w:rPr>
          <w:szCs w:val="24"/>
        </w:rPr>
        <w:t xml:space="preserve"> gina viešąjį interesą</w:t>
      </w:r>
      <w:r w:rsidR="002D7102">
        <w:rPr>
          <w:szCs w:val="24"/>
        </w:rPr>
        <w:t xml:space="preserve"> ir kt.</w:t>
      </w:r>
    </w:p>
    <w:p w:rsidR="009D2819" w:rsidRDefault="00571D13" w:rsidP="001F7871">
      <w:pPr>
        <w:shd w:val="clear" w:color="auto" w:fill="FFFFFF"/>
        <w:ind w:right="23" w:firstLine="709"/>
        <w:rPr>
          <w:szCs w:val="24"/>
          <w:lang w:bidi="lt-LT"/>
        </w:rPr>
      </w:pPr>
      <w:r w:rsidRPr="00E321CD">
        <w:rPr>
          <w:szCs w:val="24"/>
          <w:lang w:bidi="lt-LT"/>
        </w:rPr>
        <w:t>V</w:t>
      </w:r>
      <w:r w:rsidR="00A804E9" w:rsidRPr="00E321CD">
        <w:rPr>
          <w:szCs w:val="24"/>
          <w:lang w:bidi="lt-LT"/>
        </w:rPr>
        <w:t xml:space="preserve">adovaujantis </w:t>
      </w:r>
      <w:r w:rsidR="00A540EC">
        <w:rPr>
          <w:szCs w:val="24"/>
          <w:lang w:bidi="lt-LT"/>
        </w:rPr>
        <w:t>P</w:t>
      </w:r>
      <w:r w:rsidR="00A804E9" w:rsidRPr="00E321CD">
        <w:rPr>
          <w:szCs w:val="24"/>
          <w:lang w:bidi="lt-LT"/>
        </w:rPr>
        <w:t xml:space="preserve">rokuratūros įstatymo 4 straipsnio 5 dalimi, </w:t>
      </w:r>
      <w:r w:rsidR="00A540EC">
        <w:rPr>
          <w:szCs w:val="24"/>
          <w:lang w:bidi="lt-LT"/>
        </w:rPr>
        <w:t>G</w:t>
      </w:r>
      <w:r w:rsidR="00A804E9" w:rsidRPr="00E321CD">
        <w:rPr>
          <w:szCs w:val="24"/>
          <w:lang w:bidi="lt-LT"/>
        </w:rPr>
        <w:t>eneralinis prokuroras apie prokuratūros ne proceso veiklą</w:t>
      </w:r>
      <w:r w:rsidRPr="00E321CD">
        <w:rPr>
          <w:szCs w:val="24"/>
          <w:lang w:bidi="lt-LT"/>
        </w:rPr>
        <w:t xml:space="preserve"> kasmet</w:t>
      </w:r>
      <w:r w:rsidR="00A804E9" w:rsidRPr="00E321CD">
        <w:rPr>
          <w:szCs w:val="24"/>
          <w:lang w:bidi="lt-LT"/>
        </w:rPr>
        <w:t xml:space="preserve"> </w:t>
      </w:r>
      <w:r w:rsidR="00A804E9" w:rsidRPr="00FE5E00">
        <w:rPr>
          <w:i/>
          <w:iCs/>
          <w:szCs w:val="24"/>
          <w:lang w:bidi="lt-LT"/>
        </w:rPr>
        <w:t>teikia informaciją</w:t>
      </w:r>
      <w:r w:rsidR="00A804E9" w:rsidRPr="00E321CD">
        <w:rPr>
          <w:szCs w:val="24"/>
          <w:lang w:bidi="lt-LT"/>
        </w:rPr>
        <w:t xml:space="preserve"> Vyriausybei.</w:t>
      </w:r>
    </w:p>
    <w:p w:rsidR="001F7871" w:rsidRPr="00E321CD" w:rsidRDefault="001F7871" w:rsidP="001F7871">
      <w:pPr>
        <w:shd w:val="clear" w:color="auto" w:fill="FFFFFF"/>
        <w:ind w:right="23" w:firstLine="709"/>
        <w:rPr>
          <w:szCs w:val="24"/>
          <w:lang w:bidi="lt-LT"/>
        </w:rPr>
      </w:pPr>
    </w:p>
    <w:p w:rsidR="00E321CD" w:rsidRDefault="006A6F76" w:rsidP="001F7871">
      <w:pPr>
        <w:shd w:val="clear" w:color="auto" w:fill="FFFFFF"/>
        <w:ind w:right="23" w:firstLine="709"/>
        <w:rPr>
          <w:szCs w:val="24"/>
        </w:rPr>
      </w:pPr>
      <w:r w:rsidRPr="00E321CD">
        <w:rPr>
          <w:b/>
          <w:szCs w:val="24"/>
        </w:rPr>
        <w:t>Esmė.</w:t>
      </w:r>
      <w:r>
        <w:rPr>
          <w:b/>
          <w:szCs w:val="24"/>
        </w:rPr>
        <w:t xml:space="preserve"> </w:t>
      </w:r>
      <w:r w:rsidRPr="006A6F76">
        <w:rPr>
          <w:szCs w:val="24"/>
        </w:rPr>
        <w:t>Esminė statistika vienu žvilgsniu:</w:t>
      </w:r>
    </w:p>
    <w:p w:rsidR="008C6DE0" w:rsidRPr="00E321CD" w:rsidRDefault="008C6DE0" w:rsidP="001F7871">
      <w:pPr>
        <w:shd w:val="clear" w:color="auto" w:fill="FFFFFF"/>
        <w:ind w:right="23" w:firstLine="709"/>
        <w:rPr>
          <w:szCs w:val="24"/>
        </w:rPr>
      </w:pPr>
    </w:p>
    <w:tbl>
      <w:tblPr>
        <w:tblStyle w:val="Lentelstinklelis"/>
        <w:tblW w:w="9634" w:type="dxa"/>
        <w:tblLayout w:type="fixed"/>
        <w:tblLook w:val="04A0" w:firstRow="1" w:lastRow="0" w:firstColumn="1" w:lastColumn="0" w:noHBand="0" w:noVBand="1"/>
      </w:tblPr>
      <w:tblGrid>
        <w:gridCol w:w="4502"/>
        <w:gridCol w:w="1368"/>
        <w:gridCol w:w="1368"/>
        <w:gridCol w:w="1368"/>
        <w:gridCol w:w="1028"/>
      </w:tblGrid>
      <w:tr w:rsidR="00A540EC" w:rsidRPr="00E321CD" w:rsidTr="00937100">
        <w:tc>
          <w:tcPr>
            <w:tcW w:w="4345" w:type="dxa"/>
          </w:tcPr>
          <w:p w:rsidR="00A540EC" w:rsidRPr="00E321CD" w:rsidRDefault="00A540EC" w:rsidP="001F7871">
            <w:pPr>
              <w:ind w:right="23"/>
              <w:rPr>
                <w:szCs w:val="24"/>
              </w:rPr>
            </w:pPr>
          </w:p>
        </w:tc>
        <w:tc>
          <w:tcPr>
            <w:tcW w:w="1321" w:type="dxa"/>
          </w:tcPr>
          <w:p w:rsidR="00A540EC" w:rsidRPr="00E321CD" w:rsidRDefault="00A540EC" w:rsidP="001F7871">
            <w:pPr>
              <w:ind w:right="23"/>
              <w:jc w:val="center"/>
              <w:rPr>
                <w:szCs w:val="24"/>
              </w:rPr>
            </w:pPr>
            <w:r w:rsidRPr="00E321CD">
              <w:rPr>
                <w:szCs w:val="24"/>
              </w:rPr>
              <w:t>2017</w:t>
            </w:r>
          </w:p>
        </w:tc>
        <w:tc>
          <w:tcPr>
            <w:tcW w:w="1321" w:type="dxa"/>
          </w:tcPr>
          <w:p w:rsidR="00A540EC" w:rsidRPr="00A540EC" w:rsidRDefault="00A540EC" w:rsidP="001F7871">
            <w:pPr>
              <w:ind w:right="23"/>
              <w:jc w:val="center"/>
              <w:rPr>
                <w:bCs/>
                <w:szCs w:val="24"/>
              </w:rPr>
            </w:pPr>
            <w:r w:rsidRPr="00A540EC">
              <w:rPr>
                <w:bCs/>
                <w:szCs w:val="24"/>
              </w:rPr>
              <w:t>2018</w:t>
            </w:r>
          </w:p>
        </w:tc>
        <w:tc>
          <w:tcPr>
            <w:tcW w:w="1321" w:type="dxa"/>
          </w:tcPr>
          <w:p w:rsidR="00A540EC" w:rsidRPr="00A540EC" w:rsidRDefault="00A540EC" w:rsidP="001F7871">
            <w:pPr>
              <w:ind w:right="23"/>
              <w:jc w:val="center"/>
              <w:rPr>
                <w:szCs w:val="24"/>
              </w:rPr>
            </w:pPr>
            <w:r w:rsidRPr="00A540EC">
              <w:rPr>
                <w:szCs w:val="24"/>
              </w:rPr>
              <w:t>2019</w:t>
            </w:r>
          </w:p>
        </w:tc>
        <w:tc>
          <w:tcPr>
            <w:tcW w:w="992" w:type="dxa"/>
          </w:tcPr>
          <w:p w:rsidR="00A540EC" w:rsidRPr="001F7871" w:rsidRDefault="00A540EC" w:rsidP="008C6DE0">
            <w:pPr>
              <w:ind w:right="23"/>
              <w:jc w:val="center"/>
              <w:rPr>
                <w:szCs w:val="24"/>
                <w:lang w:val="en-GB"/>
              </w:rPr>
            </w:pPr>
            <w:r w:rsidRPr="001F7871">
              <w:rPr>
                <w:szCs w:val="24"/>
              </w:rPr>
              <w:t>Pokytis</w:t>
            </w:r>
            <w:r w:rsidR="008C6DE0">
              <w:rPr>
                <w:szCs w:val="24"/>
              </w:rPr>
              <w:t xml:space="preserve"> (proc.)</w:t>
            </w:r>
          </w:p>
        </w:tc>
      </w:tr>
      <w:tr w:rsidR="00A540EC" w:rsidRPr="00141162" w:rsidTr="00937100">
        <w:tc>
          <w:tcPr>
            <w:tcW w:w="4345" w:type="dxa"/>
          </w:tcPr>
          <w:p w:rsidR="00A540EC" w:rsidRPr="00141162" w:rsidRDefault="00A540EC" w:rsidP="001F7871">
            <w:pPr>
              <w:ind w:right="23"/>
              <w:rPr>
                <w:b/>
                <w:bCs/>
                <w:szCs w:val="24"/>
              </w:rPr>
            </w:pPr>
            <w:r w:rsidRPr="00141162">
              <w:rPr>
                <w:b/>
                <w:bCs/>
                <w:szCs w:val="24"/>
              </w:rPr>
              <w:t>Užregistruota nusikalstamų veikų</w:t>
            </w:r>
          </w:p>
        </w:tc>
        <w:tc>
          <w:tcPr>
            <w:tcW w:w="1321" w:type="dxa"/>
          </w:tcPr>
          <w:p w:rsidR="00A540EC" w:rsidRPr="00141162" w:rsidRDefault="00A540EC" w:rsidP="001F7871">
            <w:pPr>
              <w:ind w:right="23"/>
              <w:jc w:val="center"/>
              <w:rPr>
                <w:b/>
                <w:bCs/>
                <w:szCs w:val="24"/>
              </w:rPr>
            </w:pPr>
            <w:r w:rsidRPr="00141162">
              <w:rPr>
                <w:b/>
                <w:bCs/>
                <w:szCs w:val="24"/>
              </w:rPr>
              <w:t>63</w:t>
            </w:r>
            <w:r w:rsidR="00937100">
              <w:rPr>
                <w:b/>
                <w:bCs/>
                <w:szCs w:val="24"/>
              </w:rPr>
              <w:t xml:space="preserve"> </w:t>
            </w:r>
            <w:r w:rsidRPr="00141162">
              <w:rPr>
                <w:b/>
                <w:bCs/>
                <w:szCs w:val="24"/>
              </w:rPr>
              <w:t>704</w:t>
            </w:r>
          </w:p>
        </w:tc>
        <w:tc>
          <w:tcPr>
            <w:tcW w:w="1321" w:type="dxa"/>
          </w:tcPr>
          <w:p w:rsidR="00A540EC" w:rsidRPr="00141162" w:rsidRDefault="00A540EC" w:rsidP="001F7871">
            <w:pPr>
              <w:ind w:right="23"/>
              <w:jc w:val="center"/>
              <w:rPr>
                <w:b/>
                <w:bCs/>
                <w:szCs w:val="24"/>
              </w:rPr>
            </w:pPr>
            <w:r w:rsidRPr="00141162">
              <w:rPr>
                <w:b/>
                <w:bCs/>
                <w:szCs w:val="24"/>
              </w:rPr>
              <w:t>57</w:t>
            </w:r>
            <w:r w:rsidR="00937100">
              <w:rPr>
                <w:b/>
                <w:bCs/>
                <w:szCs w:val="24"/>
              </w:rPr>
              <w:t xml:space="preserve"> </w:t>
            </w:r>
            <w:r w:rsidRPr="00141162">
              <w:rPr>
                <w:b/>
                <w:bCs/>
                <w:szCs w:val="24"/>
              </w:rPr>
              <w:t>644</w:t>
            </w:r>
          </w:p>
        </w:tc>
        <w:tc>
          <w:tcPr>
            <w:tcW w:w="1321" w:type="dxa"/>
          </w:tcPr>
          <w:p w:rsidR="00A540EC" w:rsidRPr="00141162" w:rsidRDefault="00A540EC" w:rsidP="001F7871">
            <w:pPr>
              <w:ind w:right="23"/>
              <w:jc w:val="center"/>
              <w:rPr>
                <w:b/>
                <w:bCs/>
                <w:szCs w:val="24"/>
              </w:rPr>
            </w:pPr>
            <w:r w:rsidRPr="00141162">
              <w:rPr>
                <w:b/>
                <w:bCs/>
                <w:szCs w:val="24"/>
              </w:rPr>
              <w:t>51</w:t>
            </w:r>
            <w:r w:rsidR="00937100">
              <w:rPr>
                <w:b/>
                <w:bCs/>
                <w:szCs w:val="24"/>
              </w:rPr>
              <w:t xml:space="preserve"> </w:t>
            </w:r>
            <w:r w:rsidRPr="00141162">
              <w:rPr>
                <w:b/>
                <w:bCs/>
                <w:szCs w:val="24"/>
              </w:rPr>
              <w:t>494</w:t>
            </w:r>
          </w:p>
        </w:tc>
        <w:tc>
          <w:tcPr>
            <w:tcW w:w="992" w:type="dxa"/>
          </w:tcPr>
          <w:p w:rsidR="00A540EC" w:rsidRPr="00141162" w:rsidRDefault="00A540EC" w:rsidP="001F7871">
            <w:pPr>
              <w:ind w:right="23"/>
              <w:jc w:val="center"/>
              <w:rPr>
                <w:b/>
                <w:bCs/>
                <w:szCs w:val="24"/>
              </w:rPr>
            </w:pPr>
            <w:r w:rsidRPr="00141162">
              <w:rPr>
                <w:b/>
                <w:bCs/>
                <w:szCs w:val="24"/>
              </w:rPr>
              <w:t>-11,1</w:t>
            </w:r>
          </w:p>
        </w:tc>
      </w:tr>
      <w:tr w:rsidR="00A540EC" w:rsidRPr="00141162" w:rsidTr="00937100">
        <w:tc>
          <w:tcPr>
            <w:tcW w:w="4345" w:type="dxa"/>
          </w:tcPr>
          <w:p w:rsidR="00A540EC" w:rsidRPr="00141162" w:rsidRDefault="00A540EC" w:rsidP="001F7871">
            <w:pPr>
              <w:ind w:left="306" w:right="23" w:hanging="306"/>
              <w:rPr>
                <w:b/>
                <w:bCs/>
                <w:szCs w:val="24"/>
              </w:rPr>
            </w:pPr>
            <w:r w:rsidRPr="00141162">
              <w:rPr>
                <w:b/>
                <w:bCs/>
                <w:szCs w:val="24"/>
              </w:rPr>
              <w:t>Tarp jų sunkių ir labai sunkių nusikaltimų</w:t>
            </w:r>
          </w:p>
        </w:tc>
        <w:tc>
          <w:tcPr>
            <w:tcW w:w="1321" w:type="dxa"/>
          </w:tcPr>
          <w:p w:rsidR="00A540EC" w:rsidRPr="00141162" w:rsidRDefault="00A540EC" w:rsidP="001F7871">
            <w:pPr>
              <w:ind w:right="23"/>
              <w:jc w:val="center"/>
              <w:rPr>
                <w:b/>
                <w:bCs/>
                <w:szCs w:val="24"/>
              </w:rPr>
            </w:pPr>
            <w:r w:rsidRPr="00141162">
              <w:rPr>
                <w:b/>
                <w:bCs/>
                <w:szCs w:val="24"/>
              </w:rPr>
              <w:t>2</w:t>
            </w:r>
            <w:r w:rsidR="00937100">
              <w:rPr>
                <w:b/>
                <w:bCs/>
                <w:szCs w:val="24"/>
              </w:rPr>
              <w:t xml:space="preserve"> </w:t>
            </w:r>
            <w:r w:rsidRPr="00141162">
              <w:rPr>
                <w:b/>
                <w:bCs/>
                <w:szCs w:val="24"/>
              </w:rPr>
              <w:t>846</w:t>
            </w:r>
          </w:p>
        </w:tc>
        <w:tc>
          <w:tcPr>
            <w:tcW w:w="1321" w:type="dxa"/>
          </w:tcPr>
          <w:p w:rsidR="00A540EC" w:rsidRPr="00141162" w:rsidRDefault="00A540EC" w:rsidP="001F7871">
            <w:pPr>
              <w:ind w:right="23"/>
              <w:jc w:val="center"/>
              <w:rPr>
                <w:b/>
                <w:bCs/>
                <w:szCs w:val="24"/>
              </w:rPr>
            </w:pPr>
            <w:r w:rsidRPr="00141162">
              <w:rPr>
                <w:b/>
                <w:bCs/>
                <w:szCs w:val="24"/>
              </w:rPr>
              <w:t>3</w:t>
            </w:r>
            <w:r w:rsidR="00937100">
              <w:rPr>
                <w:b/>
                <w:bCs/>
                <w:szCs w:val="24"/>
              </w:rPr>
              <w:t xml:space="preserve"> </w:t>
            </w:r>
            <w:r w:rsidRPr="00141162">
              <w:rPr>
                <w:b/>
                <w:bCs/>
                <w:szCs w:val="24"/>
              </w:rPr>
              <w:t>249</w:t>
            </w:r>
          </w:p>
        </w:tc>
        <w:tc>
          <w:tcPr>
            <w:tcW w:w="1321" w:type="dxa"/>
          </w:tcPr>
          <w:p w:rsidR="00A540EC" w:rsidRPr="00141162" w:rsidRDefault="00A540EC" w:rsidP="001F7871">
            <w:pPr>
              <w:ind w:right="23"/>
              <w:jc w:val="center"/>
              <w:rPr>
                <w:b/>
                <w:bCs/>
                <w:szCs w:val="24"/>
              </w:rPr>
            </w:pPr>
            <w:r w:rsidRPr="00141162">
              <w:rPr>
                <w:b/>
                <w:bCs/>
                <w:szCs w:val="24"/>
              </w:rPr>
              <w:t>2</w:t>
            </w:r>
            <w:r w:rsidR="00937100">
              <w:rPr>
                <w:b/>
                <w:bCs/>
                <w:szCs w:val="24"/>
              </w:rPr>
              <w:t xml:space="preserve"> </w:t>
            </w:r>
            <w:r w:rsidRPr="00141162">
              <w:rPr>
                <w:b/>
                <w:bCs/>
                <w:szCs w:val="24"/>
              </w:rPr>
              <w:t>752</w:t>
            </w:r>
          </w:p>
        </w:tc>
        <w:tc>
          <w:tcPr>
            <w:tcW w:w="992" w:type="dxa"/>
          </w:tcPr>
          <w:p w:rsidR="00A540EC" w:rsidRPr="00141162" w:rsidRDefault="00A540EC" w:rsidP="001F7871">
            <w:pPr>
              <w:ind w:right="23"/>
              <w:jc w:val="center"/>
              <w:rPr>
                <w:b/>
                <w:bCs/>
                <w:szCs w:val="24"/>
              </w:rPr>
            </w:pPr>
            <w:r w:rsidRPr="00141162">
              <w:rPr>
                <w:b/>
                <w:bCs/>
                <w:szCs w:val="24"/>
              </w:rPr>
              <w:t>-15,3</w:t>
            </w:r>
          </w:p>
        </w:tc>
      </w:tr>
      <w:tr w:rsidR="00A540EC" w:rsidRPr="00E321CD" w:rsidTr="00937100">
        <w:tc>
          <w:tcPr>
            <w:tcW w:w="4345" w:type="dxa"/>
          </w:tcPr>
          <w:p w:rsidR="00A540EC" w:rsidRPr="00E321CD" w:rsidRDefault="00A540EC" w:rsidP="001F7871">
            <w:pPr>
              <w:ind w:right="23"/>
              <w:rPr>
                <w:szCs w:val="24"/>
              </w:rPr>
            </w:pPr>
            <w:r>
              <w:rPr>
                <w:szCs w:val="24"/>
              </w:rPr>
              <w:t>N</w:t>
            </w:r>
            <w:r w:rsidRPr="00E321CD">
              <w:rPr>
                <w:szCs w:val="24"/>
              </w:rPr>
              <w:t>usikalstamų veikų ištyrimo rodiklis</w:t>
            </w:r>
            <w:r>
              <w:rPr>
                <w:szCs w:val="24"/>
              </w:rPr>
              <w:t>, proc.</w:t>
            </w:r>
          </w:p>
        </w:tc>
        <w:tc>
          <w:tcPr>
            <w:tcW w:w="1321" w:type="dxa"/>
          </w:tcPr>
          <w:p w:rsidR="00A540EC" w:rsidRPr="00E321CD" w:rsidRDefault="00A540EC" w:rsidP="001F7871">
            <w:pPr>
              <w:ind w:right="23"/>
              <w:jc w:val="center"/>
              <w:rPr>
                <w:szCs w:val="24"/>
              </w:rPr>
            </w:pPr>
            <w:r>
              <w:rPr>
                <w:szCs w:val="24"/>
              </w:rPr>
              <w:t>56,5</w:t>
            </w:r>
          </w:p>
        </w:tc>
        <w:tc>
          <w:tcPr>
            <w:tcW w:w="1321" w:type="dxa"/>
          </w:tcPr>
          <w:p w:rsidR="00A540EC" w:rsidRPr="00A540EC" w:rsidRDefault="00A540EC" w:rsidP="001F7871">
            <w:pPr>
              <w:ind w:right="23"/>
              <w:jc w:val="center"/>
              <w:rPr>
                <w:bCs/>
                <w:szCs w:val="24"/>
              </w:rPr>
            </w:pPr>
            <w:r w:rsidRPr="00A540EC">
              <w:rPr>
                <w:bCs/>
                <w:szCs w:val="24"/>
              </w:rPr>
              <w:t>62,9</w:t>
            </w:r>
          </w:p>
        </w:tc>
        <w:tc>
          <w:tcPr>
            <w:tcW w:w="1321" w:type="dxa"/>
          </w:tcPr>
          <w:p w:rsidR="00A540EC" w:rsidRPr="00A540EC" w:rsidRDefault="00A540EC" w:rsidP="001F7871">
            <w:pPr>
              <w:ind w:right="23"/>
              <w:jc w:val="center"/>
              <w:rPr>
                <w:szCs w:val="24"/>
              </w:rPr>
            </w:pPr>
            <w:r>
              <w:rPr>
                <w:szCs w:val="24"/>
              </w:rPr>
              <w:t>64,1</w:t>
            </w:r>
          </w:p>
        </w:tc>
        <w:tc>
          <w:tcPr>
            <w:tcW w:w="992" w:type="dxa"/>
          </w:tcPr>
          <w:p w:rsidR="00A540EC" w:rsidRPr="001F7871" w:rsidRDefault="00A540EC" w:rsidP="001F7871">
            <w:pPr>
              <w:ind w:right="23"/>
              <w:jc w:val="center"/>
              <w:rPr>
                <w:szCs w:val="24"/>
              </w:rPr>
            </w:pPr>
            <w:r w:rsidRPr="001F7871">
              <w:rPr>
                <w:szCs w:val="24"/>
              </w:rPr>
              <w:t>+1,2</w:t>
            </w:r>
          </w:p>
        </w:tc>
      </w:tr>
      <w:tr w:rsidR="00A540EC" w:rsidRPr="00E321CD" w:rsidTr="00937100">
        <w:tc>
          <w:tcPr>
            <w:tcW w:w="4345" w:type="dxa"/>
          </w:tcPr>
          <w:p w:rsidR="00A540EC" w:rsidRPr="00E321CD" w:rsidRDefault="00A540EC" w:rsidP="001F7871">
            <w:pPr>
              <w:ind w:right="23"/>
              <w:rPr>
                <w:szCs w:val="24"/>
              </w:rPr>
            </w:pPr>
            <w:r>
              <w:rPr>
                <w:szCs w:val="24"/>
              </w:rPr>
              <w:t>N</w:t>
            </w:r>
            <w:r w:rsidRPr="00E321CD">
              <w:rPr>
                <w:szCs w:val="24"/>
              </w:rPr>
              <w:t>usikalstamos veikos valstybės tarnybai ir viešiesiems interesams</w:t>
            </w:r>
          </w:p>
        </w:tc>
        <w:tc>
          <w:tcPr>
            <w:tcW w:w="1321" w:type="dxa"/>
          </w:tcPr>
          <w:p w:rsidR="00A540EC" w:rsidRPr="00E321CD" w:rsidRDefault="00A540EC" w:rsidP="001F7871">
            <w:pPr>
              <w:ind w:right="23"/>
              <w:jc w:val="center"/>
              <w:rPr>
                <w:szCs w:val="24"/>
              </w:rPr>
            </w:pPr>
            <w:r>
              <w:rPr>
                <w:szCs w:val="24"/>
              </w:rPr>
              <w:t>722</w:t>
            </w:r>
          </w:p>
        </w:tc>
        <w:tc>
          <w:tcPr>
            <w:tcW w:w="1321" w:type="dxa"/>
          </w:tcPr>
          <w:p w:rsidR="00A540EC" w:rsidRPr="00A540EC" w:rsidRDefault="00A540EC" w:rsidP="001F7871">
            <w:pPr>
              <w:ind w:right="23"/>
              <w:jc w:val="center"/>
              <w:rPr>
                <w:bCs/>
                <w:szCs w:val="24"/>
              </w:rPr>
            </w:pPr>
            <w:r w:rsidRPr="00A540EC">
              <w:rPr>
                <w:bCs/>
                <w:szCs w:val="24"/>
              </w:rPr>
              <w:t>533</w:t>
            </w:r>
          </w:p>
        </w:tc>
        <w:tc>
          <w:tcPr>
            <w:tcW w:w="1321" w:type="dxa"/>
          </w:tcPr>
          <w:p w:rsidR="00A540EC" w:rsidRPr="00A540EC" w:rsidRDefault="00A540EC" w:rsidP="001F7871">
            <w:pPr>
              <w:ind w:right="23"/>
              <w:jc w:val="center"/>
              <w:rPr>
                <w:szCs w:val="24"/>
              </w:rPr>
            </w:pPr>
            <w:r>
              <w:rPr>
                <w:szCs w:val="24"/>
              </w:rPr>
              <w:t>476</w:t>
            </w:r>
          </w:p>
        </w:tc>
        <w:tc>
          <w:tcPr>
            <w:tcW w:w="992" w:type="dxa"/>
          </w:tcPr>
          <w:p w:rsidR="00A540EC" w:rsidRPr="001F7871" w:rsidRDefault="00A540EC" w:rsidP="001F7871">
            <w:pPr>
              <w:ind w:right="23"/>
              <w:jc w:val="center"/>
              <w:rPr>
                <w:szCs w:val="24"/>
              </w:rPr>
            </w:pPr>
            <w:r w:rsidRPr="001F7871">
              <w:rPr>
                <w:szCs w:val="24"/>
              </w:rPr>
              <w:t>-11,0</w:t>
            </w:r>
          </w:p>
        </w:tc>
      </w:tr>
      <w:tr w:rsidR="00A540EC" w:rsidRPr="00E321CD" w:rsidTr="00937100">
        <w:tc>
          <w:tcPr>
            <w:tcW w:w="4345" w:type="dxa"/>
          </w:tcPr>
          <w:p w:rsidR="00A540EC" w:rsidRPr="00E321CD" w:rsidRDefault="00A540EC" w:rsidP="001F7871">
            <w:pPr>
              <w:ind w:right="23"/>
              <w:rPr>
                <w:szCs w:val="24"/>
              </w:rPr>
            </w:pPr>
            <w:r>
              <w:rPr>
                <w:szCs w:val="24"/>
              </w:rPr>
              <w:t>T</w:t>
            </w:r>
            <w:r w:rsidRPr="006A6F76">
              <w:rPr>
                <w:szCs w:val="24"/>
              </w:rPr>
              <w:t>yčiniai labai sunkūs, sunkūs, apysunkiai smurtiniai nusikaltimai ir seksualinės prievartos nusikalstamos veikos</w:t>
            </w:r>
            <w:r>
              <w:rPr>
                <w:szCs w:val="24"/>
              </w:rPr>
              <w:t xml:space="preserve"> prieš vaikus</w:t>
            </w:r>
          </w:p>
        </w:tc>
        <w:tc>
          <w:tcPr>
            <w:tcW w:w="1321" w:type="dxa"/>
          </w:tcPr>
          <w:p w:rsidR="00A540EC" w:rsidRPr="00E321CD" w:rsidRDefault="00A540EC" w:rsidP="001F7871">
            <w:pPr>
              <w:ind w:right="23"/>
              <w:jc w:val="center"/>
              <w:rPr>
                <w:szCs w:val="24"/>
              </w:rPr>
            </w:pPr>
            <w:r>
              <w:rPr>
                <w:szCs w:val="24"/>
              </w:rPr>
              <w:t>474</w:t>
            </w:r>
          </w:p>
        </w:tc>
        <w:tc>
          <w:tcPr>
            <w:tcW w:w="1321" w:type="dxa"/>
          </w:tcPr>
          <w:p w:rsidR="00A540EC" w:rsidRPr="00A540EC" w:rsidRDefault="00A540EC" w:rsidP="001F7871">
            <w:pPr>
              <w:ind w:right="23"/>
              <w:jc w:val="center"/>
              <w:rPr>
                <w:bCs/>
                <w:szCs w:val="24"/>
              </w:rPr>
            </w:pPr>
            <w:r w:rsidRPr="00A540EC">
              <w:rPr>
                <w:bCs/>
                <w:szCs w:val="24"/>
              </w:rPr>
              <w:t>489</w:t>
            </w:r>
          </w:p>
        </w:tc>
        <w:tc>
          <w:tcPr>
            <w:tcW w:w="1321" w:type="dxa"/>
          </w:tcPr>
          <w:p w:rsidR="00A540EC" w:rsidRPr="00A540EC" w:rsidRDefault="00A540EC" w:rsidP="001F7871">
            <w:pPr>
              <w:ind w:right="23"/>
              <w:jc w:val="center"/>
              <w:rPr>
                <w:szCs w:val="24"/>
              </w:rPr>
            </w:pPr>
            <w:r>
              <w:rPr>
                <w:szCs w:val="24"/>
              </w:rPr>
              <w:t>442</w:t>
            </w:r>
          </w:p>
        </w:tc>
        <w:tc>
          <w:tcPr>
            <w:tcW w:w="992" w:type="dxa"/>
          </w:tcPr>
          <w:p w:rsidR="00A540EC" w:rsidRPr="001F7871" w:rsidRDefault="001F7871" w:rsidP="001F7871">
            <w:pPr>
              <w:ind w:right="23"/>
              <w:jc w:val="center"/>
              <w:rPr>
                <w:szCs w:val="24"/>
              </w:rPr>
            </w:pPr>
            <w:r w:rsidRPr="001F7871">
              <w:rPr>
                <w:szCs w:val="24"/>
              </w:rPr>
              <w:t>-9,6</w:t>
            </w:r>
          </w:p>
        </w:tc>
      </w:tr>
      <w:tr w:rsidR="00A540EC" w:rsidRPr="00E321CD" w:rsidTr="00937100">
        <w:tc>
          <w:tcPr>
            <w:tcW w:w="4345" w:type="dxa"/>
          </w:tcPr>
          <w:p w:rsidR="00A540EC" w:rsidRPr="00E321CD" w:rsidRDefault="00A540EC" w:rsidP="001F7871">
            <w:pPr>
              <w:ind w:right="23"/>
              <w:rPr>
                <w:szCs w:val="24"/>
              </w:rPr>
            </w:pPr>
            <w:r>
              <w:rPr>
                <w:szCs w:val="24"/>
              </w:rPr>
              <w:t>Nuo jų nukentėjo vaikų</w:t>
            </w:r>
          </w:p>
        </w:tc>
        <w:tc>
          <w:tcPr>
            <w:tcW w:w="1321" w:type="dxa"/>
          </w:tcPr>
          <w:p w:rsidR="00A540EC" w:rsidRPr="00E321CD" w:rsidRDefault="00A540EC" w:rsidP="001F7871">
            <w:pPr>
              <w:ind w:right="23"/>
              <w:jc w:val="center"/>
              <w:rPr>
                <w:szCs w:val="24"/>
              </w:rPr>
            </w:pPr>
            <w:r>
              <w:rPr>
                <w:szCs w:val="24"/>
              </w:rPr>
              <w:t>436</w:t>
            </w:r>
          </w:p>
        </w:tc>
        <w:tc>
          <w:tcPr>
            <w:tcW w:w="1321" w:type="dxa"/>
          </w:tcPr>
          <w:p w:rsidR="00A540EC" w:rsidRPr="00A540EC" w:rsidRDefault="00A540EC" w:rsidP="001F7871">
            <w:pPr>
              <w:ind w:right="23"/>
              <w:jc w:val="center"/>
              <w:rPr>
                <w:bCs/>
                <w:szCs w:val="24"/>
              </w:rPr>
            </w:pPr>
            <w:r w:rsidRPr="00A540EC">
              <w:rPr>
                <w:bCs/>
                <w:szCs w:val="24"/>
              </w:rPr>
              <w:t>374</w:t>
            </w:r>
          </w:p>
        </w:tc>
        <w:tc>
          <w:tcPr>
            <w:tcW w:w="1321" w:type="dxa"/>
          </w:tcPr>
          <w:p w:rsidR="00A540EC" w:rsidRPr="00A540EC" w:rsidRDefault="00A540EC" w:rsidP="001F7871">
            <w:pPr>
              <w:ind w:right="23"/>
              <w:jc w:val="center"/>
              <w:rPr>
                <w:szCs w:val="24"/>
              </w:rPr>
            </w:pPr>
            <w:r>
              <w:rPr>
                <w:szCs w:val="24"/>
              </w:rPr>
              <w:t>347</w:t>
            </w:r>
          </w:p>
        </w:tc>
        <w:tc>
          <w:tcPr>
            <w:tcW w:w="992" w:type="dxa"/>
          </w:tcPr>
          <w:p w:rsidR="00A540EC" w:rsidRPr="001F7871" w:rsidRDefault="001F7871" w:rsidP="001F7871">
            <w:pPr>
              <w:ind w:right="23"/>
              <w:jc w:val="center"/>
              <w:rPr>
                <w:szCs w:val="24"/>
              </w:rPr>
            </w:pPr>
            <w:r w:rsidRPr="001F7871">
              <w:rPr>
                <w:szCs w:val="24"/>
              </w:rPr>
              <w:t>-7,2</w:t>
            </w:r>
          </w:p>
        </w:tc>
      </w:tr>
      <w:tr w:rsidR="00A540EC" w:rsidRPr="00E321CD" w:rsidTr="00937100">
        <w:tc>
          <w:tcPr>
            <w:tcW w:w="4345" w:type="dxa"/>
          </w:tcPr>
          <w:p w:rsidR="00A540EC" w:rsidRPr="00E321CD" w:rsidRDefault="00A540EC" w:rsidP="001F7871">
            <w:pPr>
              <w:ind w:right="23"/>
              <w:rPr>
                <w:szCs w:val="24"/>
              </w:rPr>
            </w:pPr>
            <w:r>
              <w:rPr>
                <w:szCs w:val="24"/>
              </w:rPr>
              <w:t>S</w:t>
            </w:r>
            <w:r w:rsidRPr="00E321CD">
              <w:rPr>
                <w:szCs w:val="24"/>
              </w:rPr>
              <w:t>u kontrabanda susijusios nusikalstamos veikos</w:t>
            </w:r>
          </w:p>
        </w:tc>
        <w:tc>
          <w:tcPr>
            <w:tcW w:w="1321" w:type="dxa"/>
          </w:tcPr>
          <w:p w:rsidR="00A540EC" w:rsidRPr="00E321CD" w:rsidRDefault="00A540EC" w:rsidP="001F7871">
            <w:pPr>
              <w:ind w:right="23"/>
              <w:jc w:val="center"/>
              <w:rPr>
                <w:szCs w:val="24"/>
              </w:rPr>
            </w:pPr>
            <w:r>
              <w:rPr>
                <w:szCs w:val="24"/>
              </w:rPr>
              <w:t>270</w:t>
            </w:r>
          </w:p>
        </w:tc>
        <w:tc>
          <w:tcPr>
            <w:tcW w:w="1321" w:type="dxa"/>
          </w:tcPr>
          <w:p w:rsidR="00A540EC" w:rsidRPr="00A540EC" w:rsidRDefault="00A540EC" w:rsidP="001F7871">
            <w:pPr>
              <w:ind w:right="23"/>
              <w:jc w:val="center"/>
              <w:rPr>
                <w:bCs/>
                <w:szCs w:val="24"/>
              </w:rPr>
            </w:pPr>
            <w:r w:rsidRPr="00A540EC">
              <w:rPr>
                <w:bCs/>
                <w:szCs w:val="24"/>
              </w:rPr>
              <w:t>239</w:t>
            </w:r>
          </w:p>
        </w:tc>
        <w:tc>
          <w:tcPr>
            <w:tcW w:w="1321" w:type="dxa"/>
          </w:tcPr>
          <w:p w:rsidR="00A540EC" w:rsidRPr="00A540EC" w:rsidRDefault="00A540EC" w:rsidP="001F7871">
            <w:pPr>
              <w:ind w:right="23"/>
              <w:jc w:val="center"/>
              <w:rPr>
                <w:szCs w:val="24"/>
              </w:rPr>
            </w:pPr>
            <w:r>
              <w:rPr>
                <w:szCs w:val="24"/>
              </w:rPr>
              <w:t>399*</w:t>
            </w:r>
          </w:p>
        </w:tc>
        <w:tc>
          <w:tcPr>
            <w:tcW w:w="992" w:type="dxa"/>
          </w:tcPr>
          <w:p w:rsidR="00A540EC" w:rsidRPr="001F7871" w:rsidRDefault="001F7871" w:rsidP="001F7871">
            <w:pPr>
              <w:ind w:right="23"/>
              <w:jc w:val="center"/>
              <w:rPr>
                <w:szCs w:val="24"/>
              </w:rPr>
            </w:pPr>
            <w:r>
              <w:rPr>
                <w:szCs w:val="24"/>
              </w:rPr>
              <w:t>+66,9</w:t>
            </w:r>
          </w:p>
        </w:tc>
      </w:tr>
      <w:tr w:rsidR="00A540EC" w:rsidRPr="00E321CD" w:rsidTr="00937100">
        <w:tc>
          <w:tcPr>
            <w:tcW w:w="4345" w:type="dxa"/>
          </w:tcPr>
          <w:p w:rsidR="00A540EC" w:rsidRDefault="00A540EC" w:rsidP="001F7871">
            <w:pPr>
              <w:ind w:right="23"/>
              <w:rPr>
                <w:szCs w:val="24"/>
              </w:rPr>
            </w:pPr>
            <w:r>
              <w:rPr>
                <w:szCs w:val="24"/>
              </w:rPr>
              <w:t>N</w:t>
            </w:r>
            <w:r w:rsidRPr="00E321CD">
              <w:rPr>
                <w:szCs w:val="24"/>
              </w:rPr>
              <w:t>usikalstamos veikos elektroninių duomenų ir informacinių sistemų saugumui</w:t>
            </w:r>
          </w:p>
        </w:tc>
        <w:tc>
          <w:tcPr>
            <w:tcW w:w="1321" w:type="dxa"/>
          </w:tcPr>
          <w:p w:rsidR="00A540EC" w:rsidRDefault="00A540EC" w:rsidP="001F7871">
            <w:pPr>
              <w:ind w:right="23"/>
              <w:jc w:val="center"/>
              <w:rPr>
                <w:szCs w:val="24"/>
              </w:rPr>
            </w:pPr>
            <w:r>
              <w:rPr>
                <w:szCs w:val="24"/>
              </w:rPr>
              <w:t>884</w:t>
            </w:r>
          </w:p>
        </w:tc>
        <w:tc>
          <w:tcPr>
            <w:tcW w:w="1321" w:type="dxa"/>
          </w:tcPr>
          <w:p w:rsidR="00A540EC" w:rsidRPr="00A540EC" w:rsidRDefault="00A540EC" w:rsidP="001F7871">
            <w:pPr>
              <w:ind w:right="23"/>
              <w:jc w:val="center"/>
              <w:rPr>
                <w:bCs/>
                <w:szCs w:val="24"/>
              </w:rPr>
            </w:pPr>
            <w:r w:rsidRPr="00A540EC">
              <w:rPr>
                <w:bCs/>
                <w:szCs w:val="24"/>
              </w:rPr>
              <w:t>636</w:t>
            </w:r>
          </w:p>
        </w:tc>
        <w:tc>
          <w:tcPr>
            <w:tcW w:w="1321" w:type="dxa"/>
          </w:tcPr>
          <w:p w:rsidR="00A540EC" w:rsidRPr="00A540EC" w:rsidRDefault="001F7871" w:rsidP="001F7871">
            <w:pPr>
              <w:ind w:right="23"/>
              <w:jc w:val="center"/>
              <w:rPr>
                <w:szCs w:val="24"/>
              </w:rPr>
            </w:pPr>
            <w:r>
              <w:rPr>
                <w:szCs w:val="24"/>
              </w:rPr>
              <w:t>442</w:t>
            </w:r>
          </w:p>
        </w:tc>
        <w:tc>
          <w:tcPr>
            <w:tcW w:w="992" w:type="dxa"/>
          </w:tcPr>
          <w:p w:rsidR="00A540EC" w:rsidRPr="001F7871" w:rsidRDefault="001F7871" w:rsidP="001F7871">
            <w:pPr>
              <w:ind w:right="23"/>
              <w:jc w:val="center"/>
              <w:rPr>
                <w:szCs w:val="24"/>
              </w:rPr>
            </w:pPr>
            <w:r w:rsidRPr="001F7871">
              <w:rPr>
                <w:szCs w:val="24"/>
              </w:rPr>
              <w:t>-31,0</w:t>
            </w:r>
          </w:p>
        </w:tc>
      </w:tr>
      <w:tr w:rsidR="00A540EC" w:rsidRPr="00E321CD" w:rsidTr="00937100">
        <w:tc>
          <w:tcPr>
            <w:tcW w:w="4345" w:type="dxa"/>
          </w:tcPr>
          <w:p w:rsidR="00A540EC" w:rsidRDefault="00A540EC" w:rsidP="001F7871">
            <w:pPr>
              <w:ind w:right="23"/>
              <w:rPr>
                <w:szCs w:val="24"/>
              </w:rPr>
            </w:pPr>
            <w:r>
              <w:rPr>
                <w:szCs w:val="24"/>
              </w:rPr>
              <w:t>P</w:t>
            </w:r>
            <w:r w:rsidRPr="006A6F76">
              <w:rPr>
                <w:szCs w:val="24"/>
              </w:rPr>
              <w:t xml:space="preserve">rokurorų </w:t>
            </w:r>
            <w:r>
              <w:rPr>
                <w:szCs w:val="24"/>
              </w:rPr>
              <w:t xml:space="preserve">pateikti </w:t>
            </w:r>
            <w:r w:rsidRPr="006A6F76">
              <w:rPr>
                <w:szCs w:val="24"/>
              </w:rPr>
              <w:t>ieškini</w:t>
            </w:r>
            <w:r>
              <w:rPr>
                <w:szCs w:val="24"/>
              </w:rPr>
              <w:t>ai</w:t>
            </w:r>
            <w:r w:rsidRPr="006A6F76">
              <w:rPr>
                <w:szCs w:val="24"/>
              </w:rPr>
              <w:t>, pareiškim</w:t>
            </w:r>
            <w:r>
              <w:rPr>
                <w:szCs w:val="24"/>
              </w:rPr>
              <w:t>ai</w:t>
            </w:r>
            <w:r w:rsidRPr="006A6F76">
              <w:rPr>
                <w:szCs w:val="24"/>
              </w:rPr>
              <w:t>, prašym</w:t>
            </w:r>
            <w:r>
              <w:rPr>
                <w:szCs w:val="24"/>
              </w:rPr>
              <w:t>ai</w:t>
            </w:r>
            <w:r w:rsidRPr="006A6F76">
              <w:rPr>
                <w:szCs w:val="24"/>
              </w:rPr>
              <w:t xml:space="preserve"> ginant viešąjį interesą</w:t>
            </w:r>
          </w:p>
        </w:tc>
        <w:tc>
          <w:tcPr>
            <w:tcW w:w="1321" w:type="dxa"/>
          </w:tcPr>
          <w:p w:rsidR="00A540EC" w:rsidRDefault="00A540EC" w:rsidP="001F7871">
            <w:pPr>
              <w:ind w:right="23"/>
              <w:jc w:val="center"/>
              <w:rPr>
                <w:szCs w:val="24"/>
              </w:rPr>
            </w:pPr>
            <w:r>
              <w:rPr>
                <w:szCs w:val="24"/>
              </w:rPr>
              <w:t>289</w:t>
            </w:r>
          </w:p>
        </w:tc>
        <w:tc>
          <w:tcPr>
            <w:tcW w:w="1321" w:type="dxa"/>
          </w:tcPr>
          <w:p w:rsidR="00A540EC" w:rsidRPr="00A540EC" w:rsidRDefault="00A540EC" w:rsidP="001F7871">
            <w:pPr>
              <w:ind w:right="23"/>
              <w:jc w:val="center"/>
              <w:rPr>
                <w:bCs/>
                <w:szCs w:val="24"/>
              </w:rPr>
            </w:pPr>
            <w:r w:rsidRPr="00A540EC">
              <w:rPr>
                <w:bCs/>
                <w:szCs w:val="24"/>
              </w:rPr>
              <w:t>315</w:t>
            </w:r>
          </w:p>
        </w:tc>
        <w:tc>
          <w:tcPr>
            <w:tcW w:w="1321" w:type="dxa"/>
          </w:tcPr>
          <w:p w:rsidR="00A540EC" w:rsidRPr="00A540EC" w:rsidRDefault="001F7871" w:rsidP="001F7871">
            <w:pPr>
              <w:ind w:right="23"/>
              <w:jc w:val="center"/>
              <w:rPr>
                <w:szCs w:val="24"/>
              </w:rPr>
            </w:pPr>
            <w:r>
              <w:rPr>
                <w:szCs w:val="24"/>
              </w:rPr>
              <w:t>305</w:t>
            </w:r>
          </w:p>
        </w:tc>
        <w:tc>
          <w:tcPr>
            <w:tcW w:w="992" w:type="dxa"/>
          </w:tcPr>
          <w:p w:rsidR="00A540EC" w:rsidRPr="001F7871" w:rsidRDefault="001F7871" w:rsidP="001F7871">
            <w:pPr>
              <w:ind w:right="23"/>
              <w:jc w:val="center"/>
              <w:rPr>
                <w:szCs w:val="24"/>
              </w:rPr>
            </w:pPr>
            <w:r>
              <w:rPr>
                <w:szCs w:val="24"/>
              </w:rPr>
              <w:t>-3,2</w:t>
            </w:r>
          </w:p>
        </w:tc>
      </w:tr>
      <w:tr w:rsidR="00A540EC" w:rsidRPr="00E321CD" w:rsidTr="00937100">
        <w:tc>
          <w:tcPr>
            <w:tcW w:w="4345" w:type="dxa"/>
          </w:tcPr>
          <w:p w:rsidR="00A540EC" w:rsidRDefault="00A540EC" w:rsidP="001F7871">
            <w:pPr>
              <w:ind w:right="23"/>
              <w:rPr>
                <w:szCs w:val="24"/>
              </w:rPr>
            </w:pPr>
            <w:r>
              <w:rPr>
                <w:szCs w:val="24"/>
              </w:rPr>
              <w:t>Prokuratūroje dirbantys asmenys</w:t>
            </w:r>
          </w:p>
        </w:tc>
        <w:tc>
          <w:tcPr>
            <w:tcW w:w="1321" w:type="dxa"/>
          </w:tcPr>
          <w:p w:rsidR="00A540EC" w:rsidRDefault="00A540EC" w:rsidP="001F7871">
            <w:pPr>
              <w:ind w:right="23"/>
              <w:jc w:val="center"/>
              <w:rPr>
                <w:szCs w:val="24"/>
              </w:rPr>
            </w:pPr>
            <w:r>
              <w:rPr>
                <w:szCs w:val="24"/>
              </w:rPr>
              <w:t>1</w:t>
            </w:r>
            <w:r w:rsidR="00937100">
              <w:rPr>
                <w:szCs w:val="24"/>
              </w:rPr>
              <w:t xml:space="preserve"> </w:t>
            </w:r>
            <w:r>
              <w:rPr>
                <w:szCs w:val="24"/>
              </w:rPr>
              <w:t>228</w:t>
            </w:r>
          </w:p>
        </w:tc>
        <w:tc>
          <w:tcPr>
            <w:tcW w:w="1321" w:type="dxa"/>
          </w:tcPr>
          <w:p w:rsidR="00A540EC" w:rsidRPr="00A540EC" w:rsidRDefault="00A540EC" w:rsidP="001F7871">
            <w:pPr>
              <w:ind w:right="23"/>
              <w:jc w:val="center"/>
              <w:rPr>
                <w:bCs/>
                <w:szCs w:val="24"/>
              </w:rPr>
            </w:pPr>
            <w:r w:rsidRPr="00A540EC">
              <w:rPr>
                <w:bCs/>
                <w:szCs w:val="24"/>
              </w:rPr>
              <w:t>1</w:t>
            </w:r>
            <w:r w:rsidR="00937100">
              <w:rPr>
                <w:bCs/>
                <w:szCs w:val="24"/>
              </w:rPr>
              <w:t xml:space="preserve"> </w:t>
            </w:r>
            <w:r w:rsidRPr="00A540EC">
              <w:rPr>
                <w:bCs/>
                <w:szCs w:val="24"/>
              </w:rPr>
              <w:t>194</w:t>
            </w:r>
          </w:p>
        </w:tc>
        <w:tc>
          <w:tcPr>
            <w:tcW w:w="1321" w:type="dxa"/>
          </w:tcPr>
          <w:p w:rsidR="00A540EC" w:rsidRPr="00A540EC" w:rsidRDefault="001F7871" w:rsidP="001F7871">
            <w:pPr>
              <w:ind w:right="23"/>
              <w:jc w:val="center"/>
              <w:rPr>
                <w:szCs w:val="24"/>
              </w:rPr>
            </w:pPr>
            <w:r>
              <w:rPr>
                <w:szCs w:val="24"/>
              </w:rPr>
              <w:t>1</w:t>
            </w:r>
            <w:r w:rsidR="00937100">
              <w:rPr>
                <w:szCs w:val="24"/>
              </w:rPr>
              <w:t xml:space="preserve"> </w:t>
            </w:r>
            <w:r>
              <w:rPr>
                <w:szCs w:val="24"/>
              </w:rPr>
              <w:t>187</w:t>
            </w:r>
          </w:p>
        </w:tc>
        <w:tc>
          <w:tcPr>
            <w:tcW w:w="992" w:type="dxa"/>
          </w:tcPr>
          <w:p w:rsidR="00A540EC" w:rsidRPr="001F7871" w:rsidRDefault="001F7871" w:rsidP="001F7871">
            <w:pPr>
              <w:ind w:right="23"/>
              <w:jc w:val="center"/>
              <w:rPr>
                <w:szCs w:val="24"/>
              </w:rPr>
            </w:pPr>
            <w:r>
              <w:rPr>
                <w:szCs w:val="24"/>
              </w:rPr>
              <w:t>-0,6</w:t>
            </w:r>
          </w:p>
        </w:tc>
      </w:tr>
      <w:tr w:rsidR="00A540EC" w:rsidRPr="00E321CD" w:rsidTr="00937100">
        <w:tc>
          <w:tcPr>
            <w:tcW w:w="4345" w:type="dxa"/>
          </w:tcPr>
          <w:p w:rsidR="00A540EC" w:rsidRDefault="00A540EC" w:rsidP="001F7871">
            <w:pPr>
              <w:ind w:right="23"/>
              <w:rPr>
                <w:szCs w:val="24"/>
              </w:rPr>
            </w:pPr>
            <w:r>
              <w:rPr>
                <w:szCs w:val="24"/>
              </w:rPr>
              <w:t>Iš jų prokurorai</w:t>
            </w:r>
          </w:p>
        </w:tc>
        <w:tc>
          <w:tcPr>
            <w:tcW w:w="1321" w:type="dxa"/>
          </w:tcPr>
          <w:p w:rsidR="00A540EC" w:rsidRDefault="00A540EC" w:rsidP="001F7871">
            <w:pPr>
              <w:ind w:right="23"/>
              <w:jc w:val="center"/>
              <w:rPr>
                <w:szCs w:val="24"/>
              </w:rPr>
            </w:pPr>
            <w:r>
              <w:rPr>
                <w:szCs w:val="24"/>
              </w:rPr>
              <w:t>672</w:t>
            </w:r>
          </w:p>
        </w:tc>
        <w:tc>
          <w:tcPr>
            <w:tcW w:w="1321" w:type="dxa"/>
          </w:tcPr>
          <w:p w:rsidR="00A540EC" w:rsidRPr="00A540EC" w:rsidRDefault="00A540EC" w:rsidP="001F7871">
            <w:pPr>
              <w:ind w:right="23"/>
              <w:jc w:val="center"/>
              <w:rPr>
                <w:bCs/>
                <w:szCs w:val="24"/>
              </w:rPr>
            </w:pPr>
            <w:r w:rsidRPr="00A540EC">
              <w:rPr>
                <w:bCs/>
                <w:szCs w:val="24"/>
              </w:rPr>
              <w:t>666</w:t>
            </w:r>
          </w:p>
        </w:tc>
        <w:tc>
          <w:tcPr>
            <w:tcW w:w="1321" w:type="dxa"/>
          </w:tcPr>
          <w:p w:rsidR="00A540EC" w:rsidRPr="00A540EC" w:rsidRDefault="001F7871" w:rsidP="001F7871">
            <w:pPr>
              <w:ind w:right="23"/>
              <w:jc w:val="center"/>
              <w:rPr>
                <w:szCs w:val="24"/>
              </w:rPr>
            </w:pPr>
            <w:r>
              <w:rPr>
                <w:szCs w:val="24"/>
              </w:rPr>
              <w:t>659</w:t>
            </w:r>
          </w:p>
        </w:tc>
        <w:tc>
          <w:tcPr>
            <w:tcW w:w="992" w:type="dxa"/>
          </w:tcPr>
          <w:p w:rsidR="00A540EC" w:rsidRPr="001F7871" w:rsidRDefault="001F7871" w:rsidP="001F7871">
            <w:pPr>
              <w:ind w:right="23"/>
              <w:jc w:val="center"/>
              <w:rPr>
                <w:szCs w:val="24"/>
              </w:rPr>
            </w:pPr>
            <w:r>
              <w:rPr>
                <w:szCs w:val="24"/>
              </w:rPr>
              <w:t>-1,1</w:t>
            </w:r>
          </w:p>
        </w:tc>
      </w:tr>
      <w:tr w:rsidR="00011795" w:rsidRPr="00E321CD" w:rsidTr="00937100">
        <w:tc>
          <w:tcPr>
            <w:tcW w:w="4345" w:type="dxa"/>
          </w:tcPr>
          <w:p w:rsidR="00011795" w:rsidRDefault="00011795" w:rsidP="001F7871">
            <w:pPr>
              <w:ind w:right="23"/>
              <w:rPr>
                <w:szCs w:val="24"/>
              </w:rPr>
            </w:pPr>
            <w:r>
              <w:rPr>
                <w:szCs w:val="24"/>
              </w:rPr>
              <w:t>Prokuratūrai skirti asignavimai (eur)</w:t>
            </w:r>
          </w:p>
        </w:tc>
        <w:tc>
          <w:tcPr>
            <w:tcW w:w="1321" w:type="dxa"/>
          </w:tcPr>
          <w:p w:rsidR="00011795" w:rsidRDefault="00011795" w:rsidP="001F7871">
            <w:pPr>
              <w:ind w:right="23"/>
              <w:jc w:val="center"/>
              <w:rPr>
                <w:szCs w:val="24"/>
              </w:rPr>
            </w:pPr>
            <w:r>
              <w:rPr>
                <w:szCs w:val="24"/>
              </w:rPr>
              <w:t>31</w:t>
            </w:r>
            <w:r w:rsidR="00937100">
              <w:rPr>
                <w:szCs w:val="24"/>
              </w:rPr>
              <w:t xml:space="preserve"> </w:t>
            </w:r>
            <w:r>
              <w:rPr>
                <w:szCs w:val="24"/>
              </w:rPr>
              <w:t>042</w:t>
            </w:r>
            <w:r w:rsidR="00937100">
              <w:rPr>
                <w:szCs w:val="24"/>
              </w:rPr>
              <w:t xml:space="preserve"> </w:t>
            </w:r>
            <w:r>
              <w:rPr>
                <w:szCs w:val="24"/>
              </w:rPr>
              <w:t>246</w:t>
            </w:r>
          </w:p>
        </w:tc>
        <w:tc>
          <w:tcPr>
            <w:tcW w:w="1321" w:type="dxa"/>
          </w:tcPr>
          <w:p w:rsidR="00011795" w:rsidRPr="00A540EC" w:rsidRDefault="00011795" w:rsidP="001F7871">
            <w:pPr>
              <w:ind w:right="23"/>
              <w:jc w:val="center"/>
              <w:rPr>
                <w:bCs/>
                <w:szCs w:val="24"/>
              </w:rPr>
            </w:pPr>
            <w:r>
              <w:rPr>
                <w:bCs/>
                <w:szCs w:val="24"/>
              </w:rPr>
              <w:t>31</w:t>
            </w:r>
            <w:r w:rsidR="00937100">
              <w:rPr>
                <w:bCs/>
                <w:szCs w:val="24"/>
              </w:rPr>
              <w:t> </w:t>
            </w:r>
            <w:r>
              <w:rPr>
                <w:bCs/>
                <w:szCs w:val="24"/>
              </w:rPr>
              <w:t>620</w:t>
            </w:r>
            <w:r w:rsidR="00937100">
              <w:rPr>
                <w:bCs/>
                <w:szCs w:val="24"/>
              </w:rPr>
              <w:t xml:space="preserve"> </w:t>
            </w:r>
            <w:r>
              <w:rPr>
                <w:bCs/>
                <w:szCs w:val="24"/>
              </w:rPr>
              <w:t>164</w:t>
            </w:r>
          </w:p>
        </w:tc>
        <w:tc>
          <w:tcPr>
            <w:tcW w:w="1321" w:type="dxa"/>
          </w:tcPr>
          <w:p w:rsidR="00011795" w:rsidRDefault="00011795" w:rsidP="001F7871">
            <w:pPr>
              <w:ind w:right="23"/>
              <w:jc w:val="center"/>
              <w:rPr>
                <w:szCs w:val="24"/>
              </w:rPr>
            </w:pPr>
            <w:r>
              <w:rPr>
                <w:szCs w:val="24"/>
              </w:rPr>
              <w:t>35</w:t>
            </w:r>
            <w:r w:rsidR="00937100">
              <w:rPr>
                <w:szCs w:val="24"/>
              </w:rPr>
              <w:t> </w:t>
            </w:r>
            <w:r>
              <w:rPr>
                <w:szCs w:val="24"/>
              </w:rPr>
              <w:t>043</w:t>
            </w:r>
            <w:r w:rsidR="00937100">
              <w:rPr>
                <w:szCs w:val="24"/>
              </w:rPr>
              <w:t xml:space="preserve"> </w:t>
            </w:r>
            <w:r>
              <w:rPr>
                <w:szCs w:val="24"/>
              </w:rPr>
              <w:t>780</w:t>
            </w:r>
          </w:p>
        </w:tc>
        <w:tc>
          <w:tcPr>
            <w:tcW w:w="992" w:type="dxa"/>
          </w:tcPr>
          <w:p w:rsidR="00011795" w:rsidRDefault="00011795" w:rsidP="001F7871">
            <w:pPr>
              <w:ind w:right="23"/>
              <w:jc w:val="center"/>
              <w:rPr>
                <w:szCs w:val="24"/>
              </w:rPr>
            </w:pPr>
            <w:r>
              <w:rPr>
                <w:szCs w:val="24"/>
              </w:rPr>
              <w:t>+10,8</w:t>
            </w:r>
          </w:p>
        </w:tc>
      </w:tr>
    </w:tbl>
    <w:p w:rsidR="00125601" w:rsidRDefault="00A540EC" w:rsidP="001F7871">
      <w:pPr>
        <w:shd w:val="clear" w:color="auto" w:fill="FFFFFF"/>
        <w:ind w:right="23" w:firstLine="709"/>
        <w:rPr>
          <w:sz w:val="18"/>
          <w:szCs w:val="18"/>
        </w:rPr>
      </w:pPr>
      <w:r w:rsidRPr="001F7871">
        <w:rPr>
          <w:sz w:val="18"/>
          <w:szCs w:val="18"/>
        </w:rPr>
        <w:t xml:space="preserve">* </w:t>
      </w:r>
      <w:r w:rsidR="00141162">
        <w:rPr>
          <w:sz w:val="18"/>
          <w:szCs w:val="18"/>
        </w:rPr>
        <w:t xml:space="preserve">veikų </w:t>
      </w:r>
      <w:r w:rsidR="008C6DE0">
        <w:rPr>
          <w:sz w:val="18"/>
          <w:szCs w:val="18"/>
        </w:rPr>
        <w:t xml:space="preserve">skaičius žymiai išaugo dėl </w:t>
      </w:r>
      <w:r w:rsidRPr="001F7871">
        <w:rPr>
          <w:sz w:val="18"/>
          <w:szCs w:val="18"/>
        </w:rPr>
        <w:t>2019 m. sausio 1 d. įsigalioj</w:t>
      </w:r>
      <w:r w:rsidR="008C6DE0">
        <w:rPr>
          <w:sz w:val="18"/>
          <w:szCs w:val="18"/>
        </w:rPr>
        <w:t>usių</w:t>
      </w:r>
      <w:r w:rsidRPr="001F7871">
        <w:rPr>
          <w:sz w:val="18"/>
          <w:szCs w:val="18"/>
        </w:rPr>
        <w:t xml:space="preserve"> BK pakeitim</w:t>
      </w:r>
      <w:r w:rsidR="008C6DE0">
        <w:rPr>
          <w:sz w:val="18"/>
          <w:szCs w:val="18"/>
        </w:rPr>
        <w:t>ų</w:t>
      </w:r>
      <w:r w:rsidRPr="001F7871">
        <w:rPr>
          <w:sz w:val="18"/>
          <w:szCs w:val="18"/>
        </w:rPr>
        <w:t xml:space="preserve"> (įstatymas Nr. XIII-1836)</w:t>
      </w:r>
      <w:r w:rsidR="008C6DE0">
        <w:rPr>
          <w:sz w:val="18"/>
          <w:szCs w:val="18"/>
        </w:rPr>
        <w:t>, kurie</w:t>
      </w:r>
      <w:r w:rsidRPr="001F7871">
        <w:rPr>
          <w:sz w:val="18"/>
          <w:szCs w:val="18"/>
        </w:rPr>
        <w:t xml:space="preserve"> išplėtė kont</w:t>
      </w:r>
      <w:r w:rsidR="001F7871" w:rsidRPr="001F7871">
        <w:rPr>
          <w:sz w:val="18"/>
          <w:szCs w:val="18"/>
        </w:rPr>
        <w:t>r</w:t>
      </w:r>
      <w:r w:rsidRPr="001F7871">
        <w:rPr>
          <w:sz w:val="18"/>
          <w:szCs w:val="18"/>
        </w:rPr>
        <w:t>abandinio pobūdžio veikų, už kurias įstatymas numato baudžiamąją atsakomybę, sąrašą.</w:t>
      </w:r>
    </w:p>
    <w:p w:rsidR="00011795" w:rsidRDefault="00011795" w:rsidP="00011795">
      <w:pPr>
        <w:shd w:val="clear" w:color="auto" w:fill="FFFFFF"/>
        <w:ind w:right="23" w:firstLine="709"/>
        <w:rPr>
          <w:szCs w:val="24"/>
        </w:rPr>
      </w:pPr>
    </w:p>
    <w:p w:rsidR="00011795" w:rsidRDefault="00011795" w:rsidP="00011795">
      <w:pPr>
        <w:shd w:val="clear" w:color="auto" w:fill="FFFFFF"/>
        <w:ind w:right="23" w:firstLine="709"/>
        <w:rPr>
          <w:szCs w:val="24"/>
        </w:rPr>
      </w:pPr>
      <w:r w:rsidRPr="008C6DE0">
        <w:rPr>
          <w:szCs w:val="24"/>
        </w:rPr>
        <w:t xml:space="preserve">2019 m. dalyvaujant prokurorui pirmosios instancijos teisme 10 072 baudžiamosios bylos (2018 m. ‒ 10 904), arba 55 proc. visų pirmosios instancijos teisme išnagrinėtų baudžiamųjų bylų (18 175) </w:t>
      </w:r>
      <w:r>
        <w:rPr>
          <w:szCs w:val="24"/>
        </w:rPr>
        <w:t xml:space="preserve"> - likę </w:t>
      </w:r>
      <w:r w:rsidRPr="008C6DE0">
        <w:rPr>
          <w:szCs w:val="24"/>
        </w:rPr>
        <w:t>45 proc. bylų išnagrinėta priimant baudžiamąjį įsakymą, t. y. prokurorui nedalyvaujant.</w:t>
      </w:r>
      <w:r>
        <w:rPr>
          <w:szCs w:val="24"/>
        </w:rPr>
        <w:t xml:space="preserve"> </w:t>
      </w:r>
    </w:p>
    <w:p w:rsidR="00011795" w:rsidRPr="00011795" w:rsidRDefault="00011795" w:rsidP="00011795">
      <w:pPr>
        <w:shd w:val="clear" w:color="auto" w:fill="FFFFFF"/>
        <w:ind w:right="23" w:firstLine="709"/>
        <w:rPr>
          <w:szCs w:val="24"/>
          <w:u w:val="single"/>
        </w:rPr>
      </w:pPr>
      <w:r w:rsidRPr="00011795">
        <w:rPr>
          <w:szCs w:val="24"/>
          <w:u w:val="single"/>
        </w:rPr>
        <w:lastRenderedPageBreak/>
        <w:t>Iš 2019 m. teisiamų 19 668 asmenų pirmosios instancijos teismai</w:t>
      </w:r>
      <w:r w:rsidRPr="00937100">
        <w:rPr>
          <w:szCs w:val="24"/>
        </w:rPr>
        <w:t xml:space="preserve"> išteisino 338 (1,7 proc.), o </w:t>
      </w:r>
      <w:r w:rsidRPr="00011795">
        <w:rPr>
          <w:szCs w:val="24"/>
          <w:u w:val="single"/>
        </w:rPr>
        <w:t>nuteisė 17 594 (89 proc</w:t>
      </w:r>
      <w:r w:rsidR="00141162">
        <w:rPr>
          <w:szCs w:val="24"/>
          <w:u w:val="single"/>
        </w:rPr>
        <w:t>.</w:t>
      </w:r>
      <w:r w:rsidRPr="00011795">
        <w:rPr>
          <w:szCs w:val="24"/>
          <w:u w:val="single"/>
        </w:rPr>
        <w:t>) asmenų.</w:t>
      </w:r>
    </w:p>
    <w:p w:rsidR="008C6DE0" w:rsidRDefault="008C6DE0" w:rsidP="008C6DE0">
      <w:pPr>
        <w:shd w:val="clear" w:color="auto" w:fill="FFFFFF"/>
        <w:ind w:right="23" w:firstLine="709"/>
        <w:rPr>
          <w:szCs w:val="24"/>
        </w:rPr>
      </w:pPr>
      <w:r w:rsidRPr="008C6DE0">
        <w:rPr>
          <w:szCs w:val="24"/>
        </w:rPr>
        <w:t xml:space="preserve">Prokurorai priėmė 59 631 nutarimą atsisakyti pradėti, sustabdyti ar nutraukti ikiteisminį tyrimą. </w:t>
      </w:r>
      <w:r w:rsidRPr="008C6DE0">
        <w:rPr>
          <w:i/>
          <w:iCs/>
          <w:szCs w:val="24"/>
        </w:rPr>
        <w:t>Teismai panaikino vos 0,9 proc.</w:t>
      </w:r>
      <w:r w:rsidRPr="008C6DE0">
        <w:rPr>
          <w:szCs w:val="24"/>
        </w:rPr>
        <w:t xml:space="preserve"> (2018 m. –</w:t>
      </w:r>
      <w:r>
        <w:rPr>
          <w:szCs w:val="24"/>
        </w:rPr>
        <w:t xml:space="preserve"> </w:t>
      </w:r>
      <w:r w:rsidRPr="008C6DE0">
        <w:rPr>
          <w:szCs w:val="24"/>
        </w:rPr>
        <w:t xml:space="preserve">1,14 proc., 2017 m. – 1,27 proc.) tokių nutarimų. Trūkumams pašalinti ir tyrimui papildyti </w:t>
      </w:r>
      <w:r w:rsidRPr="008C6DE0">
        <w:rPr>
          <w:i/>
          <w:iCs/>
          <w:szCs w:val="24"/>
        </w:rPr>
        <w:t>teismai prokurorams grąžino 0,65 proc.</w:t>
      </w:r>
      <w:r w:rsidRPr="008C6DE0">
        <w:rPr>
          <w:szCs w:val="24"/>
        </w:rPr>
        <w:t xml:space="preserve"> (2018 m. –</w:t>
      </w:r>
      <w:r>
        <w:rPr>
          <w:szCs w:val="24"/>
        </w:rPr>
        <w:t xml:space="preserve"> </w:t>
      </w:r>
      <w:r w:rsidRPr="008C6DE0">
        <w:rPr>
          <w:szCs w:val="24"/>
        </w:rPr>
        <w:t>0,56 proc., 2017 m. – 0,25 proc.) baudžiamųjų bylų, arba 117 bylų iš teismams perduotų 18</w:t>
      </w:r>
      <w:r>
        <w:rPr>
          <w:szCs w:val="24"/>
        </w:rPr>
        <w:t> </w:t>
      </w:r>
      <w:r w:rsidRPr="008C6DE0">
        <w:rPr>
          <w:szCs w:val="24"/>
        </w:rPr>
        <w:t>111</w:t>
      </w:r>
      <w:r>
        <w:rPr>
          <w:szCs w:val="24"/>
        </w:rPr>
        <w:t xml:space="preserve"> bylų</w:t>
      </w:r>
      <w:r w:rsidRPr="008C6DE0">
        <w:rPr>
          <w:szCs w:val="24"/>
        </w:rPr>
        <w:t>.</w:t>
      </w:r>
    </w:p>
    <w:p w:rsidR="002D7102" w:rsidRDefault="002D7102" w:rsidP="00141162">
      <w:pPr>
        <w:shd w:val="clear" w:color="auto" w:fill="FFFFFF"/>
        <w:ind w:right="23" w:firstLine="709"/>
        <w:rPr>
          <w:szCs w:val="24"/>
        </w:rPr>
      </w:pPr>
    </w:p>
    <w:p w:rsidR="00141162" w:rsidRPr="00141162" w:rsidRDefault="001F7871" w:rsidP="00141162">
      <w:pPr>
        <w:shd w:val="clear" w:color="auto" w:fill="FFFFFF"/>
        <w:ind w:right="23" w:firstLine="709"/>
        <w:rPr>
          <w:szCs w:val="24"/>
        </w:rPr>
      </w:pPr>
      <w:bookmarkStart w:id="0" w:name="_GoBack"/>
      <w:bookmarkEnd w:id="0"/>
      <w:r w:rsidRPr="001F7871">
        <w:rPr>
          <w:szCs w:val="24"/>
        </w:rPr>
        <w:t xml:space="preserve">2019 m. sausio 1 d. įsigaliojo </w:t>
      </w:r>
      <w:r>
        <w:rPr>
          <w:szCs w:val="24"/>
        </w:rPr>
        <w:t>P</w:t>
      </w:r>
      <w:r w:rsidRPr="001F7871">
        <w:rPr>
          <w:szCs w:val="24"/>
        </w:rPr>
        <w:t>ranešėjų apsaugos įstatymas, turintis prisidėti</w:t>
      </w:r>
      <w:r w:rsidR="008C6DE0">
        <w:rPr>
          <w:szCs w:val="24"/>
        </w:rPr>
        <w:t xml:space="preserve"> </w:t>
      </w:r>
      <w:r w:rsidRPr="001F7871">
        <w:rPr>
          <w:szCs w:val="24"/>
        </w:rPr>
        <w:t>prie kovos su korupcija, kitomis veikomis kuri</w:t>
      </w:r>
      <w:r w:rsidR="008C6DE0">
        <w:rPr>
          <w:szCs w:val="24"/>
        </w:rPr>
        <w:t>omis</w:t>
      </w:r>
      <w:r w:rsidRPr="001F7871">
        <w:rPr>
          <w:szCs w:val="24"/>
        </w:rPr>
        <w:t xml:space="preserve"> pažeidžiamas viešasis interesas. </w:t>
      </w:r>
      <w:r w:rsidRPr="008C6DE0">
        <w:rPr>
          <w:i/>
          <w:iCs/>
          <w:szCs w:val="24"/>
        </w:rPr>
        <w:t xml:space="preserve">Per </w:t>
      </w:r>
      <w:r w:rsidR="008C6DE0" w:rsidRPr="008C6DE0">
        <w:rPr>
          <w:i/>
          <w:iCs/>
          <w:szCs w:val="24"/>
        </w:rPr>
        <w:t>2019</w:t>
      </w:r>
      <w:r w:rsidRPr="008C6DE0">
        <w:rPr>
          <w:i/>
          <w:iCs/>
          <w:szCs w:val="24"/>
        </w:rPr>
        <w:t xml:space="preserve"> m</w:t>
      </w:r>
      <w:r w:rsidR="008C6DE0" w:rsidRPr="008C6DE0">
        <w:rPr>
          <w:i/>
          <w:iCs/>
          <w:szCs w:val="24"/>
        </w:rPr>
        <w:t>.</w:t>
      </w:r>
      <w:r w:rsidRPr="008C6DE0">
        <w:rPr>
          <w:i/>
          <w:iCs/>
          <w:szCs w:val="24"/>
        </w:rPr>
        <w:t xml:space="preserve"> informaciją pateikė 68 asmenys, 36 iš jų buvo suteiktas pranešėjo statusas</w:t>
      </w:r>
      <w:r w:rsidR="008C6DE0" w:rsidRPr="008C6DE0">
        <w:rPr>
          <w:i/>
          <w:iCs/>
          <w:szCs w:val="24"/>
        </w:rPr>
        <w:t xml:space="preserve">, </w:t>
      </w:r>
      <w:r w:rsidRPr="008C6DE0">
        <w:rPr>
          <w:i/>
          <w:iCs/>
          <w:szCs w:val="24"/>
        </w:rPr>
        <w:t xml:space="preserve">pradėti net 7 ikiteisminiai tyrimai. </w:t>
      </w:r>
      <w:r w:rsidR="00141162" w:rsidRPr="00141162">
        <w:rPr>
          <w:szCs w:val="24"/>
        </w:rPr>
        <w:t>Dėl neigiamo poveikio priemonių taikymo 2019 m. kreip</w:t>
      </w:r>
      <w:r w:rsidR="00141162">
        <w:rPr>
          <w:szCs w:val="24"/>
        </w:rPr>
        <w:t>ė</w:t>
      </w:r>
      <w:r w:rsidR="00141162" w:rsidRPr="00141162">
        <w:rPr>
          <w:szCs w:val="24"/>
        </w:rPr>
        <w:t>si 12 asmenų (11 turin</w:t>
      </w:r>
      <w:r w:rsidR="00141162">
        <w:rPr>
          <w:szCs w:val="24"/>
        </w:rPr>
        <w:t>č</w:t>
      </w:r>
      <w:r w:rsidR="00141162" w:rsidRPr="00141162">
        <w:rPr>
          <w:szCs w:val="24"/>
        </w:rPr>
        <w:t>ių prane</w:t>
      </w:r>
      <w:r w:rsidR="00141162">
        <w:rPr>
          <w:szCs w:val="24"/>
        </w:rPr>
        <w:t>šė</w:t>
      </w:r>
      <w:r w:rsidR="00141162" w:rsidRPr="00141162">
        <w:rPr>
          <w:szCs w:val="24"/>
        </w:rPr>
        <w:t>jo statusą ir 1 neturintis).</w:t>
      </w:r>
      <w:r w:rsidR="00141162">
        <w:rPr>
          <w:szCs w:val="24"/>
        </w:rPr>
        <w:t xml:space="preserve"> </w:t>
      </w:r>
      <w:r w:rsidR="00141162" w:rsidRPr="00141162">
        <w:rPr>
          <w:szCs w:val="24"/>
        </w:rPr>
        <w:t>I</w:t>
      </w:r>
      <w:r w:rsidR="00937100">
        <w:rPr>
          <w:szCs w:val="24"/>
        </w:rPr>
        <w:t>š</w:t>
      </w:r>
      <w:r w:rsidR="00141162" w:rsidRPr="00141162">
        <w:rPr>
          <w:szCs w:val="24"/>
        </w:rPr>
        <w:t xml:space="preserve"> viso 7 darbdaviai buvo informuoti apie prane</w:t>
      </w:r>
      <w:r w:rsidR="00141162">
        <w:rPr>
          <w:szCs w:val="24"/>
        </w:rPr>
        <w:t>šė</w:t>
      </w:r>
      <w:r w:rsidR="00141162" w:rsidRPr="00141162">
        <w:rPr>
          <w:szCs w:val="24"/>
        </w:rPr>
        <w:t>jo statuso jų darbuotojams suteikimą, kartu i</w:t>
      </w:r>
      <w:r w:rsidR="00141162">
        <w:rPr>
          <w:szCs w:val="24"/>
        </w:rPr>
        <w:t>šaišk</w:t>
      </w:r>
      <w:r w:rsidR="00141162" w:rsidRPr="00141162">
        <w:rPr>
          <w:szCs w:val="24"/>
        </w:rPr>
        <w:t>inant įstatyme nustatytą draudimą daryti neigiamą poveikį</w:t>
      </w:r>
      <w:r w:rsidR="00141162">
        <w:rPr>
          <w:szCs w:val="24"/>
        </w:rPr>
        <w:t xml:space="preserve"> ir įspėjant apie atsakomybę.</w:t>
      </w:r>
      <w:r w:rsidR="00141162" w:rsidRPr="00141162">
        <w:rPr>
          <w:szCs w:val="24"/>
        </w:rPr>
        <w:t xml:space="preserve"> </w:t>
      </w:r>
    </w:p>
    <w:p w:rsidR="001F7871" w:rsidRPr="00E321CD" w:rsidRDefault="001F7871" w:rsidP="001F7871">
      <w:pPr>
        <w:shd w:val="clear" w:color="auto" w:fill="FFFFFF"/>
        <w:ind w:right="23" w:firstLine="709"/>
        <w:rPr>
          <w:szCs w:val="24"/>
        </w:rPr>
      </w:pPr>
    </w:p>
    <w:p w:rsidR="00632D93" w:rsidRPr="00E321CD" w:rsidRDefault="00063BC5" w:rsidP="001F7871">
      <w:pPr>
        <w:shd w:val="clear" w:color="auto" w:fill="FFFFFF"/>
        <w:ind w:right="23" w:firstLine="709"/>
        <w:rPr>
          <w:szCs w:val="24"/>
          <w:lang w:bidi="lt-LT"/>
        </w:rPr>
      </w:pPr>
      <w:r w:rsidRPr="00E321CD">
        <w:rPr>
          <w:b/>
          <w:szCs w:val="24"/>
          <w:lang w:eastAsia="lt-LT" w:bidi="lt-LT"/>
        </w:rPr>
        <w:t>Dalykinio vertinimo išvada.</w:t>
      </w:r>
      <w:r w:rsidRPr="00E321CD">
        <w:rPr>
          <w:szCs w:val="24"/>
          <w:lang w:eastAsia="lt-LT" w:bidi="lt-LT"/>
        </w:rPr>
        <w:t xml:space="preserve"> </w:t>
      </w:r>
      <w:r w:rsidR="00A804E9" w:rsidRPr="00E321CD">
        <w:rPr>
          <w:szCs w:val="24"/>
        </w:rPr>
        <w:t xml:space="preserve">Siūlome </w:t>
      </w:r>
      <w:r w:rsidR="001F7871">
        <w:rPr>
          <w:szCs w:val="24"/>
        </w:rPr>
        <w:t>apsvarstyti</w:t>
      </w:r>
      <w:r w:rsidR="00A804E9" w:rsidRPr="00E321CD">
        <w:rPr>
          <w:szCs w:val="24"/>
        </w:rPr>
        <w:t xml:space="preserve"> Vyriausybės pasitarime.</w:t>
      </w:r>
    </w:p>
    <w:tbl>
      <w:tblPr>
        <w:tblStyle w:val="Lentelstinklelis"/>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E321CD" w:rsidTr="0035738D">
        <w:tc>
          <w:tcPr>
            <w:tcW w:w="5529" w:type="dxa"/>
          </w:tcPr>
          <w:p w:rsidR="009A0CDC" w:rsidRDefault="009A0CDC" w:rsidP="001F7871">
            <w:pPr>
              <w:jc w:val="left"/>
              <w:rPr>
                <w:szCs w:val="24"/>
              </w:rPr>
            </w:pPr>
          </w:p>
          <w:p w:rsidR="00937100" w:rsidRDefault="00937100" w:rsidP="001F7871">
            <w:pPr>
              <w:jc w:val="left"/>
              <w:rPr>
                <w:szCs w:val="24"/>
              </w:rPr>
            </w:pPr>
          </w:p>
          <w:p w:rsidR="00937100" w:rsidRPr="00E321CD" w:rsidRDefault="00937100" w:rsidP="001F7871">
            <w:pPr>
              <w:jc w:val="left"/>
              <w:rPr>
                <w:szCs w:val="24"/>
              </w:rPr>
            </w:pPr>
          </w:p>
          <w:p w:rsidR="0035738D" w:rsidRPr="00E321CD" w:rsidRDefault="00EF2CE1" w:rsidP="001F7871">
            <w:pPr>
              <w:jc w:val="left"/>
              <w:rPr>
                <w:szCs w:val="24"/>
              </w:rPr>
            </w:pPr>
            <w:r w:rsidRPr="00E321CD">
              <w:rPr>
                <w:szCs w:val="24"/>
              </w:rPr>
              <w:t>P</w:t>
            </w:r>
            <w:r w:rsidR="0035738D" w:rsidRPr="00E321CD">
              <w:rPr>
                <w:szCs w:val="24"/>
              </w:rPr>
              <w:t>atarėja</w:t>
            </w:r>
            <w:r w:rsidR="002222E2" w:rsidRPr="00E321CD">
              <w:rPr>
                <w:szCs w:val="24"/>
              </w:rPr>
              <w:t>s</w:t>
            </w:r>
            <w:r w:rsidR="0035738D" w:rsidRPr="00E321CD">
              <w:rPr>
                <w:szCs w:val="24"/>
              </w:rPr>
              <w:t xml:space="preserve"> </w:t>
            </w:r>
          </w:p>
        </w:tc>
        <w:tc>
          <w:tcPr>
            <w:tcW w:w="4536" w:type="dxa"/>
          </w:tcPr>
          <w:p w:rsidR="009A0CDC" w:rsidRDefault="009A0CDC" w:rsidP="001F7871">
            <w:pPr>
              <w:jc w:val="right"/>
              <w:rPr>
                <w:szCs w:val="24"/>
              </w:rPr>
            </w:pPr>
          </w:p>
          <w:p w:rsidR="00937100" w:rsidRDefault="00937100" w:rsidP="001F7871">
            <w:pPr>
              <w:jc w:val="right"/>
              <w:rPr>
                <w:szCs w:val="24"/>
              </w:rPr>
            </w:pPr>
          </w:p>
          <w:p w:rsidR="00937100" w:rsidRPr="00E321CD" w:rsidRDefault="00937100" w:rsidP="001F7871">
            <w:pPr>
              <w:jc w:val="right"/>
              <w:rPr>
                <w:szCs w:val="24"/>
              </w:rPr>
            </w:pPr>
          </w:p>
          <w:p w:rsidR="0035738D" w:rsidRPr="00E321CD" w:rsidRDefault="002222E2" w:rsidP="001F7871">
            <w:pPr>
              <w:jc w:val="right"/>
              <w:rPr>
                <w:szCs w:val="24"/>
              </w:rPr>
            </w:pPr>
            <w:r w:rsidRPr="00E321CD">
              <w:rPr>
                <w:szCs w:val="24"/>
              </w:rPr>
              <w:t>Audrius Kasinskas</w:t>
            </w:r>
          </w:p>
        </w:tc>
      </w:tr>
    </w:tbl>
    <w:p w:rsidR="003966EF" w:rsidRPr="00E321CD" w:rsidRDefault="003966EF" w:rsidP="001F7871">
      <w:pPr>
        <w:shd w:val="clear" w:color="auto" w:fill="FFFFFF"/>
        <w:ind w:right="23"/>
        <w:rPr>
          <w:szCs w:val="24"/>
        </w:rPr>
      </w:pPr>
    </w:p>
    <w:p w:rsidR="00240ECE" w:rsidRDefault="00240ECE"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25601" w:rsidRDefault="00125601" w:rsidP="001F7871">
      <w:pPr>
        <w:shd w:val="clear" w:color="auto" w:fill="FFFFFF"/>
        <w:ind w:right="23"/>
        <w:rPr>
          <w:szCs w:val="24"/>
        </w:rPr>
      </w:pPr>
    </w:p>
    <w:p w:rsidR="00141162" w:rsidRDefault="00141162" w:rsidP="001F7871">
      <w:pPr>
        <w:shd w:val="clear" w:color="auto" w:fill="FFFFFF"/>
        <w:ind w:right="23"/>
        <w:rPr>
          <w:szCs w:val="24"/>
        </w:rPr>
      </w:pPr>
    </w:p>
    <w:p w:rsidR="00141162" w:rsidRDefault="00141162" w:rsidP="001F7871">
      <w:pPr>
        <w:shd w:val="clear" w:color="auto" w:fill="FFFFFF"/>
        <w:ind w:right="23"/>
        <w:rPr>
          <w:szCs w:val="24"/>
        </w:rPr>
      </w:pPr>
    </w:p>
    <w:p w:rsidR="00141162" w:rsidRDefault="00141162" w:rsidP="001F7871">
      <w:pPr>
        <w:shd w:val="clear" w:color="auto" w:fill="FFFFFF"/>
        <w:ind w:right="23"/>
        <w:rPr>
          <w:szCs w:val="24"/>
        </w:rPr>
      </w:pPr>
    </w:p>
    <w:p w:rsidR="00141162" w:rsidRDefault="00141162" w:rsidP="001F7871">
      <w:pPr>
        <w:shd w:val="clear" w:color="auto" w:fill="FFFFFF"/>
        <w:ind w:right="23"/>
        <w:rPr>
          <w:szCs w:val="24"/>
        </w:rPr>
      </w:pPr>
    </w:p>
    <w:p w:rsidR="00141162" w:rsidRDefault="00141162" w:rsidP="001F7871">
      <w:pPr>
        <w:shd w:val="clear" w:color="auto" w:fill="FFFFFF"/>
        <w:ind w:right="23"/>
        <w:rPr>
          <w:szCs w:val="24"/>
        </w:rPr>
      </w:pPr>
    </w:p>
    <w:p w:rsidR="00141162" w:rsidRDefault="00141162" w:rsidP="001F7871">
      <w:pPr>
        <w:shd w:val="clear" w:color="auto" w:fill="FFFFFF"/>
        <w:ind w:right="23"/>
        <w:rPr>
          <w:szCs w:val="24"/>
        </w:rPr>
      </w:pPr>
    </w:p>
    <w:p w:rsidR="00125601" w:rsidRPr="00E321CD" w:rsidRDefault="00125601" w:rsidP="001F7871">
      <w:pPr>
        <w:shd w:val="clear" w:color="auto" w:fill="FFFFFF"/>
        <w:ind w:right="23"/>
        <w:rPr>
          <w:szCs w:val="24"/>
        </w:rPr>
      </w:pPr>
    </w:p>
    <w:p w:rsidR="008A4822" w:rsidRPr="00E321CD" w:rsidRDefault="008A4822" w:rsidP="001F7871">
      <w:pPr>
        <w:shd w:val="clear" w:color="auto" w:fill="FFFFFF"/>
        <w:ind w:right="23"/>
        <w:rPr>
          <w:szCs w:val="24"/>
        </w:rPr>
      </w:pPr>
    </w:p>
    <w:p w:rsidR="006A2673" w:rsidRPr="00E321CD" w:rsidRDefault="006A2673" w:rsidP="001F7871">
      <w:pPr>
        <w:shd w:val="clear" w:color="auto" w:fill="FFFFFF"/>
        <w:ind w:right="23"/>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E321CD" w:rsidTr="00FB471A">
        <w:trPr>
          <w:trHeight w:val="499"/>
        </w:trPr>
        <w:tc>
          <w:tcPr>
            <w:tcW w:w="9639" w:type="dxa"/>
          </w:tcPr>
          <w:p w:rsidR="00EA601B" w:rsidRPr="00E321CD" w:rsidRDefault="00AA3432" w:rsidP="001F7871">
            <w:pPr>
              <w:rPr>
                <w:szCs w:val="24"/>
              </w:rPr>
            </w:pPr>
            <w:sdt>
              <w:sdtPr>
                <w:rPr>
                  <w:szCs w:val="24"/>
                </w:rPr>
                <w:tag w:val="rengejoNuoroda"/>
                <w:id w:val="727350349"/>
                <w:placeholder>
                  <w:docPart w:val="206ED0E98E8B4533AD342C5D58AB63B3"/>
                </w:placeholder>
              </w:sdtPr>
              <w:sdtEndPr/>
              <w:sdtContent>
                <w:r>
                  <w:t>Audrius Kasinskas</w:t>
                </w:r>
              </w:sdtContent>
            </w:sdt>
            <w:r w:rsidR="00EA601B" w:rsidRPr="00E321CD">
              <w:rPr>
                <w:szCs w:val="24"/>
              </w:rPr>
              <w:t xml:space="preserve">, tel. </w:t>
            </w:r>
            <w:sdt>
              <w:sdtPr>
                <w:rPr>
                  <w:szCs w:val="24"/>
                </w:rPr>
                <w:tag w:val="rengejoNuorodaTel"/>
                <w:id w:val="1793550689"/>
                <w:placeholder>
                  <w:docPart w:val="7A915C0A83F04FE8A7E5C41CBE974A2D"/>
                </w:placeholder>
                <w:showingPlcHdr/>
              </w:sdtPr>
              <w:sdtEndPr/>
              <w:sdtContent>
                <w:r>
                  <w:t>+370 706 63733</w:t>
                </w:r>
              </w:sdtContent>
            </w:sdt>
            <w:r w:rsidR="00EA601B" w:rsidRPr="00E321CD">
              <w:rPr>
                <w:szCs w:val="24"/>
              </w:rPr>
              <w:t xml:space="preserve">, el. p. </w:t>
            </w:r>
            <w:sdt>
              <w:sdtPr>
                <w:rPr>
                  <w:szCs w:val="24"/>
                </w:rPr>
                <w:tag w:val="rengejoNuorodaEmail"/>
                <w:id w:val="-99482106"/>
                <w:placeholder>
                  <w:docPart w:val="7A915C0A83F04FE8A7E5C41CBE974A2D"/>
                </w:placeholder>
                <w:showingPlcHdr/>
              </w:sdtPr>
              <w:sdtEndPr/>
              <w:sdtContent>
                <w:r>
                  <w:t>audrius.kasinskas@lrv.lt</w:t>
                </w:r>
              </w:sdtContent>
            </w:sdt>
          </w:p>
        </w:tc>
      </w:tr>
    </w:tbl>
    <w:p w:rsidR="003F6022" w:rsidRPr="00E321CD" w:rsidRDefault="003F6022" w:rsidP="001F7871">
      <w:pPr>
        <w:pStyle w:val="Preformatted"/>
        <w:rPr>
          <w:rFonts w:ascii="Times New Roman" w:hAnsi="Times New Roman"/>
          <w:sz w:val="24"/>
          <w:szCs w:val="24"/>
        </w:rPr>
      </w:pPr>
    </w:p>
    <w:sectPr w:rsidR="003F6022" w:rsidRPr="00E321CD" w:rsidSect="008A4822">
      <w:headerReference w:type="default" r:id="rId8"/>
      <w:footnotePr>
        <w:pos w:val="beneathText"/>
      </w:footnotePr>
      <w:pgSz w:w="11907" w:h="16840" w:code="9"/>
      <w:pgMar w:top="1418"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432" w:rsidRDefault="00AA3432">
      <w:r>
        <w:separator/>
      </w:r>
    </w:p>
  </w:endnote>
  <w:endnote w:type="continuationSeparator" w:id="0">
    <w:p w:rsidR="00AA3432" w:rsidRDefault="00AA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432" w:rsidRDefault="00AA3432">
      <w:r>
        <w:separator/>
      </w:r>
    </w:p>
  </w:footnote>
  <w:footnote w:type="continuationSeparator" w:id="0">
    <w:p w:rsidR="00AA3432" w:rsidRDefault="00AA3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8A4822">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20"/>
  <w:hyphenationZone w:val="396"/>
  <w:drawingGridHorizontalSpacing w:val="110"/>
  <w:displayHorizontalDrawingGridEvery w:val="2"/>
  <w:displayVertic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359D"/>
    <w:rsid w:val="000054FB"/>
    <w:rsid w:val="00011471"/>
    <w:rsid w:val="00011795"/>
    <w:rsid w:val="00013C42"/>
    <w:rsid w:val="000148AF"/>
    <w:rsid w:val="00016EF6"/>
    <w:rsid w:val="00020157"/>
    <w:rsid w:val="00020937"/>
    <w:rsid w:val="0002443A"/>
    <w:rsid w:val="00024806"/>
    <w:rsid w:val="00033D82"/>
    <w:rsid w:val="0003463C"/>
    <w:rsid w:val="0004258F"/>
    <w:rsid w:val="00051196"/>
    <w:rsid w:val="0005146F"/>
    <w:rsid w:val="000538D9"/>
    <w:rsid w:val="000543E2"/>
    <w:rsid w:val="00061908"/>
    <w:rsid w:val="000619B6"/>
    <w:rsid w:val="00061F0C"/>
    <w:rsid w:val="00063BC5"/>
    <w:rsid w:val="000708BE"/>
    <w:rsid w:val="000751DA"/>
    <w:rsid w:val="00076EFE"/>
    <w:rsid w:val="000800BB"/>
    <w:rsid w:val="000834C2"/>
    <w:rsid w:val="000836B0"/>
    <w:rsid w:val="000844A2"/>
    <w:rsid w:val="00084A38"/>
    <w:rsid w:val="000A0245"/>
    <w:rsid w:val="000B4495"/>
    <w:rsid w:val="000B6289"/>
    <w:rsid w:val="000B6F6F"/>
    <w:rsid w:val="000C446D"/>
    <w:rsid w:val="000C470C"/>
    <w:rsid w:val="000C4D8D"/>
    <w:rsid w:val="000C733C"/>
    <w:rsid w:val="000C7D40"/>
    <w:rsid w:val="000D16FF"/>
    <w:rsid w:val="000D1C95"/>
    <w:rsid w:val="000D7C32"/>
    <w:rsid w:val="000D7CF5"/>
    <w:rsid w:val="000E3739"/>
    <w:rsid w:val="000E4CE8"/>
    <w:rsid w:val="000E4DAA"/>
    <w:rsid w:val="000F237B"/>
    <w:rsid w:val="001025E6"/>
    <w:rsid w:val="001116FB"/>
    <w:rsid w:val="001137C8"/>
    <w:rsid w:val="001156C9"/>
    <w:rsid w:val="00121647"/>
    <w:rsid w:val="0012381D"/>
    <w:rsid w:val="00124430"/>
    <w:rsid w:val="0012499F"/>
    <w:rsid w:val="00124BD2"/>
    <w:rsid w:val="00125601"/>
    <w:rsid w:val="00125A19"/>
    <w:rsid w:val="00132F4E"/>
    <w:rsid w:val="00135334"/>
    <w:rsid w:val="0013704A"/>
    <w:rsid w:val="001375F7"/>
    <w:rsid w:val="00140911"/>
    <w:rsid w:val="00141162"/>
    <w:rsid w:val="00144845"/>
    <w:rsid w:val="001469BB"/>
    <w:rsid w:val="00150BDE"/>
    <w:rsid w:val="00154C8A"/>
    <w:rsid w:val="00154F31"/>
    <w:rsid w:val="001559A8"/>
    <w:rsid w:val="0015635B"/>
    <w:rsid w:val="00160A3C"/>
    <w:rsid w:val="00160EA3"/>
    <w:rsid w:val="00163681"/>
    <w:rsid w:val="00164D46"/>
    <w:rsid w:val="00174F2B"/>
    <w:rsid w:val="00175B56"/>
    <w:rsid w:val="00180D40"/>
    <w:rsid w:val="001823BE"/>
    <w:rsid w:val="0018348C"/>
    <w:rsid w:val="00184316"/>
    <w:rsid w:val="00184D01"/>
    <w:rsid w:val="00186762"/>
    <w:rsid w:val="00187541"/>
    <w:rsid w:val="001934A6"/>
    <w:rsid w:val="00193F4C"/>
    <w:rsid w:val="001A0F3E"/>
    <w:rsid w:val="001A3037"/>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1F7871"/>
    <w:rsid w:val="0020074A"/>
    <w:rsid w:val="00200E76"/>
    <w:rsid w:val="00203983"/>
    <w:rsid w:val="00203D55"/>
    <w:rsid w:val="002050D6"/>
    <w:rsid w:val="002078F5"/>
    <w:rsid w:val="0021050E"/>
    <w:rsid w:val="0021287D"/>
    <w:rsid w:val="00220951"/>
    <w:rsid w:val="0022141F"/>
    <w:rsid w:val="002222E2"/>
    <w:rsid w:val="0022494F"/>
    <w:rsid w:val="00225A3E"/>
    <w:rsid w:val="00230758"/>
    <w:rsid w:val="002336C9"/>
    <w:rsid w:val="00234090"/>
    <w:rsid w:val="00237858"/>
    <w:rsid w:val="00240ECE"/>
    <w:rsid w:val="002470B0"/>
    <w:rsid w:val="00254006"/>
    <w:rsid w:val="002571D7"/>
    <w:rsid w:val="0025740A"/>
    <w:rsid w:val="00263B09"/>
    <w:rsid w:val="00264F89"/>
    <w:rsid w:val="00276E46"/>
    <w:rsid w:val="00280094"/>
    <w:rsid w:val="00294FAD"/>
    <w:rsid w:val="002956CD"/>
    <w:rsid w:val="002979AD"/>
    <w:rsid w:val="002A3A1A"/>
    <w:rsid w:val="002A3B6F"/>
    <w:rsid w:val="002A7BFC"/>
    <w:rsid w:val="002B0022"/>
    <w:rsid w:val="002B0CD7"/>
    <w:rsid w:val="002B4D79"/>
    <w:rsid w:val="002B71D8"/>
    <w:rsid w:val="002C039B"/>
    <w:rsid w:val="002C0ADB"/>
    <w:rsid w:val="002C5FE3"/>
    <w:rsid w:val="002C7662"/>
    <w:rsid w:val="002D230C"/>
    <w:rsid w:val="002D2622"/>
    <w:rsid w:val="002D351E"/>
    <w:rsid w:val="002D7102"/>
    <w:rsid w:val="002E056E"/>
    <w:rsid w:val="002E474B"/>
    <w:rsid w:val="002E5F91"/>
    <w:rsid w:val="002F01DB"/>
    <w:rsid w:val="00310D0E"/>
    <w:rsid w:val="00310D6B"/>
    <w:rsid w:val="00317B6A"/>
    <w:rsid w:val="00317BC5"/>
    <w:rsid w:val="0032172D"/>
    <w:rsid w:val="003227C4"/>
    <w:rsid w:val="00322D4E"/>
    <w:rsid w:val="003243C2"/>
    <w:rsid w:val="00327F39"/>
    <w:rsid w:val="00330B56"/>
    <w:rsid w:val="00333202"/>
    <w:rsid w:val="00343C06"/>
    <w:rsid w:val="00346BB1"/>
    <w:rsid w:val="00350AA1"/>
    <w:rsid w:val="003550A8"/>
    <w:rsid w:val="0035738D"/>
    <w:rsid w:val="0036309F"/>
    <w:rsid w:val="0036567D"/>
    <w:rsid w:val="00366BCD"/>
    <w:rsid w:val="00374851"/>
    <w:rsid w:val="00380622"/>
    <w:rsid w:val="00382146"/>
    <w:rsid w:val="00382901"/>
    <w:rsid w:val="00383DFD"/>
    <w:rsid w:val="00384CE6"/>
    <w:rsid w:val="003856EA"/>
    <w:rsid w:val="003869B8"/>
    <w:rsid w:val="00386B9E"/>
    <w:rsid w:val="00387332"/>
    <w:rsid w:val="00390926"/>
    <w:rsid w:val="00392FF7"/>
    <w:rsid w:val="003966EF"/>
    <w:rsid w:val="00397F66"/>
    <w:rsid w:val="003A0E30"/>
    <w:rsid w:val="003A17D1"/>
    <w:rsid w:val="003A4722"/>
    <w:rsid w:val="003A611D"/>
    <w:rsid w:val="003A7398"/>
    <w:rsid w:val="003A76D2"/>
    <w:rsid w:val="003B0029"/>
    <w:rsid w:val="003B01BC"/>
    <w:rsid w:val="003B1826"/>
    <w:rsid w:val="003B6715"/>
    <w:rsid w:val="003C0AD8"/>
    <w:rsid w:val="003C4320"/>
    <w:rsid w:val="003C78A9"/>
    <w:rsid w:val="003D5807"/>
    <w:rsid w:val="003D583A"/>
    <w:rsid w:val="003D58DB"/>
    <w:rsid w:val="003E6A1B"/>
    <w:rsid w:val="003F2067"/>
    <w:rsid w:val="003F2D90"/>
    <w:rsid w:val="003F6022"/>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4008"/>
    <w:rsid w:val="00475816"/>
    <w:rsid w:val="004772D5"/>
    <w:rsid w:val="00480AFE"/>
    <w:rsid w:val="0048195B"/>
    <w:rsid w:val="00486080"/>
    <w:rsid w:val="00493BDA"/>
    <w:rsid w:val="004A21B1"/>
    <w:rsid w:val="004A33ED"/>
    <w:rsid w:val="004A3FA9"/>
    <w:rsid w:val="004A4180"/>
    <w:rsid w:val="004A540C"/>
    <w:rsid w:val="004A5D70"/>
    <w:rsid w:val="004A7E3B"/>
    <w:rsid w:val="004B0228"/>
    <w:rsid w:val="004B4242"/>
    <w:rsid w:val="004C5669"/>
    <w:rsid w:val="004C6CE3"/>
    <w:rsid w:val="004C7357"/>
    <w:rsid w:val="004C7B68"/>
    <w:rsid w:val="004C7E85"/>
    <w:rsid w:val="004D4EDC"/>
    <w:rsid w:val="004D6365"/>
    <w:rsid w:val="004E1111"/>
    <w:rsid w:val="004E7485"/>
    <w:rsid w:val="004F0951"/>
    <w:rsid w:val="004F14C1"/>
    <w:rsid w:val="0050221B"/>
    <w:rsid w:val="0050249C"/>
    <w:rsid w:val="00506CD8"/>
    <w:rsid w:val="00506F12"/>
    <w:rsid w:val="00510F0F"/>
    <w:rsid w:val="0051292F"/>
    <w:rsid w:val="005146DE"/>
    <w:rsid w:val="00516C7A"/>
    <w:rsid w:val="0051728E"/>
    <w:rsid w:val="0051747A"/>
    <w:rsid w:val="005206F0"/>
    <w:rsid w:val="0053001D"/>
    <w:rsid w:val="00531951"/>
    <w:rsid w:val="005327EC"/>
    <w:rsid w:val="00535D8F"/>
    <w:rsid w:val="0053629D"/>
    <w:rsid w:val="0054669B"/>
    <w:rsid w:val="0055036E"/>
    <w:rsid w:val="005538B5"/>
    <w:rsid w:val="00553DF3"/>
    <w:rsid w:val="00561E7C"/>
    <w:rsid w:val="00565A05"/>
    <w:rsid w:val="00566768"/>
    <w:rsid w:val="005670E2"/>
    <w:rsid w:val="00571221"/>
    <w:rsid w:val="00571D13"/>
    <w:rsid w:val="005736BB"/>
    <w:rsid w:val="00574BD4"/>
    <w:rsid w:val="00575337"/>
    <w:rsid w:val="00577659"/>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5F50EE"/>
    <w:rsid w:val="006003FD"/>
    <w:rsid w:val="00601661"/>
    <w:rsid w:val="006028E5"/>
    <w:rsid w:val="00606055"/>
    <w:rsid w:val="00615326"/>
    <w:rsid w:val="00620713"/>
    <w:rsid w:val="006305BF"/>
    <w:rsid w:val="00631B78"/>
    <w:rsid w:val="00632D93"/>
    <w:rsid w:val="006348DD"/>
    <w:rsid w:val="0063533A"/>
    <w:rsid w:val="006366A2"/>
    <w:rsid w:val="00647DE8"/>
    <w:rsid w:val="00652DE9"/>
    <w:rsid w:val="0066065C"/>
    <w:rsid w:val="006769C9"/>
    <w:rsid w:val="006777A3"/>
    <w:rsid w:val="00685980"/>
    <w:rsid w:val="00686230"/>
    <w:rsid w:val="00687627"/>
    <w:rsid w:val="0069103C"/>
    <w:rsid w:val="00692E77"/>
    <w:rsid w:val="00697EF2"/>
    <w:rsid w:val="006A169C"/>
    <w:rsid w:val="006A2673"/>
    <w:rsid w:val="006A3621"/>
    <w:rsid w:val="006A555C"/>
    <w:rsid w:val="006A6F76"/>
    <w:rsid w:val="006B0A68"/>
    <w:rsid w:val="006B2239"/>
    <w:rsid w:val="006B3C7E"/>
    <w:rsid w:val="006B5861"/>
    <w:rsid w:val="006B734B"/>
    <w:rsid w:val="006C1831"/>
    <w:rsid w:val="006C26CB"/>
    <w:rsid w:val="006C2A33"/>
    <w:rsid w:val="006C364E"/>
    <w:rsid w:val="006C44B1"/>
    <w:rsid w:val="006D08EA"/>
    <w:rsid w:val="006D1058"/>
    <w:rsid w:val="006E25ED"/>
    <w:rsid w:val="006E29E8"/>
    <w:rsid w:val="006F1998"/>
    <w:rsid w:val="0070029B"/>
    <w:rsid w:val="00700313"/>
    <w:rsid w:val="00716EBD"/>
    <w:rsid w:val="00720B96"/>
    <w:rsid w:val="00722CE2"/>
    <w:rsid w:val="00725625"/>
    <w:rsid w:val="007261AC"/>
    <w:rsid w:val="00733029"/>
    <w:rsid w:val="007335AB"/>
    <w:rsid w:val="00735CBE"/>
    <w:rsid w:val="00742138"/>
    <w:rsid w:val="007437AB"/>
    <w:rsid w:val="00750659"/>
    <w:rsid w:val="00760720"/>
    <w:rsid w:val="00761AFF"/>
    <w:rsid w:val="0076271A"/>
    <w:rsid w:val="00765F9B"/>
    <w:rsid w:val="00774874"/>
    <w:rsid w:val="00774FFA"/>
    <w:rsid w:val="00777127"/>
    <w:rsid w:val="007833BF"/>
    <w:rsid w:val="00784402"/>
    <w:rsid w:val="0079451E"/>
    <w:rsid w:val="00796F5E"/>
    <w:rsid w:val="00797217"/>
    <w:rsid w:val="007A2057"/>
    <w:rsid w:val="007A30F5"/>
    <w:rsid w:val="007A33C3"/>
    <w:rsid w:val="007A4DCB"/>
    <w:rsid w:val="007A5095"/>
    <w:rsid w:val="007A6B2C"/>
    <w:rsid w:val="007A6B9F"/>
    <w:rsid w:val="007A6DB6"/>
    <w:rsid w:val="007B029E"/>
    <w:rsid w:val="007B0566"/>
    <w:rsid w:val="007B0711"/>
    <w:rsid w:val="007B57D0"/>
    <w:rsid w:val="007B71E7"/>
    <w:rsid w:val="007C235E"/>
    <w:rsid w:val="007C2A64"/>
    <w:rsid w:val="007C56F3"/>
    <w:rsid w:val="007D78BC"/>
    <w:rsid w:val="007E13AD"/>
    <w:rsid w:val="007E3129"/>
    <w:rsid w:val="007E404E"/>
    <w:rsid w:val="007F285A"/>
    <w:rsid w:val="007F7CC5"/>
    <w:rsid w:val="007F7EA5"/>
    <w:rsid w:val="00801518"/>
    <w:rsid w:val="00803B62"/>
    <w:rsid w:val="00805355"/>
    <w:rsid w:val="0080562C"/>
    <w:rsid w:val="0080696C"/>
    <w:rsid w:val="0081496A"/>
    <w:rsid w:val="00815727"/>
    <w:rsid w:val="0081690F"/>
    <w:rsid w:val="008175C7"/>
    <w:rsid w:val="008241FE"/>
    <w:rsid w:val="00825C1A"/>
    <w:rsid w:val="00827FB5"/>
    <w:rsid w:val="00830E65"/>
    <w:rsid w:val="00834208"/>
    <w:rsid w:val="00835FB5"/>
    <w:rsid w:val="00837BAB"/>
    <w:rsid w:val="00840BA0"/>
    <w:rsid w:val="00842D7E"/>
    <w:rsid w:val="00843BBB"/>
    <w:rsid w:val="008446EF"/>
    <w:rsid w:val="0085358E"/>
    <w:rsid w:val="0085629A"/>
    <w:rsid w:val="008569AA"/>
    <w:rsid w:val="00860B24"/>
    <w:rsid w:val="00861A4A"/>
    <w:rsid w:val="008622B8"/>
    <w:rsid w:val="00864C04"/>
    <w:rsid w:val="0086703B"/>
    <w:rsid w:val="008706A3"/>
    <w:rsid w:val="00870EC1"/>
    <w:rsid w:val="00883C45"/>
    <w:rsid w:val="0088789F"/>
    <w:rsid w:val="008914A5"/>
    <w:rsid w:val="0089250B"/>
    <w:rsid w:val="00892575"/>
    <w:rsid w:val="008927C7"/>
    <w:rsid w:val="008A4822"/>
    <w:rsid w:val="008A4D11"/>
    <w:rsid w:val="008A54AA"/>
    <w:rsid w:val="008A5B02"/>
    <w:rsid w:val="008A6A46"/>
    <w:rsid w:val="008B0F13"/>
    <w:rsid w:val="008B26B6"/>
    <w:rsid w:val="008C0400"/>
    <w:rsid w:val="008C45E9"/>
    <w:rsid w:val="008C6BCE"/>
    <w:rsid w:val="008C6DE0"/>
    <w:rsid w:val="008D1132"/>
    <w:rsid w:val="008D1521"/>
    <w:rsid w:val="008D2F5F"/>
    <w:rsid w:val="008E367D"/>
    <w:rsid w:val="008F0AF4"/>
    <w:rsid w:val="008F123C"/>
    <w:rsid w:val="008F31A4"/>
    <w:rsid w:val="008F3AAB"/>
    <w:rsid w:val="008F3D4F"/>
    <w:rsid w:val="008F5EFA"/>
    <w:rsid w:val="00900DA4"/>
    <w:rsid w:val="00900EDB"/>
    <w:rsid w:val="00902FE9"/>
    <w:rsid w:val="00904F18"/>
    <w:rsid w:val="00905E02"/>
    <w:rsid w:val="00907EFA"/>
    <w:rsid w:val="00910D20"/>
    <w:rsid w:val="00911A51"/>
    <w:rsid w:val="00911C0D"/>
    <w:rsid w:val="0091609A"/>
    <w:rsid w:val="0092504F"/>
    <w:rsid w:val="0092549F"/>
    <w:rsid w:val="00925831"/>
    <w:rsid w:val="009263F9"/>
    <w:rsid w:val="009335A6"/>
    <w:rsid w:val="009370F6"/>
    <w:rsid w:val="00937100"/>
    <w:rsid w:val="009439AC"/>
    <w:rsid w:val="00945001"/>
    <w:rsid w:val="00946A7C"/>
    <w:rsid w:val="00946BEB"/>
    <w:rsid w:val="00947B71"/>
    <w:rsid w:val="009527B9"/>
    <w:rsid w:val="0095689E"/>
    <w:rsid w:val="00957B50"/>
    <w:rsid w:val="009665FA"/>
    <w:rsid w:val="009714CD"/>
    <w:rsid w:val="00971AFD"/>
    <w:rsid w:val="00972017"/>
    <w:rsid w:val="00973F6B"/>
    <w:rsid w:val="00984F13"/>
    <w:rsid w:val="009853C0"/>
    <w:rsid w:val="0099450C"/>
    <w:rsid w:val="009946B9"/>
    <w:rsid w:val="00995802"/>
    <w:rsid w:val="00996E4C"/>
    <w:rsid w:val="00997F9F"/>
    <w:rsid w:val="009A0688"/>
    <w:rsid w:val="009A0CDC"/>
    <w:rsid w:val="009A0F83"/>
    <w:rsid w:val="009A1169"/>
    <w:rsid w:val="009A3CB2"/>
    <w:rsid w:val="009A4ECC"/>
    <w:rsid w:val="009A6F77"/>
    <w:rsid w:val="009B1121"/>
    <w:rsid w:val="009B1F29"/>
    <w:rsid w:val="009B23E8"/>
    <w:rsid w:val="009C1D64"/>
    <w:rsid w:val="009C4CB2"/>
    <w:rsid w:val="009D1AD1"/>
    <w:rsid w:val="009D2819"/>
    <w:rsid w:val="009D41A0"/>
    <w:rsid w:val="009D4474"/>
    <w:rsid w:val="009E09C6"/>
    <w:rsid w:val="009E4579"/>
    <w:rsid w:val="009F0EA7"/>
    <w:rsid w:val="009F11B3"/>
    <w:rsid w:val="009F4CBA"/>
    <w:rsid w:val="009F7AFA"/>
    <w:rsid w:val="00A04E05"/>
    <w:rsid w:val="00A0515D"/>
    <w:rsid w:val="00A10077"/>
    <w:rsid w:val="00A10CAB"/>
    <w:rsid w:val="00A13858"/>
    <w:rsid w:val="00A14E8C"/>
    <w:rsid w:val="00A154EE"/>
    <w:rsid w:val="00A16C27"/>
    <w:rsid w:val="00A20761"/>
    <w:rsid w:val="00A2078D"/>
    <w:rsid w:val="00A21578"/>
    <w:rsid w:val="00A23CE0"/>
    <w:rsid w:val="00A240B4"/>
    <w:rsid w:val="00A31376"/>
    <w:rsid w:val="00A37B79"/>
    <w:rsid w:val="00A40A4B"/>
    <w:rsid w:val="00A43E48"/>
    <w:rsid w:val="00A44C77"/>
    <w:rsid w:val="00A44E3F"/>
    <w:rsid w:val="00A45939"/>
    <w:rsid w:val="00A46A37"/>
    <w:rsid w:val="00A50B4F"/>
    <w:rsid w:val="00A540EC"/>
    <w:rsid w:val="00A556FD"/>
    <w:rsid w:val="00A63940"/>
    <w:rsid w:val="00A70738"/>
    <w:rsid w:val="00A7075B"/>
    <w:rsid w:val="00A7097D"/>
    <w:rsid w:val="00A76903"/>
    <w:rsid w:val="00A804E9"/>
    <w:rsid w:val="00A8696E"/>
    <w:rsid w:val="00A92F23"/>
    <w:rsid w:val="00A9409E"/>
    <w:rsid w:val="00A976AC"/>
    <w:rsid w:val="00AA1CC8"/>
    <w:rsid w:val="00AA3432"/>
    <w:rsid w:val="00AA5902"/>
    <w:rsid w:val="00AA5C8F"/>
    <w:rsid w:val="00AA615C"/>
    <w:rsid w:val="00AB06E3"/>
    <w:rsid w:val="00AB2A44"/>
    <w:rsid w:val="00AC202B"/>
    <w:rsid w:val="00AC20C8"/>
    <w:rsid w:val="00AC696B"/>
    <w:rsid w:val="00AD302A"/>
    <w:rsid w:val="00AD3305"/>
    <w:rsid w:val="00AF120A"/>
    <w:rsid w:val="00AF1ADE"/>
    <w:rsid w:val="00B015EB"/>
    <w:rsid w:val="00B05192"/>
    <w:rsid w:val="00B10607"/>
    <w:rsid w:val="00B1137D"/>
    <w:rsid w:val="00B12E93"/>
    <w:rsid w:val="00B171F9"/>
    <w:rsid w:val="00B22CBE"/>
    <w:rsid w:val="00B244BB"/>
    <w:rsid w:val="00B3095D"/>
    <w:rsid w:val="00B317F3"/>
    <w:rsid w:val="00B33106"/>
    <w:rsid w:val="00B361F8"/>
    <w:rsid w:val="00B3701D"/>
    <w:rsid w:val="00B429B2"/>
    <w:rsid w:val="00B44ADE"/>
    <w:rsid w:val="00B456DD"/>
    <w:rsid w:val="00B45C20"/>
    <w:rsid w:val="00B5261B"/>
    <w:rsid w:val="00B561F5"/>
    <w:rsid w:val="00B634C5"/>
    <w:rsid w:val="00B6630F"/>
    <w:rsid w:val="00B80C75"/>
    <w:rsid w:val="00B815AD"/>
    <w:rsid w:val="00B858E9"/>
    <w:rsid w:val="00B86DE8"/>
    <w:rsid w:val="00B91219"/>
    <w:rsid w:val="00B95DEE"/>
    <w:rsid w:val="00B97F0A"/>
    <w:rsid w:val="00BA4CF8"/>
    <w:rsid w:val="00BA519F"/>
    <w:rsid w:val="00BB1139"/>
    <w:rsid w:val="00BB4656"/>
    <w:rsid w:val="00BC2D2A"/>
    <w:rsid w:val="00BC3291"/>
    <w:rsid w:val="00BC3C04"/>
    <w:rsid w:val="00BC5938"/>
    <w:rsid w:val="00BC64C0"/>
    <w:rsid w:val="00BC6EBA"/>
    <w:rsid w:val="00BD12BB"/>
    <w:rsid w:val="00BD44A1"/>
    <w:rsid w:val="00BD4E7B"/>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4CFC"/>
    <w:rsid w:val="00C17EB7"/>
    <w:rsid w:val="00C20C0E"/>
    <w:rsid w:val="00C239D2"/>
    <w:rsid w:val="00C248F0"/>
    <w:rsid w:val="00C25502"/>
    <w:rsid w:val="00C32926"/>
    <w:rsid w:val="00C3348B"/>
    <w:rsid w:val="00C412C6"/>
    <w:rsid w:val="00C417D6"/>
    <w:rsid w:val="00C432D5"/>
    <w:rsid w:val="00C43FDC"/>
    <w:rsid w:val="00C44A65"/>
    <w:rsid w:val="00C5192D"/>
    <w:rsid w:val="00C577B6"/>
    <w:rsid w:val="00C66308"/>
    <w:rsid w:val="00C663DC"/>
    <w:rsid w:val="00C66B96"/>
    <w:rsid w:val="00C711C0"/>
    <w:rsid w:val="00C71D1E"/>
    <w:rsid w:val="00C7779F"/>
    <w:rsid w:val="00C810D2"/>
    <w:rsid w:val="00C81E77"/>
    <w:rsid w:val="00C820F2"/>
    <w:rsid w:val="00C85D9F"/>
    <w:rsid w:val="00C86F13"/>
    <w:rsid w:val="00C87306"/>
    <w:rsid w:val="00C9123A"/>
    <w:rsid w:val="00C96F33"/>
    <w:rsid w:val="00CA1C26"/>
    <w:rsid w:val="00CB01AD"/>
    <w:rsid w:val="00CB490F"/>
    <w:rsid w:val="00CB5031"/>
    <w:rsid w:val="00CB537F"/>
    <w:rsid w:val="00CB6110"/>
    <w:rsid w:val="00CD1089"/>
    <w:rsid w:val="00CD2433"/>
    <w:rsid w:val="00CD2466"/>
    <w:rsid w:val="00CD2718"/>
    <w:rsid w:val="00CD498D"/>
    <w:rsid w:val="00CE4CB2"/>
    <w:rsid w:val="00CF001B"/>
    <w:rsid w:val="00CF1909"/>
    <w:rsid w:val="00CF34FE"/>
    <w:rsid w:val="00D01081"/>
    <w:rsid w:val="00D02A71"/>
    <w:rsid w:val="00D146F5"/>
    <w:rsid w:val="00D14E89"/>
    <w:rsid w:val="00D2671F"/>
    <w:rsid w:val="00D33360"/>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031F"/>
    <w:rsid w:val="00DC1A48"/>
    <w:rsid w:val="00DC4EA9"/>
    <w:rsid w:val="00DC64BA"/>
    <w:rsid w:val="00DC7673"/>
    <w:rsid w:val="00DD0E75"/>
    <w:rsid w:val="00DD2051"/>
    <w:rsid w:val="00DD4968"/>
    <w:rsid w:val="00DD648C"/>
    <w:rsid w:val="00DD677B"/>
    <w:rsid w:val="00DE2A0B"/>
    <w:rsid w:val="00DE42ED"/>
    <w:rsid w:val="00DE5385"/>
    <w:rsid w:val="00DE7ECB"/>
    <w:rsid w:val="00DF1152"/>
    <w:rsid w:val="00DF16A0"/>
    <w:rsid w:val="00DF4ED5"/>
    <w:rsid w:val="00DF5F68"/>
    <w:rsid w:val="00E0472F"/>
    <w:rsid w:val="00E2182B"/>
    <w:rsid w:val="00E26301"/>
    <w:rsid w:val="00E26D6D"/>
    <w:rsid w:val="00E315E7"/>
    <w:rsid w:val="00E321CD"/>
    <w:rsid w:val="00E33808"/>
    <w:rsid w:val="00E3578D"/>
    <w:rsid w:val="00E3765A"/>
    <w:rsid w:val="00E41492"/>
    <w:rsid w:val="00E41A07"/>
    <w:rsid w:val="00E47DAF"/>
    <w:rsid w:val="00E51F65"/>
    <w:rsid w:val="00E53584"/>
    <w:rsid w:val="00E53688"/>
    <w:rsid w:val="00E53BA9"/>
    <w:rsid w:val="00E549EE"/>
    <w:rsid w:val="00E57C4A"/>
    <w:rsid w:val="00E617DA"/>
    <w:rsid w:val="00E65B61"/>
    <w:rsid w:val="00E709FE"/>
    <w:rsid w:val="00E8602C"/>
    <w:rsid w:val="00E86C6F"/>
    <w:rsid w:val="00E87F9D"/>
    <w:rsid w:val="00E92465"/>
    <w:rsid w:val="00E9485A"/>
    <w:rsid w:val="00E966C6"/>
    <w:rsid w:val="00EA08A9"/>
    <w:rsid w:val="00EA1766"/>
    <w:rsid w:val="00EA601B"/>
    <w:rsid w:val="00EB06BF"/>
    <w:rsid w:val="00EB386C"/>
    <w:rsid w:val="00EB4AE5"/>
    <w:rsid w:val="00EC0B9E"/>
    <w:rsid w:val="00EC58CA"/>
    <w:rsid w:val="00EC7A99"/>
    <w:rsid w:val="00ED34C3"/>
    <w:rsid w:val="00ED4BCD"/>
    <w:rsid w:val="00ED7F03"/>
    <w:rsid w:val="00EE17BF"/>
    <w:rsid w:val="00EE19AB"/>
    <w:rsid w:val="00EE3DEE"/>
    <w:rsid w:val="00EE421C"/>
    <w:rsid w:val="00EE47E5"/>
    <w:rsid w:val="00EE48E8"/>
    <w:rsid w:val="00EE52DF"/>
    <w:rsid w:val="00EE5E11"/>
    <w:rsid w:val="00EE7A91"/>
    <w:rsid w:val="00EE7C91"/>
    <w:rsid w:val="00EF2CE1"/>
    <w:rsid w:val="00EF71DD"/>
    <w:rsid w:val="00F0140D"/>
    <w:rsid w:val="00F0446D"/>
    <w:rsid w:val="00F04C6D"/>
    <w:rsid w:val="00F07142"/>
    <w:rsid w:val="00F111E6"/>
    <w:rsid w:val="00F1162B"/>
    <w:rsid w:val="00F13C0D"/>
    <w:rsid w:val="00F14670"/>
    <w:rsid w:val="00F14C50"/>
    <w:rsid w:val="00F156B1"/>
    <w:rsid w:val="00F2248A"/>
    <w:rsid w:val="00F308BB"/>
    <w:rsid w:val="00F3486E"/>
    <w:rsid w:val="00F34B83"/>
    <w:rsid w:val="00F37A5A"/>
    <w:rsid w:val="00F37C12"/>
    <w:rsid w:val="00F43D1D"/>
    <w:rsid w:val="00F50168"/>
    <w:rsid w:val="00F5369B"/>
    <w:rsid w:val="00F55ED7"/>
    <w:rsid w:val="00F57B4F"/>
    <w:rsid w:val="00F6092D"/>
    <w:rsid w:val="00F617C6"/>
    <w:rsid w:val="00F63CB3"/>
    <w:rsid w:val="00F648B7"/>
    <w:rsid w:val="00F6623A"/>
    <w:rsid w:val="00F6630B"/>
    <w:rsid w:val="00F6674F"/>
    <w:rsid w:val="00F7301E"/>
    <w:rsid w:val="00F74003"/>
    <w:rsid w:val="00F76A69"/>
    <w:rsid w:val="00F8585A"/>
    <w:rsid w:val="00F9474F"/>
    <w:rsid w:val="00F94833"/>
    <w:rsid w:val="00F94D25"/>
    <w:rsid w:val="00F97E85"/>
    <w:rsid w:val="00FA749A"/>
    <w:rsid w:val="00FA74DE"/>
    <w:rsid w:val="00FB2E40"/>
    <w:rsid w:val="00FB3813"/>
    <w:rsid w:val="00FB7E37"/>
    <w:rsid w:val="00FD331C"/>
    <w:rsid w:val="00FD7090"/>
    <w:rsid w:val="00FD7D4C"/>
    <w:rsid w:val="00FE5E00"/>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9826"/>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aliases w:val="Footnote Text Char Char,Footnote Text Char Char Char Char Char Char,Footnote Text Char Char Char Char,Footnote Text Char Char Char Char Char,Footnote,Footnote text,fn,Footnote Text Blue,Footnote Text Blue Char Char Char Char Cha"/>
    <w:basedOn w:val="prastasis"/>
    <w:link w:val="PuslapioinaostekstasDiagrama"/>
    <w:rsid w:val="002D2622"/>
  </w:style>
  <w:style w:type="character" w:customStyle="1" w:styleId="PuslapioinaostekstasDiagrama">
    <w:name w:val="Puslapio išnašos tekstas Diagrama"/>
    <w:aliases w:val="Footnote Text Char Char Diagrama,Footnote Text Char Char Char Char Char Char Diagrama,Footnote Text Char Char Char Char Diagrama,Footnote Text Char Char Char Char Char Diagrama,Footnote Diagrama,Footnote text Diagrama"/>
    <w:basedOn w:val="Numatytasispastraiposriftas"/>
    <w:link w:val="Puslapioinaostekstas"/>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ipersaitas">
    <w:name w:val="Hyperlink"/>
    <w:basedOn w:val="Numatytasispastraiposriftas"/>
    <w:uiPriority w:val="99"/>
    <w:unhideWhenUsed/>
    <w:rsid w:val="000054FB"/>
    <w:rPr>
      <w:color w:val="0000FF"/>
      <w:u w:val="single"/>
    </w:rPr>
  </w:style>
  <w:style w:type="paragraph" w:styleId="Sraopastraipa">
    <w:name w:val="List Paragraph"/>
    <w:basedOn w:val="prastasis"/>
    <w:uiPriority w:val="34"/>
    <w:qFormat/>
    <w:rsid w:val="00D146F5"/>
    <w:pPr>
      <w:ind w:left="720"/>
      <w:contextualSpacing/>
    </w:pPr>
  </w:style>
  <w:style w:type="paragraph" w:styleId="HTMLiankstoformatuotas">
    <w:name w:val="HTML Preformatted"/>
    <w:basedOn w:val="prastasis"/>
    <w:link w:val="HTMLiankstoformatuotasDiagrama"/>
    <w:uiPriority w:val="99"/>
    <w:semiHidden/>
    <w:unhideWhenUsed/>
    <w:rsid w:val="008927C7"/>
    <w:rPr>
      <w:rFonts w:ascii="Consolas" w:hAnsi="Consolas" w:cs="Consolas"/>
      <w:sz w:val="20"/>
    </w:rPr>
  </w:style>
  <w:style w:type="character" w:customStyle="1" w:styleId="HTMLiankstoformatuotasDiagrama">
    <w:name w:val="HTML iš anksto formatuotas Diagrama"/>
    <w:basedOn w:val="Numatytasispastraiposriftas"/>
    <w:link w:val="HTMLiankstoformatuotas"/>
    <w:uiPriority w:val="99"/>
    <w:semiHidden/>
    <w:rsid w:val="008927C7"/>
    <w:rPr>
      <w:rFonts w:ascii="Consolas" w:eastAsia="Times New Roman" w:hAnsi="Consolas" w:cs="Consolas"/>
      <w:lang w:eastAsia="ru-RU"/>
    </w:rPr>
  </w:style>
  <w:style w:type="character" w:styleId="Puslapioinaosnuoroda">
    <w:name w:val="footnote reference"/>
    <w:basedOn w:val="Numatytasispastraiposriftas"/>
    <w:uiPriority w:val="99"/>
    <w:unhideWhenUsed/>
    <w:rsid w:val="003F2D90"/>
    <w:rPr>
      <w:vertAlign w:val="superscript"/>
    </w:rPr>
  </w:style>
  <w:style w:type="character" w:styleId="Paminjimas">
    <w:name w:val="Mention"/>
    <w:basedOn w:val="Numatytasispastraiposriftas"/>
    <w:uiPriority w:val="99"/>
    <w:semiHidden/>
    <w:unhideWhenUsed/>
    <w:rsid w:val="00E966C6"/>
    <w:rPr>
      <w:color w:val="2B579A"/>
      <w:shd w:val="clear" w:color="auto" w:fill="E6E6E6"/>
    </w:rPr>
  </w:style>
  <w:style w:type="character" w:customStyle="1" w:styleId="dnr">
    <w:name w:val="dnr"/>
    <w:basedOn w:val="Numatytasispastraiposriftas"/>
    <w:rsid w:val="006A169C"/>
  </w:style>
  <w:style w:type="paragraph" w:customStyle="1" w:styleId="tajtip">
    <w:name w:val="tajtip"/>
    <w:basedOn w:val="prastasis"/>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Grietas">
    <w:name w:val="Strong"/>
    <w:uiPriority w:val="22"/>
    <w:qFormat/>
    <w:rsid w:val="0021287D"/>
    <w:rPr>
      <w:b/>
      <w:bCs/>
    </w:rPr>
  </w:style>
  <w:style w:type="paragraph" w:customStyle="1" w:styleId="Tekstas">
    <w:name w:val="Tekstas"/>
    <w:basedOn w:val="prastasis"/>
    <w:qFormat/>
    <w:rsid w:val="00BD4E7B"/>
    <w:pPr>
      <w:suppressAutoHyphens/>
      <w:spacing w:before="40" w:after="40"/>
      <w:ind w:firstLine="851"/>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324">
      <w:bodyDiv w:val="1"/>
      <w:marLeft w:val="0"/>
      <w:marRight w:val="0"/>
      <w:marTop w:val="0"/>
      <w:marBottom w:val="0"/>
      <w:divBdr>
        <w:top w:val="none" w:sz="0" w:space="0" w:color="auto"/>
        <w:left w:val="none" w:sz="0" w:space="0" w:color="auto"/>
        <w:bottom w:val="none" w:sz="0" w:space="0" w:color="auto"/>
        <w:right w:val="none" w:sz="0" w:space="0" w:color="auto"/>
      </w:divBdr>
      <w:divsChild>
        <w:div w:id="2114205967">
          <w:marLeft w:val="0"/>
          <w:marRight w:val="0"/>
          <w:marTop w:val="0"/>
          <w:marBottom w:val="0"/>
          <w:divBdr>
            <w:top w:val="none" w:sz="0" w:space="0" w:color="auto"/>
            <w:left w:val="none" w:sz="0" w:space="0" w:color="auto"/>
            <w:bottom w:val="none" w:sz="0" w:space="0" w:color="auto"/>
            <w:right w:val="none" w:sz="0" w:space="0" w:color="auto"/>
          </w:divBdr>
          <w:divsChild>
            <w:div w:id="1762796193">
              <w:marLeft w:val="0"/>
              <w:marRight w:val="0"/>
              <w:marTop w:val="0"/>
              <w:marBottom w:val="0"/>
              <w:divBdr>
                <w:top w:val="none" w:sz="0" w:space="0" w:color="auto"/>
                <w:left w:val="none" w:sz="0" w:space="0" w:color="auto"/>
                <w:bottom w:val="none" w:sz="0" w:space="0" w:color="auto"/>
                <w:right w:val="none" w:sz="0" w:space="0" w:color="auto"/>
              </w:divBdr>
              <w:divsChild>
                <w:div w:id="1153912089">
                  <w:marLeft w:val="0"/>
                  <w:marRight w:val="0"/>
                  <w:marTop w:val="0"/>
                  <w:marBottom w:val="0"/>
                  <w:divBdr>
                    <w:top w:val="none" w:sz="0" w:space="0" w:color="auto"/>
                    <w:left w:val="none" w:sz="0" w:space="0" w:color="auto"/>
                    <w:bottom w:val="none" w:sz="0" w:space="0" w:color="auto"/>
                    <w:right w:val="none" w:sz="0" w:space="0" w:color="auto"/>
                  </w:divBdr>
                  <w:divsChild>
                    <w:div w:id="113259118">
                      <w:marLeft w:val="0"/>
                      <w:marRight w:val="0"/>
                      <w:marTop w:val="0"/>
                      <w:marBottom w:val="0"/>
                      <w:divBdr>
                        <w:top w:val="none" w:sz="0" w:space="0" w:color="auto"/>
                        <w:left w:val="none" w:sz="0" w:space="0" w:color="auto"/>
                        <w:bottom w:val="none" w:sz="0" w:space="0" w:color="auto"/>
                        <w:right w:val="none" w:sz="0" w:space="0" w:color="auto"/>
                      </w:divBdr>
                    </w:div>
                    <w:div w:id="1133215047">
                      <w:marLeft w:val="0"/>
                      <w:marRight w:val="0"/>
                      <w:marTop w:val="0"/>
                      <w:marBottom w:val="0"/>
                      <w:divBdr>
                        <w:top w:val="none" w:sz="0" w:space="0" w:color="auto"/>
                        <w:left w:val="none" w:sz="0" w:space="0" w:color="auto"/>
                        <w:bottom w:val="none" w:sz="0" w:space="0" w:color="auto"/>
                        <w:right w:val="none" w:sz="0" w:space="0" w:color="auto"/>
                      </w:divBdr>
                      <w:divsChild>
                        <w:div w:id="1221525557">
                          <w:marLeft w:val="0"/>
                          <w:marRight w:val="0"/>
                          <w:marTop w:val="0"/>
                          <w:marBottom w:val="0"/>
                          <w:divBdr>
                            <w:top w:val="none" w:sz="0" w:space="0" w:color="auto"/>
                            <w:left w:val="none" w:sz="0" w:space="0" w:color="auto"/>
                            <w:bottom w:val="none" w:sz="0" w:space="0" w:color="auto"/>
                            <w:right w:val="none" w:sz="0" w:space="0" w:color="auto"/>
                          </w:divBdr>
                        </w:div>
                        <w:div w:id="2118132471">
                          <w:marLeft w:val="0"/>
                          <w:marRight w:val="0"/>
                          <w:marTop w:val="0"/>
                          <w:marBottom w:val="0"/>
                          <w:divBdr>
                            <w:top w:val="none" w:sz="0" w:space="0" w:color="auto"/>
                            <w:left w:val="none" w:sz="0" w:space="0" w:color="auto"/>
                            <w:bottom w:val="none" w:sz="0" w:space="0" w:color="auto"/>
                            <w:right w:val="none" w:sz="0" w:space="0" w:color="auto"/>
                          </w:divBdr>
                        </w:div>
                        <w:div w:id="7295159">
                          <w:marLeft w:val="0"/>
                          <w:marRight w:val="0"/>
                          <w:marTop w:val="0"/>
                          <w:marBottom w:val="0"/>
                          <w:divBdr>
                            <w:top w:val="none" w:sz="0" w:space="0" w:color="auto"/>
                            <w:left w:val="none" w:sz="0" w:space="0" w:color="auto"/>
                            <w:bottom w:val="none" w:sz="0" w:space="0" w:color="auto"/>
                            <w:right w:val="none" w:sz="0" w:space="0" w:color="auto"/>
                          </w:divBdr>
                        </w:div>
                        <w:div w:id="728039643">
                          <w:marLeft w:val="0"/>
                          <w:marRight w:val="0"/>
                          <w:marTop w:val="0"/>
                          <w:marBottom w:val="0"/>
                          <w:divBdr>
                            <w:top w:val="none" w:sz="0" w:space="0" w:color="auto"/>
                            <w:left w:val="none" w:sz="0" w:space="0" w:color="auto"/>
                            <w:bottom w:val="none" w:sz="0" w:space="0" w:color="auto"/>
                            <w:right w:val="none" w:sz="0" w:space="0" w:color="auto"/>
                          </w:divBdr>
                        </w:div>
                        <w:div w:id="1240863806">
                          <w:marLeft w:val="0"/>
                          <w:marRight w:val="0"/>
                          <w:marTop w:val="0"/>
                          <w:marBottom w:val="0"/>
                          <w:divBdr>
                            <w:top w:val="none" w:sz="0" w:space="0" w:color="auto"/>
                            <w:left w:val="none" w:sz="0" w:space="0" w:color="auto"/>
                            <w:bottom w:val="none" w:sz="0" w:space="0" w:color="auto"/>
                            <w:right w:val="none" w:sz="0" w:space="0" w:color="auto"/>
                          </w:divBdr>
                        </w:div>
                        <w:div w:id="722869509">
                          <w:marLeft w:val="0"/>
                          <w:marRight w:val="0"/>
                          <w:marTop w:val="0"/>
                          <w:marBottom w:val="0"/>
                          <w:divBdr>
                            <w:top w:val="none" w:sz="0" w:space="0" w:color="auto"/>
                            <w:left w:val="none" w:sz="0" w:space="0" w:color="auto"/>
                            <w:bottom w:val="none" w:sz="0" w:space="0" w:color="auto"/>
                            <w:right w:val="none" w:sz="0" w:space="0" w:color="auto"/>
                          </w:divBdr>
                        </w:div>
                        <w:div w:id="1752000451">
                          <w:marLeft w:val="0"/>
                          <w:marRight w:val="0"/>
                          <w:marTop w:val="0"/>
                          <w:marBottom w:val="0"/>
                          <w:divBdr>
                            <w:top w:val="none" w:sz="0" w:space="0" w:color="auto"/>
                            <w:left w:val="none" w:sz="0" w:space="0" w:color="auto"/>
                            <w:bottom w:val="none" w:sz="0" w:space="0" w:color="auto"/>
                            <w:right w:val="none" w:sz="0" w:space="0" w:color="auto"/>
                          </w:divBdr>
                        </w:div>
                        <w:div w:id="1381131247">
                          <w:marLeft w:val="0"/>
                          <w:marRight w:val="0"/>
                          <w:marTop w:val="0"/>
                          <w:marBottom w:val="0"/>
                          <w:divBdr>
                            <w:top w:val="none" w:sz="0" w:space="0" w:color="auto"/>
                            <w:left w:val="none" w:sz="0" w:space="0" w:color="auto"/>
                            <w:bottom w:val="none" w:sz="0" w:space="0" w:color="auto"/>
                            <w:right w:val="none" w:sz="0" w:space="0" w:color="auto"/>
                          </w:divBdr>
                        </w:div>
                        <w:div w:id="1738240537">
                          <w:marLeft w:val="0"/>
                          <w:marRight w:val="0"/>
                          <w:marTop w:val="0"/>
                          <w:marBottom w:val="0"/>
                          <w:divBdr>
                            <w:top w:val="none" w:sz="0" w:space="0" w:color="auto"/>
                            <w:left w:val="none" w:sz="0" w:space="0" w:color="auto"/>
                            <w:bottom w:val="none" w:sz="0" w:space="0" w:color="auto"/>
                            <w:right w:val="none" w:sz="0" w:space="0" w:color="auto"/>
                          </w:divBdr>
                        </w:div>
                        <w:div w:id="11075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2519">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 w:id="207149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Vietosrezervavimoenklotekstas"/>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56947"/>
    <w:rsid w:val="00057685"/>
    <w:rsid w:val="00075FCF"/>
    <w:rsid w:val="00090348"/>
    <w:rsid w:val="000C1093"/>
    <w:rsid w:val="000E1449"/>
    <w:rsid w:val="000E5EF5"/>
    <w:rsid w:val="000E7C92"/>
    <w:rsid w:val="00135E18"/>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D7A8B"/>
    <w:rsid w:val="002F6EB8"/>
    <w:rsid w:val="003012DC"/>
    <w:rsid w:val="0030205B"/>
    <w:rsid w:val="0030382B"/>
    <w:rsid w:val="00326385"/>
    <w:rsid w:val="00335FBF"/>
    <w:rsid w:val="003402F4"/>
    <w:rsid w:val="003816BF"/>
    <w:rsid w:val="00383A07"/>
    <w:rsid w:val="00393187"/>
    <w:rsid w:val="003B5A75"/>
    <w:rsid w:val="003C2074"/>
    <w:rsid w:val="003D2DEC"/>
    <w:rsid w:val="003D3A74"/>
    <w:rsid w:val="003E362D"/>
    <w:rsid w:val="003E7C38"/>
    <w:rsid w:val="003F42DE"/>
    <w:rsid w:val="0041116C"/>
    <w:rsid w:val="00420D08"/>
    <w:rsid w:val="004353F5"/>
    <w:rsid w:val="004457B0"/>
    <w:rsid w:val="00450447"/>
    <w:rsid w:val="00466683"/>
    <w:rsid w:val="004A3C1D"/>
    <w:rsid w:val="004B34B2"/>
    <w:rsid w:val="005013FF"/>
    <w:rsid w:val="005170C5"/>
    <w:rsid w:val="00536ECF"/>
    <w:rsid w:val="00537F2D"/>
    <w:rsid w:val="0054013E"/>
    <w:rsid w:val="00541E2A"/>
    <w:rsid w:val="00563210"/>
    <w:rsid w:val="005902E1"/>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33FE"/>
    <w:rsid w:val="0064559F"/>
    <w:rsid w:val="006770B9"/>
    <w:rsid w:val="006814CA"/>
    <w:rsid w:val="00684342"/>
    <w:rsid w:val="006A7159"/>
    <w:rsid w:val="006B0691"/>
    <w:rsid w:val="006D7C3C"/>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21496"/>
    <w:rsid w:val="0096603E"/>
    <w:rsid w:val="00982EF6"/>
    <w:rsid w:val="009A09F1"/>
    <w:rsid w:val="009A0D14"/>
    <w:rsid w:val="009A5ABA"/>
    <w:rsid w:val="00A036CB"/>
    <w:rsid w:val="00A078EB"/>
    <w:rsid w:val="00A1138D"/>
    <w:rsid w:val="00A261D4"/>
    <w:rsid w:val="00A36449"/>
    <w:rsid w:val="00A40CEE"/>
    <w:rsid w:val="00A670A5"/>
    <w:rsid w:val="00A85015"/>
    <w:rsid w:val="00AA2D3B"/>
    <w:rsid w:val="00AC69B5"/>
    <w:rsid w:val="00B12E05"/>
    <w:rsid w:val="00B22B3D"/>
    <w:rsid w:val="00B22E4B"/>
    <w:rsid w:val="00B30BCF"/>
    <w:rsid w:val="00B320D3"/>
    <w:rsid w:val="00B35A2D"/>
    <w:rsid w:val="00B528A3"/>
    <w:rsid w:val="00B63D49"/>
    <w:rsid w:val="00B65C6B"/>
    <w:rsid w:val="00B774FD"/>
    <w:rsid w:val="00B85986"/>
    <w:rsid w:val="00B877A8"/>
    <w:rsid w:val="00B905C7"/>
    <w:rsid w:val="00B95714"/>
    <w:rsid w:val="00BB14CA"/>
    <w:rsid w:val="00BB6E6B"/>
    <w:rsid w:val="00BC2B1A"/>
    <w:rsid w:val="00BE2E3A"/>
    <w:rsid w:val="00C006D6"/>
    <w:rsid w:val="00C15AB8"/>
    <w:rsid w:val="00C15E3C"/>
    <w:rsid w:val="00C35324"/>
    <w:rsid w:val="00C35A5C"/>
    <w:rsid w:val="00C40371"/>
    <w:rsid w:val="00C44509"/>
    <w:rsid w:val="00C5187D"/>
    <w:rsid w:val="00C64F30"/>
    <w:rsid w:val="00C71EA7"/>
    <w:rsid w:val="00C7327A"/>
    <w:rsid w:val="00C84BBA"/>
    <w:rsid w:val="00C9791A"/>
    <w:rsid w:val="00CA2066"/>
    <w:rsid w:val="00CB1DB4"/>
    <w:rsid w:val="00CB71BC"/>
    <w:rsid w:val="00CD174D"/>
    <w:rsid w:val="00CD6E5E"/>
    <w:rsid w:val="00CF132B"/>
    <w:rsid w:val="00CF1C8C"/>
    <w:rsid w:val="00D34440"/>
    <w:rsid w:val="00D454C8"/>
    <w:rsid w:val="00D963D7"/>
    <w:rsid w:val="00DC0E28"/>
    <w:rsid w:val="00DC69AD"/>
    <w:rsid w:val="00DD195E"/>
    <w:rsid w:val="00DE1B9E"/>
    <w:rsid w:val="00E0192E"/>
    <w:rsid w:val="00E101E0"/>
    <w:rsid w:val="00E31BAE"/>
    <w:rsid w:val="00E323F2"/>
    <w:rsid w:val="00E40A72"/>
    <w:rsid w:val="00E51DC2"/>
    <w:rsid w:val="00E64462"/>
    <w:rsid w:val="00E919BE"/>
    <w:rsid w:val="00E91C3F"/>
    <w:rsid w:val="00ED56BF"/>
    <w:rsid w:val="00EE3AB5"/>
    <w:rsid w:val="00F17E95"/>
    <w:rsid w:val="00F30D38"/>
    <w:rsid w:val="00F347A4"/>
    <w:rsid w:val="00F40618"/>
    <w:rsid w:val="00F5286A"/>
    <w:rsid w:val="00F6217A"/>
    <w:rsid w:val="00F64368"/>
    <w:rsid w:val="00F715E3"/>
    <w:rsid w:val="00F76287"/>
    <w:rsid w:val="00FB2E78"/>
    <w:rsid w:val="00FB46B9"/>
    <w:rsid w:val="00FB521E"/>
    <w:rsid w:val="00FE56BC"/>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42879-107A-4E27-8EC0-9355965B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56</TotalTime>
  <Pages>2</Pages>
  <Words>2337</Words>
  <Characters>1333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pazyma</vt:lpstr>
      <vt:lpstr>pazyma</vt:lpstr>
    </vt:vector>
  </TitlesOfParts>
  <Company>Policijos departamentas prie VRM</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2020-03-27T09:15:00Z</dcterms:created>
  <dc:creator>Goda Aleksaitė</dc:creator>
  <cp:lastModifiedBy>Audrius Kasinskas</cp:lastModifiedBy>
  <cp:lastPrinted>2017-11-09T13:48:00Z</cp:lastPrinted>
  <dcterms:modified xsi:type="dcterms:W3CDTF">2020-04-01T12:34:00Z</dcterms:modified>
  <cp:revision>9</cp:revision>
  <dc:title>pazyma</dc:title>
</cp:coreProperties>
</file>