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534AA" w14:textId="2361E578" w:rsidR="007F5CFA" w:rsidRPr="00C23A16" w:rsidRDefault="00C23A16" w:rsidP="00467FD4">
      <w:pPr>
        <w:ind w:firstLine="709"/>
        <w:jc w:val="center"/>
        <w:rPr>
          <w:b/>
          <w:bCs/>
          <w:szCs w:val="24"/>
        </w:rPr>
      </w:pPr>
      <w:r w:rsidRPr="00C23A16">
        <w:rPr>
          <w:b/>
          <w:bCs/>
        </w:rPr>
        <w:t>2019 M. BIRŽELIO 5 D. EUROPOS PARLAMENTO IR TARYBOS REGLAMENTO (ES) 2019/943 DĖL ELEKTROS ENERGIJOS VIDAUS RINKOS</w:t>
      </w:r>
      <w:r w:rsidRPr="00C23A16">
        <w:rPr>
          <w:b/>
          <w:bCs/>
          <w:szCs w:val="24"/>
        </w:rPr>
        <w:t xml:space="preserve"> IR </w:t>
      </w:r>
      <w:r w:rsidRPr="00C23A16">
        <w:rPr>
          <w:b/>
          <w:bCs/>
        </w:rPr>
        <w:t xml:space="preserve">LIETUVOS RESPUBLIKOS ELEKTROS ENERGETIKOS ĮSTATYMO NR. VIII-1881 </w:t>
      </w:r>
      <w:r w:rsidRPr="00C23A16">
        <w:rPr>
          <w:rStyle w:val="FontStyle53"/>
          <w:sz w:val="24"/>
          <w:szCs w:val="24"/>
        </w:rPr>
        <w:t>2, 6, 7, 9, 18, 31 IR 78 STRAIPSNIŲ PAKEITIMO IR ĮSTATYMO PAPILDYMO DEŠIMTUOJU</w:t>
      </w:r>
      <w:r w:rsidRPr="00C23A16">
        <w:rPr>
          <w:rStyle w:val="FontStyle53"/>
          <w:sz w:val="24"/>
          <w:szCs w:val="24"/>
          <w:vertAlign w:val="superscript"/>
        </w:rPr>
        <w:t>1</w:t>
      </w:r>
      <w:r w:rsidRPr="00C23A16">
        <w:rPr>
          <w:rStyle w:val="FontStyle53"/>
          <w:sz w:val="24"/>
          <w:szCs w:val="24"/>
        </w:rPr>
        <w:t xml:space="preserve"> SKIRSNIU</w:t>
      </w:r>
      <w:r w:rsidRPr="00C23A16">
        <w:rPr>
          <w:b/>
          <w:bCs/>
        </w:rPr>
        <w:t xml:space="preserve"> </w:t>
      </w:r>
      <w:r w:rsidRPr="00C23A16">
        <w:rPr>
          <w:b/>
          <w:bCs/>
          <w:szCs w:val="24"/>
        </w:rPr>
        <w:t>ĮSTATYMO PROJEKTO</w:t>
      </w:r>
      <w:r>
        <w:rPr>
          <w:b/>
          <w:bCs/>
          <w:szCs w:val="24"/>
        </w:rPr>
        <w:t xml:space="preserve"> </w:t>
      </w:r>
    </w:p>
    <w:p w14:paraId="48821847" w14:textId="6CC536C6" w:rsidR="009C0AD8" w:rsidRPr="00C23A16" w:rsidRDefault="00C23A16" w:rsidP="00467FD4">
      <w:pPr>
        <w:ind w:firstLine="709"/>
        <w:jc w:val="center"/>
        <w:rPr>
          <w:b/>
          <w:bCs/>
          <w:szCs w:val="24"/>
        </w:rPr>
      </w:pPr>
      <w:r w:rsidRPr="00C23A16">
        <w:rPr>
          <w:b/>
          <w:bCs/>
          <w:szCs w:val="24"/>
        </w:rPr>
        <w:t xml:space="preserve"> ATITIKTIES LENTELĖ</w:t>
      </w:r>
    </w:p>
    <w:p w14:paraId="41EA3050" w14:textId="77777777" w:rsidR="009C0AD8" w:rsidRPr="00467FD4" w:rsidRDefault="009C0AD8" w:rsidP="00467FD4">
      <w:pPr>
        <w:jc w:val="both"/>
        <w:rPr>
          <w:szCs w:val="24"/>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6290"/>
        <w:gridCol w:w="2135"/>
      </w:tblGrid>
      <w:tr w:rsidR="009C0AD8" w:rsidRPr="00467FD4" w14:paraId="6452059F" w14:textId="77777777" w:rsidTr="005E4666">
        <w:tc>
          <w:tcPr>
            <w:tcW w:w="6487" w:type="dxa"/>
          </w:tcPr>
          <w:p w14:paraId="504C42B4" w14:textId="5CF9B9A6" w:rsidR="009C0AD8" w:rsidRPr="00172D07" w:rsidRDefault="00AA4987" w:rsidP="00457EB4">
            <w:pPr>
              <w:jc w:val="center"/>
              <w:rPr>
                <w:b/>
                <w:bCs/>
                <w:szCs w:val="24"/>
              </w:rPr>
            </w:pPr>
            <w:r w:rsidRPr="00172D07">
              <w:rPr>
                <w:b/>
                <w:bCs/>
              </w:rPr>
              <w:t>2019 m. birželio 5 d. Europos Parlamento ir Tarybos Reglament</w:t>
            </w:r>
            <w:r w:rsidR="00421C81" w:rsidRPr="00172D07">
              <w:rPr>
                <w:b/>
                <w:bCs/>
              </w:rPr>
              <w:t>as</w:t>
            </w:r>
            <w:r w:rsidRPr="00172D07">
              <w:rPr>
                <w:b/>
                <w:bCs/>
              </w:rPr>
              <w:t xml:space="preserve"> (ES) 2019/943 dėl elektros energijos vidaus rinkos</w:t>
            </w:r>
          </w:p>
        </w:tc>
        <w:tc>
          <w:tcPr>
            <w:tcW w:w="6290" w:type="dxa"/>
            <w:tcBorders>
              <w:bottom w:val="single" w:sz="4" w:space="0" w:color="auto"/>
            </w:tcBorders>
          </w:tcPr>
          <w:p w14:paraId="18A7E4D6" w14:textId="1BF6F313" w:rsidR="007F5CFA" w:rsidRPr="00467FD4" w:rsidRDefault="00172D07" w:rsidP="00457EB4">
            <w:pPr>
              <w:ind w:firstLine="709"/>
              <w:jc w:val="center"/>
              <w:rPr>
                <w:b/>
                <w:szCs w:val="24"/>
              </w:rPr>
            </w:pPr>
            <w:r w:rsidRPr="00172D07">
              <w:rPr>
                <w:b/>
                <w:bCs/>
              </w:rPr>
              <w:t>Lietuvos Respublikos elektros energetikos įstatymo Nr. VIII-1881</w:t>
            </w:r>
            <w:r w:rsidRPr="002F7574">
              <w:t xml:space="preserve"> </w:t>
            </w:r>
            <w:r w:rsidRPr="002F7574">
              <w:rPr>
                <w:rStyle w:val="FontStyle53"/>
                <w:sz w:val="24"/>
                <w:szCs w:val="24"/>
              </w:rPr>
              <w:t>2, 6, 7, 9, 18, 31 ir 78 straipsnių pakeitimo ir Įstatymo papildymo dešimtuoju</w:t>
            </w:r>
            <w:r w:rsidRPr="002F7574">
              <w:rPr>
                <w:rStyle w:val="FontStyle53"/>
                <w:sz w:val="24"/>
                <w:szCs w:val="24"/>
                <w:vertAlign w:val="superscript"/>
              </w:rPr>
              <w:t>1</w:t>
            </w:r>
            <w:r w:rsidRPr="002F7574">
              <w:rPr>
                <w:rStyle w:val="FontStyle53"/>
                <w:sz w:val="24"/>
                <w:szCs w:val="24"/>
              </w:rPr>
              <w:t xml:space="preserve"> skirsniu</w:t>
            </w:r>
            <w:r w:rsidRPr="002F7574">
              <w:t xml:space="preserve"> </w:t>
            </w:r>
            <w:r w:rsidR="007F5CFA" w:rsidRPr="00467FD4">
              <w:rPr>
                <w:b/>
                <w:szCs w:val="24"/>
              </w:rPr>
              <w:t>įstatymo projektas</w:t>
            </w:r>
          </w:p>
          <w:p w14:paraId="7C02995D" w14:textId="77777777" w:rsidR="0008642F" w:rsidRPr="00467FD4" w:rsidRDefault="0008642F" w:rsidP="00457EB4">
            <w:pPr>
              <w:jc w:val="center"/>
              <w:rPr>
                <w:b/>
                <w:szCs w:val="24"/>
              </w:rPr>
            </w:pPr>
          </w:p>
        </w:tc>
        <w:tc>
          <w:tcPr>
            <w:tcW w:w="2135" w:type="dxa"/>
          </w:tcPr>
          <w:p w14:paraId="0AC28AC3" w14:textId="70493DE0" w:rsidR="009C0AD8" w:rsidRPr="00467FD4" w:rsidRDefault="0082584D" w:rsidP="00457EB4">
            <w:pPr>
              <w:jc w:val="center"/>
              <w:rPr>
                <w:b/>
                <w:szCs w:val="24"/>
              </w:rPr>
            </w:pPr>
            <w:r>
              <w:rPr>
                <w:b/>
                <w:szCs w:val="24"/>
              </w:rPr>
              <w:t>Reglamento</w:t>
            </w:r>
            <w:r w:rsidR="009C0AD8" w:rsidRPr="00467FD4">
              <w:rPr>
                <w:b/>
                <w:szCs w:val="24"/>
              </w:rPr>
              <w:t xml:space="preserve"> įgyvendinimo lygis</w:t>
            </w:r>
            <w:r w:rsidR="009C0AD8" w:rsidRPr="00467FD4">
              <w:rPr>
                <w:b/>
                <w:szCs w:val="24"/>
              </w:rPr>
              <w:br/>
              <w:t>(visiškai / iš dalies įgyvendinta, neįgyvendinta)</w:t>
            </w:r>
          </w:p>
        </w:tc>
      </w:tr>
      <w:tr w:rsidR="00457EB4" w:rsidRPr="00467FD4" w14:paraId="4A819EE9" w14:textId="77777777" w:rsidTr="00467FD4">
        <w:tc>
          <w:tcPr>
            <w:tcW w:w="6487" w:type="dxa"/>
            <w:tcBorders>
              <w:right w:val="single" w:sz="4" w:space="0" w:color="auto"/>
            </w:tcBorders>
            <w:shd w:val="clear" w:color="auto" w:fill="auto"/>
          </w:tcPr>
          <w:p w14:paraId="4BEA2CCB" w14:textId="77777777" w:rsidR="00457EB4" w:rsidRDefault="00FD78EB" w:rsidP="00467FD4">
            <w:pPr>
              <w:jc w:val="both"/>
              <w:rPr>
                <w:b/>
                <w:szCs w:val="24"/>
                <w:lang w:eastAsia="en-US"/>
              </w:rPr>
            </w:pPr>
            <w:r>
              <w:rPr>
                <w:b/>
                <w:szCs w:val="24"/>
                <w:lang w:val="en-US" w:eastAsia="en-US"/>
              </w:rPr>
              <w:t xml:space="preserve">22 </w:t>
            </w:r>
            <w:r>
              <w:rPr>
                <w:b/>
                <w:szCs w:val="24"/>
                <w:lang w:eastAsia="en-US"/>
              </w:rPr>
              <w:t>straipsnis</w:t>
            </w:r>
          </w:p>
          <w:p w14:paraId="5F8790CE" w14:textId="77777777" w:rsidR="00FD78EB" w:rsidRDefault="001E71E5" w:rsidP="00467FD4">
            <w:pPr>
              <w:jc w:val="both"/>
              <w:rPr>
                <w:b/>
                <w:szCs w:val="24"/>
                <w:lang w:eastAsia="en-US"/>
              </w:rPr>
            </w:pPr>
            <w:r w:rsidRPr="001E71E5">
              <w:rPr>
                <w:b/>
                <w:szCs w:val="24"/>
                <w:lang w:eastAsia="en-US"/>
              </w:rPr>
              <w:t>Pajėgumų mechanizmų rengimo principai</w:t>
            </w:r>
          </w:p>
          <w:p w14:paraId="245B8724" w14:textId="77777777" w:rsidR="00CE580D" w:rsidRPr="00CE580D" w:rsidRDefault="00CE580D" w:rsidP="00CE580D">
            <w:pPr>
              <w:jc w:val="both"/>
              <w:rPr>
                <w:bCs/>
                <w:szCs w:val="24"/>
                <w:lang w:eastAsia="en-US"/>
              </w:rPr>
            </w:pPr>
            <w:r w:rsidRPr="00CE580D">
              <w:rPr>
                <w:bCs/>
                <w:szCs w:val="24"/>
                <w:lang w:eastAsia="en-US"/>
              </w:rPr>
              <w:t xml:space="preserve">1. Visų pajėgumų mechanizmų atveju: </w:t>
            </w:r>
          </w:p>
          <w:p w14:paraId="665C426C" w14:textId="7913B8B1" w:rsidR="00CE580D" w:rsidRPr="00CE580D" w:rsidRDefault="00CE580D" w:rsidP="00CE580D">
            <w:pPr>
              <w:jc w:val="both"/>
              <w:rPr>
                <w:bCs/>
                <w:szCs w:val="24"/>
                <w:lang w:eastAsia="en-US"/>
              </w:rPr>
            </w:pPr>
            <w:r w:rsidRPr="00CE580D">
              <w:rPr>
                <w:bCs/>
                <w:szCs w:val="24"/>
                <w:lang w:eastAsia="en-US"/>
              </w:rPr>
              <w:t xml:space="preserve">a) jie yra laikini; </w:t>
            </w:r>
          </w:p>
          <w:p w14:paraId="7C6D1AF9" w14:textId="04A15B83" w:rsidR="00CE580D" w:rsidRPr="00CE580D" w:rsidRDefault="00CE580D" w:rsidP="00CE580D">
            <w:pPr>
              <w:jc w:val="both"/>
              <w:rPr>
                <w:bCs/>
                <w:szCs w:val="24"/>
                <w:lang w:eastAsia="en-US"/>
              </w:rPr>
            </w:pPr>
            <w:r w:rsidRPr="00CE580D">
              <w:rPr>
                <w:bCs/>
                <w:szCs w:val="24"/>
                <w:lang w:eastAsia="en-US"/>
              </w:rPr>
              <w:t xml:space="preserve">b) nesukuriama nepagrįsto rinkos iškraipymo ir neribojama tarpzoninė prekyba; </w:t>
            </w:r>
          </w:p>
          <w:p w14:paraId="00B0B853" w14:textId="3D4051C9" w:rsidR="00CE580D" w:rsidRPr="00CE580D" w:rsidRDefault="00CE580D" w:rsidP="00CE580D">
            <w:pPr>
              <w:jc w:val="both"/>
              <w:rPr>
                <w:bCs/>
                <w:szCs w:val="24"/>
                <w:lang w:eastAsia="en-US"/>
              </w:rPr>
            </w:pPr>
            <w:r w:rsidRPr="00CE580D">
              <w:rPr>
                <w:bCs/>
                <w:szCs w:val="24"/>
                <w:lang w:eastAsia="en-US"/>
              </w:rPr>
              <w:t xml:space="preserve">c) neviršijama to, kas būtinai reikalinga siekiant išspręsti adekvatumo problemą, nurodytą 20 straipsnyje; </w:t>
            </w:r>
          </w:p>
          <w:p w14:paraId="169BF0FE" w14:textId="678E5167" w:rsidR="00CE580D" w:rsidRPr="00CE580D" w:rsidRDefault="00CE580D" w:rsidP="00CE580D">
            <w:pPr>
              <w:jc w:val="both"/>
              <w:rPr>
                <w:bCs/>
                <w:szCs w:val="24"/>
                <w:lang w:eastAsia="en-US"/>
              </w:rPr>
            </w:pPr>
            <w:r w:rsidRPr="00CE580D">
              <w:rPr>
                <w:bCs/>
                <w:szCs w:val="24"/>
                <w:lang w:eastAsia="en-US"/>
              </w:rPr>
              <w:t xml:space="preserve">d) pajėgumų teikėjai atrenkami pagal skaidrų, nediskriminuojantį ir konkurencingą procesą; </w:t>
            </w:r>
          </w:p>
          <w:p w14:paraId="7778F386" w14:textId="59D5BDE6" w:rsidR="00CE580D" w:rsidRPr="00CE580D" w:rsidRDefault="00CE580D" w:rsidP="00CE580D">
            <w:pPr>
              <w:jc w:val="both"/>
              <w:rPr>
                <w:bCs/>
                <w:szCs w:val="24"/>
                <w:lang w:eastAsia="en-US"/>
              </w:rPr>
            </w:pPr>
            <w:r w:rsidRPr="00CE580D">
              <w:rPr>
                <w:bCs/>
                <w:szCs w:val="24"/>
                <w:lang w:eastAsia="en-US"/>
              </w:rPr>
              <w:t xml:space="preserve">e) teikiamos paskatos pajėgumų teikėjams būti pasirengusiems, kai numatoma, kad sistema veiks nepalankiausiomis sąlygomis; </w:t>
            </w:r>
          </w:p>
          <w:p w14:paraId="76234A4F" w14:textId="77E30674" w:rsidR="00CE580D" w:rsidRPr="00CE580D" w:rsidRDefault="00CE580D" w:rsidP="00CE580D">
            <w:pPr>
              <w:jc w:val="both"/>
              <w:rPr>
                <w:bCs/>
                <w:szCs w:val="24"/>
                <w:lang w:eastAsia="en-US"/>
              </w:rPr>
            </w:pPr>
            <w:r w:rsidRPr="00CE580D">
              <w:rPr>
                <w:bCs/>
                <w:szCs w:val="24"/>
                <w:lang w:eastAsia="en-US"/>
              </w:rPr>
              <w:t xml:space="preserve">f) užtikrinama, kad atlygis būtų nustatomas taikant konkurencingą procesą; </w:t>
            </w:r>
          </w:p>
          <w:p w14:paraId="42E6AD36" w14:textId="5B7B918A" w:rsidR="00CE580D" w:rsidRPr="00CE580D" w:rsidRDefault="00CE580D" w:rsidP="00CE580D">
            <w:pPr>
              <w:jc w:val="both"/>
              <w:rPr>
                <w:bCs/>
                <w:szCs w:val="24"/>
                <w:lang w:eastAsia="en-US"/>
              </w:rPr>
            </w:pPr>
            <w:r w:rsidRPr="00CE580D">
              <w:rPr>
                <w:bCs/>
                <w:szCs w:val="24"/>
                <w:lang w:eastAsia="en-US"/>
              </w:rPr>
              <w:t xml:space="preserve">g) iš anksto prieš atrankos procesą nustatomos techninės pajėgumų teikėjų dalyvavimo charakteristikos; </w:t>
            </w:r>
          </w:p>
          <w:p w14:paraId="268FDBD7" w14:textId="2E8B4FA6" w:rsidR="00CE580D" w:rsidRPr="00CE580D" w:rsidRDefault="00CE580D" w:rsidP="00CE580D">
            <w:pPr>
              <w:jc w:val="both"/>
              <w:rPr>
                <w:bCs/>
                <w:szCs w:val="24"/>
                <w:lang w:eastAsia="en-US"/>
              </w:rPr>
            </w:pPr>
            <w:r w:rsidRPr="00CE580D">
              <w:rPr>
                <w:bCs/>
                <w:szCs w:val="24"/>
                <w:lang w:eastAsia="en-US"/>
              </w:rPr>
              <w:t xml:space="preserve">h) sudaromos galimybės dalyvauti visiems ištekliams, kurie gali užtikrinti reikiamas technines veikimo charakteristikas, įskaitant elektros energijos kaupimą ir paklausos valdymą; </w:t>
            </w:r>
          </w:p>
          <w:p w14:paraId="77F19E2B" w14:textId="317B5817" w:rsidR="00CE580D" w:rsidRPr="00CE580D" w:rsidRDefault="00CE580D" w:rsidP="00CE580D">
            <w:pPr>
              <w:jc w:val="both"/>
              <w:rPr>
                <w:bCs/>
                <w:szCs w:val="24"/>
                <w:lang w:eastAsia="en-US"/>
              </w:rPr>
            </w:pPr>
            <w:r w:rsidRPr="00CE580D">
              <w:rPr>
                <w:bCs/>
                <w:szCs w:val="24"/>
                <w:lang w:eastAsia="en-US"/>
              </w:rPr>
              <w:t xml:space="preserve">i) taikomos atitinkamos sankcijos pajėgumų teikėjams, kurie yra nepasirengę, kai sistema veikia nepalankiausiomis sąlygomis. </w:t>
            </w:r>
          </w:p>
          <w:p w14:paraId="400CA0CD" w14:textId="44BF4701" w:rsidR="001E71E5" w:rsidRPr="001E71E5" w:rsidRDefault="001E71E5" w:rsidP="00CE580D">
            <w:pPr>
              <w:jc w:val="both"/>
              <w:rPr>
                <w:bCs/>
                <w:szCs w:val="24"/>
                <w:lang w:eastAsia="en-US"/>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63E8AE27" w14:textId="77777777" w:rsidR="007720DD" w:rsidRPr="00983B57" w:rsidRDefault="007720DD" w:rsidP="007720DD">
            <w:pPr>
              <w:jc w:val="both"/>
              <w:rPr>
                <w:color w:val="000000"/>
                <w:szCs w:val="24"/>
              </w:rPr>
            </w:pPr>
            <w:r w:rsidRPr="00983B57">
              <w:rPr>
                <w:b/>
                <w:bCs/>
                <w:szCs w:val="24"/>
              </w:rPr>
              <w:t xml:space="preserve">7 straipsnis. </w:t>
            </w:r>
            <w:r w:rsidRPr="00983B57">
              <w:rPr>
                <w:b/>
                <w:bCs/>
                <w:color w:val="000000"/>
                <w:szCs w:val="24"/>
              </w:rPr>
              <w:t>Įstatymo papildymas dešimtuoju</w:t>
            </w:r>
            <w:r w:rsidRPr="00983B57">
              <w:rPr>
                <w:b/>
                <w:caps/>
                <w:szCs w:val="24"/>
                <w:vertAlign w:val="superscript"/>
              </w:rPr>
              <w:t>1</w:t>
            </w:r>
            <w:r w:rsidRPr="00983B57">
              <w:rPr>
                <w:b/>
                <w:bCs/>
                <w:color w:val="000000"/>
                <w:szCs w:val="24"/>
              </w:rPr>
              <w:t> skirsniu</w:t>
            </w:r>
          </w:p>
          <w:p w14:paraId="27FD4710" w14:textId="77777777" w:rsidR="007D7043" w:rsidRDefault="007D7043" w:rsidP="007D7043">
            <w:pPr>
              <w:jc w:val="both"/>
              <w:rPr>
                <w:rFonts w:eastAsia="Calibri"/>
                <w:b/>
                <w:szCs w:val="24"/>
              </w:rPr>
            </w:pPr>
          </w:p>
          <w:p w14:paraId="16A4F6A1" w14:textId="33CBAECA" w:rsidR="007D7043" w:rsidRPr="00983B57" w:rsidRDefault="007D7043" w:rsidP="007D7043">
            <w:pPr>
              <w:jc w:val="both"/>
              <w:rPr>
                <w:rFonts w:eastAsia="Calibri"/>
                <w:b/>
                <w:szCs w:val="24"/>
              </w:rPr>
            </w:pPr>
            <w:r w:rsidRPr="00983B57">
              <w:rPr>
                <w:rFonts w:eastAsia="Calibri"/>
                <w:b/>
                <w:szCs w:val="24"/>
              </w:rPr>
              <w:t>70</w:t>
            </w:r>
            <w:r w:rsidRPr="00983B57">
              <w:rPr>
                <w:b/>
                <w:caps/>
                <w:szCs w:val="24"/>
                <w:vertAlign w:val="superscript"/>
              </w:rPr>
              <w:t>1</w:t>
            </w:r>
            <w:r w:rsidRPr="00983B57">
              <w:rPr>
                <w:rFonts w:eastAsia="Calibri"/>
                <w:b/>
                <w:szCs w:val="24"/>
              </w:rPr>
              <w:t xml:space="preserve"> straipsnis. Pajėgumų užtikrinimo mechanizmo įgyvendinimo pagrindai ir sąlygos</w:t>
            </w:r>
          </w:p>
          <w:p w14:paraId="51963795" w14:textId="5244F8DD" w:rsidR="007D7043" w:rsidRDefault="007D7043" w:rsidP="00B56CB0">
            <w:pPr>
              <w:ind w:firstLine="204"/>
              <w:jc w:val="both"/>
              <w:rPr>
                <w:rFonts w:eastAsia="Calibri"/>
                <w:szCs w:val="24"/>
              </w:rPr>
            </w:pPr>
            <w:r w:rsidRPr="00983B57">
              <w:rPr>
                <w:rFonts w:eastAsia="Calibri"/>
                <w:szCs w:val="24"/>
              </w:rPr>
              <w:t>1. Siekiant užtikrinti elektros energetikos sistemos adekvatumą, šio įstatymo ir jį įgyvendinančių teisės aktų nustatyta tvarka įgyvendinamas pajėgumų užtikrinimo mechanizmas. Pajėgumų užtikrinimo mechanizmo įgyvendinimas sudaro sąlygas technologinio neutralumo principu ir konkurencija tarp rinkos dalyvių elektros energetikos sektoriuje grindžiamos elektros energetikos sistemos plėtrai.</w:t>
            </w:r>
            <w:r w:rsidR="000B6A45">
              <w:rPr>
                <w:rFonts w:eastAsia="Calibri"/>
                <w:szCs w:val="24"/>
              </w:rPr>
              <w:t xml:space="preserve"> </w:t>
            </w:r>
          </w:p>
          <w:p w14:paraId="3B0C09AE" w14:textId="7B352D63" w:rsidR="00CD2A37" w:rsidRPr="00983B57" w:rsidRDefault="00CD2A37" w:rsidP="00B56CB0">
            <w:pPr>
              <w:ind w:firstLine="204"/>
              <w:jc w:val="both"/>
              <w:rPr>
                <w:rFonts w:eastAsia="Calibri"/>
                <w:szCs w:val="24"/>
              </w:rPr>
            </w:pPr>
            <w:r>
              <w:rPr>
                <w:spacing w:val="-2"/>
                <w:szCs w:val="24"/>
              </w:rPr>
              <w:t>&lt;...&gt;</w:t>
            </w:r>
          </w:p>
          <w:p w14:paraId="308F289C" w14:textId="77777777" w:rsidR="007D7043" w:rsidRPr="00983B57" w:rsidRDefault="007D7043" w:rsidP="00B56CB0">
            <w:pPr>
              <w:ind w:firstLine="204"/>
              <w:jc w:val="both"/>
              <w:rPr>
                <w:color w:val="000000"/>
                <w:szCs w:val="24"/>
              </w:rPr>
            </w:pPr>
            <w:r w:rsidRPr="00983B57">
              <w:rPr>
                <w:color w:val="000000"/>
                <w:szCs w:val="24"/>
              </w:rPr>
              <w:t xml:space="preserve">3. Pajėgumų užtikrinimo mechanizmas yra įgyvendinamas organizuojant pajėgumų aukcionus. Pajėgumų aukcionai vykdomi technologinio neutralumo principu, vadovaujantis šiuo įstatymu, Pajėgumų užtikrinimo mechanizmo įgyvendinimo tvarkos aprašu ir Pajėgumų aukcionų nuostatais. Pajėgumų aukcionų nuostatai reglamentuoja kvalifikacinės atrankos ir pajėgumų aukcionų organizavimo procedūrinius reikalavimus, esamiems ir planuojamiems pajėgumus užtikrinantiems įrenginiams taikomus techninius reikalavimus, aukciono rezultatų tvirtinimo ir skelbimo tvarką, pajėgumų užtikrinimo prievolės perleidimo reikalavimus. Pajėgumų </w:t>
            </w:r>
            <w:r w:rsidRPr="00983B57">
              <w:rPr>
                <w:color w:val="000000"/>
                <w:szCs w:val="24"/>
              </w:rPr>
              <w:lastRenderedPageBreak/>
              <w:t>aukcionų nuostatus rengia perdavimo sistemos operatorius ir teikia Tarybai tvirtinti.</w:t>
            </w:r>
          </w:p>
          <w:p w14:paraId="7F15ACA1" w14:textId="77777777" w:rsidR="007D7043" w:rsidRPr="00983B57" w:rsidRDefault="007D7043" w:rsidP="00B56CB0">
            <w:pPr>
              <w:ind w:firstLine="204"/>
              <w:jc w:val="both"/>
              <w:rPr>
                <w:color w:val="000000"/>
                <w:szCs w:val="24"/>
              </w:rPr>
            </w:pPr>
            <w:r w:rsidRPr="00983B57">
              <w:rPr>
                <w:color w:val="000000"/>
                <w:szCs w:val="24"/>
              </w:rPr>
              <w:t xml:space="preserve">4. Pajėgumų aukcione gali dalyvauti šiame įstatyme </w:t>
            </w:r>
            <w:r w:rsidRPr="00983B57">
              <w:t xml:space="preserve">nustatytus kriterijus atitinkantys asmenys, </w:t>
            </w:r>
            <w:r>
              <w:t xml:space="preserve">kurie </w:t>
            </w:r>
            <w:r w:rsidRPr="00983B57">
              <w:t>vald</w:t>
            </w:r>
            <w:r>
              <w:t>o esamus ir (ar)</w:t>
            </w:r>
            <w:r w:rsidRPr="00983B57">
              <w:t xml:space="preserve"> </w:t>
            </w:r>
            <w:r>
              <w:t xml:space="preserve">planuojamus </w:t>
            </w:r>
            <w:r w:rsidRPr="00983B57">
              <w:t>pajėgumus užtikrinančius įrenginius, atitinkančius Pajėgumų aukcionų nuostatuose nurodytus techninius reikalavimus</w:t>
            </w:r>
            <w:r w:rsidRPr="00983B57">
              <w:rPr>
                <w:color w:val="000000"/>
                <w:szCs w:val="24"/>
              </w:rPr>
              <w:t>.</w:t>
            </w:r>
          </w:p>
          <w:p w14:paraId="0483A4C5" w14:textId="79FF15F6" w:rsidR="007D7043" w:rsidRPr="00983B57" w:rsidRDefault="00292F40" w:rsidP="00B56CB0">
            <w:pPr>
              <w:ind w:firstLine="204"/>
              <w:jc w:val="both"/>
              <w:rPr>
                <w:rFonts w:eastAsia="Calibri"/>
                <w:szCs w:val="24"/>
              </w:rPr>
            </w:pPr>
            <w:r>
              <w:rPr>
                <w:spacing w:val="-2"/>
                <w:szCs w:val="24"/>
              </w:rPr>
              <w:t>&lt;...&gt;</w:t>
            </w:r>
            <w:r w:rsidR="007D7043" w:rsidRPr="00983B57">
              <w:rPr>
                <w:rFonts w:eastAsia="Calibri"/>
                <w:szCs w:val="24"/>
              </w:rPr>
              <w:t xml:space="preserve"> </w:t>
            </w:r>
          </w:p>
          <w:p w14:paraId="1FB36F0C" w14:textId="77777777" w:rsidR="00117443" w:rsidRPr="00983B57" w:rsidRDefault="00117443" w:rsidP="00015184">
            <w:pPr>
              <w:tabs>
                <w:tab w:val="left" w:pos="2410"/>
              </w:tabs>
              <w:jc w:val="both"/>
              <w:rPr>
                <w:b/>
                <w:color w:val="000000"/>
                <w:szCs w:val="24"/>
              </w:rPr>
            </w:pPr>
            <w:r w:rsidRPr="00983B57">
              <w:rPr>
                <w:b/>
                <w:bCs/>
                <w:color w:val="000000"/>
                <w:szCs w:val="24"/>
              </w:rPr>
              <w:t>70</w:t>
            </w:r>
            <w:r w:rsidRPr="00983B57">
              <w:rPr>
                <w:b/>
                <w:bCs/>
                <w:color w:val="000000"/>
                <w:szCs w:val="24"/>
                <w:vertAlign w:val="superscript"/>
              </w:rPr>
              <w:t>3</w:t>
            </w:r>
            <w:r w:rsidRPr="00983B57">
              <w:rPr>
                <w:b/>
                <w:bCs/>
                <w:color w:val="000000"/>
                <w:szCs w:val="24"/>
              </w:rPr>
              <w:t xml:space="preserve"> straipsnis.</w:t>
            </w:r>
            <w:r w:rsidRPr="00983B57">
              <w:rPr>
                <w:b/>
                <w:color w:val="000000"/>
                <w:szCs w:val="24"/>
              </w:rPr>
              <w:t xml:space="preserve"> Kvalifikacinė atranka</w:t>
            </w:r>
          </w:p>
          <w:p w14:paraId="41B7DFA6" w14:textId="77777777" w:rsidR="00117443" w:rsidRPr="00983B57" w:rsidRDefault="00117443" w:rsidP="00015184">
            <w:pPr>
              <w:ind w:firstLine="204"/>
              <w:jc w:val="both"/>
              <w:rPr>
                <w:color w:val="000000"/>
                <w:szCs w:val="24"/>
              </w:rPr>
            </w:pPr>
            <w:r w:rsidRPr="00983B57">
              <w:rPr>
                <w:color w:val="000000"/>
                <w:szCs w:val="24"/>
              </w:rPr>
              <w:t xml:space="preserve">1. Kvalifikacinę atranką šio įstatymo ir Pajėgumų aukcionų nuostatų nustatyta tvarka ir terminais vykdo perdavimo sistemos operatorius. Kvalifikacinėje atrankoje yra vertinama asmenų, </w:t>
            </w:r>
            <w:r>
              <w:rPr>
                <w:color w:val="000000"/>
                <w:szCs w:val="24"/>
              </w:rPr>
              <w:t xml:space="preserve">kurie valdo esamus </w:t>
            </w:r>
            <w:r w:rsidRPr="00983B57">
              <w:rPr>
                <w:color w:val="000000"/>
                <w:szCs w:val="24"/>
              </w:rPr>
              <w:t xml:space="preserve">ar </w:t>
            </w:r>
            <w:r>
              <w:rPr>
                <w:color w:val="000000"/>
                <w:szCs w:val="24"/>
              </w:rPr>
              <w:t>planuojamus</w:t>
            </w:r>
            <w:r w:rsidRPr="00983B57">
              <w:rPr>
                <w:color w:val="000000"/>
                <w:szCs w:val="24"/>
              </w:rPr>
              <w:t xml:space="preserve"> pajėgumus užtikrinančius įrenginius, atitiktis šio straipsnio 7 dalyje nustatytiems reikalavimams ir šių asmenų valdomų </w:t>
            </w:r>
            <w:r>
              <w:rPr>
                <w:color w:val="000000"/>
                <w:szCs w:val="24"/>
              </w:rPr>
              <w:t xml:space="preserve">esamų </w:t>
            </w:r>
            <w:r w:rsidRPr="00983B57">
              <w:rPr>
                <w:color w:val="000000"/>
                <w:szCs w:val="24"/>
              </w:rPr>
              <w:t>ar planuojamų pajėgumus užtikrinančių įrenginių atitiktis Pajėgumų aukcionų nuostatuose nurodytiems techniniams reikalavimams.</w:t>
            </w:r>
          </w:p>
          <w:p w14:paraId="460BB74D" w14:textId="77777777" w:rsidR="00117443" w:rsidRPr="00983B57" w:rsidRDefault="00117443" w:rsidP="00015184">
            <w:pPr>
              <w:ind w:firstLine="204"/>
              <w:jc w:val="both"/>
              <w:rPr>
                <w:color w:val="000000"/>
                <w:szCs w:val="24"/>
              </w:rPr>
            </w:pPr>
            <w:r w:rsidRPr="00983B57">
              <w:rPr>
                <w:color w:val="000000"/>
                <w:szCs w:val="24"/>
              </w:rPr>
              <w:t xml:space="preserve">2. Asmenys, valdantys esamus pajėgumus užtikrinančius įrenginius Lietuvos Respublikoje, kurių galia yra ne mažesnė kaip 1 MW, turi pareigą dalyvauti kvalifikacinėje atrankoje ir perdavimo sistemos operatoriui kvalifikacinės atrankos metu teikti šio straipsnio </w:t>
            </w:r>
            <w:r>
              <w:rPr>
                <w:color w:val="000000"/>
                <w:szCs w:val="24"/>
              </w:rPr>
              <w:br/>
            </w:r>
            <w:r w:rsidRPr="00983B57">
              <w:rPr>
                <w:color w:val="000000"/>
                <w:szCs w:val="24"/>
              </w:rPr>
              <w:t>7 dalyje nustatytas kvalifikacinės atrankos sąlygas įrodančius dokumentus ir informaciją ir (ar) dokumentus apie valdomų ar planuojamų pajėgumus užtikrinančių įrenginių atitiktį Pajėgumų aukcionų nuostatuose nurodytiems techniniams reikalavimams.</w:t>
            </w:r>
          </w:p>
          <w:p w14:paraId="3F819FA8" w14:textId="5AF107C8" w:rsidR="00457EB4" w:rsidRPr="001938B7" w:rsidRDefault="00117443" w:rsidP="00015184">
            <w:pPr>
              <w:ind w:firstLine="204"/>
              <w:jc w:val="both"/>
              <w:rPr>
                <w:b/>
                <w:szCs w:val="24"/>
              </w:rPr>
            </w:pPr>
            <w:r w:rsidRPr="00983B57">
              <w:rPr>
                <w:color w:val="000000"/>
                <w:szCs w:val="24"/>
              </w:rPr>
              <w:t>3. Asmenys, valdantys esamus pajėgumus užtikrinanči</w:t>
            </w:r>
            <w:r>
              <w:rPr>
                <w:color w:val="000000"/>
                <w:szCs w:val="24"/>
              </w:rPr>
              <w:t>us</w:t>
            </w:r>
            <w:r w:rsidRPr="00983B57">
              <w:rPr>
                <w:color w:val="000000"/>
                <w:szCs w:val="24"/>
              </w:rPr>
              <w:t xml:space="preserve"> įrenginius Lietuvos Respublikoje, kurių galia yra mažesnė kaip 1 MW, ar </w:t>
            </w:r>
            <w:r>
              <w:rPr>
                <w:color w:val="000000"/>
                <w:szCs w:val="24"/>
              </w:rPr>
              <w:t>planuojantys naujus</w:t>
            </w:r>
            <w:r w:rsidRPr="00983B57">
              <w:rPr>
                <w:color w:val="000000"/>
                <w:szCs w:val="24"/>
              </w:rPr>
              <w:t xml:space="preserve"> pajėgumus užtikrinanči</w:t>
            </w:r>
            <w:r>
              <w:rPr>
                <w:color w:val="000000"/>
                <w:szCs w:val="24"/>
              </w:rPr>
              <w:t>us</w:t>
            </w:r>
            <w:r w:rsidRPr="00983B57">
              <w:rPr>
                <w:color w:val="000000"/>
                <w:szCs w:val="24"/>
              </w:rPr>
              <w:t xml:space="preserve"> įrenginius, ar laimėję išankstinį pajėgumų aukcioną ir pageidaujantys dalyvauti pagrindiniame ar papildomame pajėgumų aukcione, turi dalyvauti kvalifikacinėje atrankoje ir </w:t>
            </w:r>
            <w:r w:rsidRPr="00983B57">
              <w:rPr>
                <w:color w:val="000000"/>
                <w:szCs w:val="24"/>
              </w:rPr>
              <w:lastRenderedPageBreak/>
              <w:t xml:space="preserve">perdavimo sistemos operatoriui pajėgumų kvalifikacinės atrankos metu teikti šio straipsnio </w:t>
            </w:r>
            <w:r>
              <w:rPr>
                <w:color w:val="000000"/>
                <w:szCs w:val="24"/>
              </w:rPr>
              <w:br/>
            </w:r>
            <w:r w:rsidRPr="00983B57">
              <w:rPr>
                <w:color w:val="000000"/>
                <w:szCs w:val="24"/>
              </w:rPr>
              <w:t xml:space="preserve">7 dalyje nustatytas kvalifikacinės atrankos sąlygas įrodančius dokumentus ir informaciją ir (ar) dokumentus apie valdomų ar planuojamų pajėgumus užtikrinančių įrenginių atitiktį, sutelktų ne mažesnės kaip 1 MW galios elektros energijos gamybos, kaupimo ar </w:t>
            </w:r>
            <w:r w:rsidRPr="00983B57">
              <w:rPr>
                <w:rFonts w:eastAsia="Calibri"/>
                <w:szCs w:val="24"/>
              </w:rPr>
              <w:t>nepriklausomo paklausos telkėjo įrenginių,</w:t>
            </w:r>
            <w:r w:rsidRPr="00983B57">
              <w:rPr>
                <w:color w:val="000000"/>
                <w:szCs w:val="24"/>
              </w:rPr>
              <w:t xml:space="preserve"> Pajėgumų aukcionų nuostatuose nurodytiems techniniams reikalavimams.</w:t>
            </w:r>
            <w:bookmarkStart w:id="0" w:name="_GoBack"/>
            <w:bookmarkEnd w:id="0"/>
          </w:p>
        </w:tc>
        <w:tc>
          <w:tcPr>
            <w:tcW w:w="2135" w:type="dxa"/>
            <w:tcBorders>
              <w:left w:val="single" w:sz="4" w:space="0" w:color="auto"/>
            </w:tcBorders>
          </w:tcPr>
          <w:p w14:paraId="6AD6B8EF" w14:textId="02B16A95" w:rsidR="00457EB4" w:rsidRDefault="00233457" w:rsidP="00467FD4">
            <w:pPr>
              <w:rPr>
                <w:b/>
                <w:szCs w:val="24"/>
              </w:rPr>
            </w:pPr>
            <w:r>
              <w:rPr>
                <w:b/>
                <w:szCs w:val="24"/>
              </w:rPr>
              <w:lastRenderedPageBreak/>
              <w:t>Iš dalies įgyvendinta</w:t>
            </w:r>
          </w:p>
        </w:tc>
      </w:tr>
      <w:tr w:rsidR="00457EB4" w:rsidRPr="00467FD4" w14:paraId="6CBF8B99" w14:textId="77777777" w:rsidTr="00467FD4">
        <w:tc>
          <w:tcPr>
            <w:tcW w:w="6487" w:type="dxa"/>
            <w:tcBorders>
              <w:right w:val="single" w:sz="4" w:space="0" w:color="auto"/>
            </w:tcBorders>
            <w:shd w:val="clear" w:color="auto" w:fill="auto"/>
          </w:tcPr>
          <w:p w14:paraId="45E7AA55" w14:textId="77777777" w:rsidR="00837C9D" w:rsidRPr="00837C9D" w:rsidRDefault="00837C9D" w:rsidP="00837C9D">
            <w:pPr>
              <w:jc w:val="both"/>
              <w:rPr>
                <w:b/>
                <w:szCs w:val="24"/>
                <w:lang w:eastAsia="en-US"/>
              </w:rPr>
            </w:pPr>
            <w:r w:rsidRPr="00837C9D">
              <w:rPr>
                <w:b/>
                <w:szCs w:val="24"/>
                <w:lang w:eastAsia="en-US"/>
              </w:rPr>
              <w:lastRenderedPageBreak/>
              <w:t xml:space="preserve">25 straipsnis </w:t>
            </w:r>
          </w:p>
          <w:p w14:paraId="637E556B" w14:textId="77777777" w:rsidR="00837C9D" w:rsidRPr="00837C9D" w:rsidRDefault="00837C9D" w:rsidP="00837C9D">
            <w:pPr>
              <w:jc w:val="both"/>
              <w:rPr>
                <w:b/>
                <w:szCs w:val="24"/>
                <w:lang w:eastAsia="en-US"/>
              </w:rPr>
            </w:pPr>
            <w:r w:rsidRPr="00837C9D">
              <w:rPr>
                <w:b/>
                <w:szCs w:val="24"/>
                <w:lang w:eastAsia="en-US"/>
              </w:rPr>
              <w:t xml:space="preserve">Patikimumo standartas </w:t>
            </w:r>
          </w:p>
          <w:p w14:paraId="009FE236" w14:textId="77777777" w:rsidR="00837C9D" w:rsidRPr="00837C9D" w:rsidRDefault="00837C9D" w:rsidP="00837C9D">
            <w:pPr>
              <w:jc w:val="both"/>
              <w:rPr>
                <w:bCs/>
                <w:szCs w:val="24"/>
                <w:lang w:eastAsia="en-US"/>
              </w:rPr>
            </w:pPr>
            <w:r w:rsidRPr="00837C9D">
              <w:rPr>
                <w:bCs/>
                <w:szCs w:val="24"/>
                <w:lang w:eastAsia="en-US"/>
              </w:rPr>
              <w:t xml:space="preserve">1. Taikydamos pajėgumų mechanizmus, valstybės narės turi būti nustačiusios patikimumo standartą. Patikimumo standartas skaidriai nurodo reikiamą valstybės narės energijos tiekimo saugumo lygį. Tarpvalstybinės prekybos zonų atveju tokius patikimumo standartus bendrai nustato atitinkamos institucijos. </w:t>
            </w:r>
          </w:p>
          <w:p w14:paraId="10B5DA28" w14:textId="0EE2655E" w:rsidR="00837C9D" w:rsidRPr="00837C9D" w:rsidRDefault="007F6355" w:rsidP="007F6355">
            <w:pPr>
              <w:ind w:firstLine="204"/>
              <w:jc w:val="both"/>
              <w:rPr>
                <w:bCs/>
                <w:szCs w:val="24"/>
                <w:lang w:eastAsia="en-US"/>
              </w:rPr>
            </w:pPr>
            <w:r>
              <w:rPr>
                <w:spacing w:val="-2"/>
                <w:szCs w:val="24"/>
              </w:rPr>
              <w:t>&lt;...&gt;</w:t>
            </w:r>
            <w:r w:rsidRPr="00983B57">
              <w:rPr>
                <w:rFonts w:eastAsia="Calibri"/>
                <w:szCs w:val="24"/>
              </w:rPr>
              <w:t xml:space="preserve"> </w:t>
            </w:r>
          </w:p>
          <w:p w14:paraId="2B7EEE46" w14:textId="6E2EF60B" w:rsidR="00837C9D" w:rsidRDefault="00837C9D" w:rsidP="00837C9D">
            <w:pPr>
              <w:jc w:val="both"/>
              <w:rPr>
                <w:bCs/>
                <w:szCs w:val="24"/>
                <w:lang w:eastAsia="en-US"/>
              </w:rPr>
            </w:pPr>
            <w:r w:rsidRPr="00837C9D">
              <w:rPr>
                <w:bCs/>
                <w:szCs w:val="24"/>
                <w:lang w:eastAsia="en-US"/>
              </w:rPr>
              <w:t xml:space="preserve">3. Patikimumo standartas apskaičiuojamas naudojant bent prarastos apkrovos vertę ir naujo dalyvio kainą tam tikru laikotarpiu ir turi būti išreiškiamas parametrais „numatyta energija, kuri nebuvo tiekiama“ ir „numatomas apkrovos sumažėjimas“. </w:t>
            </w:r>
          </w:p>
          <w:p w14:paraId="1AA206C0" w14:textId="77777777" w:rsidR="00A72001" w:rsidRPr="00837C9D" w:rsidRDefault="00A72001" w:rsidP="00837C9D">
            <w:pPr>
              <w:jc w:val="both"/>
              <w:rPr>
                <w:bCs/>
                <w:szCs w:val="24"/>
                <w:lang w:eastAsia="en-US"/>
              </w:rPr>
            </w:pPr>
          </w:p>
          <w:p w14:paraId="69BA34AC" w14:textId="5FFA715E" w:rsidR="00457EB4" w:rsidRPr="00467FD4" w:rsidRDefault="00837C9D" w:rsidP="007C2044">
            <w:pPr>
              <w:jc w:val="both"/>
              <w:rPr>
                <w:b/>
                <w:szCs w:val="24"/>
                <w:lang w:eastAsia="en-US"/>
              </w:rPr>
            </w:pPr>
            <w:r w:rsidRPr="00837C9D">
              <w:rPr>
                <w:bCs/>
                <w:szCs w:val="24"/>
                <w:lang w:eastAsia="en-US"/>
              </w:rPr>
              <w:t xml:space="preserve">4. Kai taikomi pajėgumų mechanizmai, parametrus, lemiančius pagal pajėgumų mechanizmą perkamo pajėgumo kiekį, tvirtina valstybė narė arba kita valstybės narės paskirta kompetentinga institucija, remdamasi reguliavimo institucijos pasiūlymu. </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76A6A41C" w14:textId="77777777" w:rsidR="00DE423E" w:rsidRPr="00983B57" w:rsidRDefault="00DE423E" w:rsidP="00DE423E">
            <w:pPr>
              <w:tabs>
                <w:tab w:val="center" w:pos="4680"/>
                <w:tab w:val="right" w:pos="9360"/>
              </w:tabs>
              <w:ind w:firstLine="204"/>
              <w:rPr>
                <w:b/>
                <w:szCs w:val="24"/>
              </w:rPr>
            </w:pPr>
            <w:r w:rsidRPr="00983B57">
              <w:rPr>
                <w:b/>
                <w:bCs/>
                <w:szCs w:val="24"/>
              </w:rPr>
              <w:t xml:space="preserve">5 </w:t>
            </w:r>
            <w:r w:rsidRPr="00983B57">
              <w:rPr>
                <w:b/>
                <w:szCs w:val="24"/>
              </w:rPr>
              <w:t>straipsnis. 18 straipsnio pakeitimas</w:t>
            </w:r>
          </w:p>
          <w:p w14:paraId="71F2BB6F" w14:textId="77777777" w:rsidR="00DE423E" w:rsidRPr="00983B57" w:rsidRDefault="00DE423E" w:rsidP="00DE423E">
            <w:pPr>
              <w:tabs>
                <w:tab w:val="center" w:pos="4680"/>
                <w:tab w:val="right" w:pos="9360"/>
              </w:tabs>
              <w:ind w:firstLine="204"/>
              <w:rPr>
                <w:bCs/>
                <w:szCs w:val="24"/>
              </w:rPr>
            </w:pPr>
            <w:r w:rsidRPr="00983B57">
              <w:rPr>
                <w:bCs/>
                <w:szCs w:val="24"/>
              </w:rPr>
              <w:t>Papildyti 18 straipsnį 1</w:t>
            </w:r>
            <w:r w:rsidRPr="00983B57">
              <w:rPr>
                <w:bCs/>
                <w:szCs w:val="24"/>
                <w:vertAlign w:val="superscript"/>
              </w:rPr>
              <w:t>1</w:t>
            </w:r>
            <w:r w:rsidRPr="00983B57">
              <w:rPr>
                <w:bCs/>
                <w:szCs w:val="24"/>
              </w:rPr>
              <w:t xml:space="preserve"> dalimi:</w:t>
            </w:r>
          </w:p>
          <w:p w14:paraId="080D7582" w14:textId="77777777" w:rsidR="00DE423E" w:rsidRPr="00983B57" w:rsidRDefault="00DE423E" w:rsidP="00DE423E">
            <w:pPr>
              <w:tabs>
                <w:tab w:val="center" w:pos="4680"/>
                <w:tab w:val="right" w:pos="9360"/>
              </w:tabs>
              <w:ind w:firstLine="204"/>
              <w:jc w:val="both"/>
              <w:rPr>
                <w:szCs w:val="24"/>
              </w:rPr>
            </w:pPr>
            <w:r w:rsidRPr="00983B57">
              <w:rPr>
                <w:szCs w:val="24"/>
              </w:rPr>
              <w:t>„1</w:t>
            </w:r>
            <w:r w:rsidRPr="00983B57">
              <w:rPr>
                <w:szCs w:val="24"/>
                <w:vertAlign w:val="superscript"/>
              </w:rPr>
              <w:t>1</w:t>
            </w:r>
            <w:r w:rsidRPr="00983B57">
              <w:rPr>
                <w:szCs w:val="24"/>
              </w:rPr>
              <w:t>. Planuojant ilgalaikę elektros energetikos sistemos plėtrą, perdavimo sistemos operatorius įvertina pajėgumų poreikį, leidžiantį užtikrinti tikėtiną ne didesnę kaip 8 valandų apkrovos praradimo tikimybę per kiekvienus metus.“</w:t>
            </w:r>
          </w:p>
          <w:p w14:paraId="13CAC40D" w14:textId="426BBF56" w:rsidR="008506D0" w:rsidRDefault="008506D0" w:rsidP="00DE423E">
            <w:pPr>
              <w:jc w:val="both"/>
              <w:rPr>
                <w:b/>
                <w:szCs w:val="24"/>
              </w:rPr>
            </w:pPr>
          </w:p>
          <w:p w14:paraId="3A982C72" w14:textId="7AEDE1F5" w:rsidR="00DE423E" w:rsidRDefault="00DE423E" w:rsidP="00DE423E">
            <w:pPr>
              <w:jc w:val="both"/>
              <w:rPr>
                <w:b/>
                <w:szCs w:val="24"/>
              </w:rPr>
            </w:pPr>
          </w:p>
          <w:p w14:paraId="13027E53" w14:textId="61B4F59D" w:rsidR="00DE423E" w:rsidRDefault="00DE423E" w:rsidP="00DE423E">
            <w:pPr>
              <w:jc w:val="both"/>
              <w:rPr>
                <w:b/>
                <w:szCs w:val="24"/>
              </w:rPr>
            </w:pPr>
          </w:p>
          <w:p w14:paraId="763F8277" w14:textId="7D7D07C9" w:rsidR="00DE423E" w:rsidRDefault="00DE423E" w:rsidP="00DE423E">
            <w:pPr>
              <w:jc w:val="both"/>
              <w:rPr>
                <w:b/>
                <w:szCs w:val="24"/>
              </w:rPr>
            </w:pPr>
          </w:p>
          <w:p w14:paraId="40A0B443" w14:textId="70304D1F" w:rsidR="00DE423E" w:rsidRDefault="00DE423E" w:rsidP="00DE423E">
            <w:pPr>
              <w:jc w:val="both"/>
              <w:rPr>
                <w:b/>
                <w:szCs w:val="24"/>
              </w:rPr>
            </w:pPr>
          </w:p>
          <w:p w14:paraId="080B95DA" w14:textId="3F807BC6" w:rsidR="00DE423E" w:rsidRDefault="00DE423E" w:rsidP="00DE423E">
            <w:pPr>
              <w:jc w:val="both"/>
              <w:rPr>
                <w:b/>
                <w:szCs w:val="24"/>
              </w:rPr>
            </w:pPr>
          </w:p>
          <w:p w14:paraId="3F1941E2" w14:textId="4701449B" w:rsidR="00DE423E" w:rsidRDefault="00DE423E" w:rsidP="00DE423E">
            <w:pPr>
              <w:jc w:val="both"/>
              <w:rPr>
                <w:b/>
                <w:szCs w:val="24"/>
              </w:rPr>
            </w:pPr>
          </w:p>
          <w:p w14:paraId="16B1CF6B" w14:textId="77777777" w:rsidR="00DE423E" w:rsidRDefault="00DE423E" w:rsidP="00DE423E">
            <w:pPr>
              <w:jc w:val="both"/>
              <w:rPr>
                <w:b/>
                <w:szCs w:val="24"/>
              </w:rPr>
            </w:pPr>
          </w:p>
          <w:p w14:paraId="64CFEFB3" w14:textId="77777777" w:rsidR="008506D0" w:rsidRPr="00983B57" w:rsidRDefault="008506D0" w:rsidP="00DE423E">
            <w:pPr>
              <w:ind w:firstLine="204"/>
              <w:jc w:val="both"/>
              <w:rPr>
                <w:b/>
                <w:bCs/>
                <w:szCs w:val="24"/>
              </w:rPr>
            </w:pPr>
            <w:r w:rsidRPr="00983B57">
              <w:rPr>
                <w:b/>
                <w:bCs/>
                <w:szCs w:val="24"/>
              </w:rPr>
              <w:t>3 straipsnis. 7 straipsnio pakeitimas</w:t>
            </w:r>
          </w:p>
          <w:p w14:paraId="182BA316" w14:textId="77777777" w:rsidR="008506D0" w:rsidRPr="00983B57" w:rsidRDefault="008506D0" w:rsidP="00DE423E">
            <w:pPr>
              <w:ind w:firstLine="204"/>
              <w:jc w:val="both"/>
              <w:rPr>
                <w:bCs/>
                <w:szCs w:val="24"/>
              </w:rPr>
            </w:pPr>
            <w:r w:rsidRPr="00983B57">
              <w:rPr>
                <w:bCs/>
                <w:szCs w:val="24"/>
              </w:rPr>
              <w:t>1. Papildyti 7 straipsnį nauju 16 punktu:</w:t>
            </w:r>
          </w:p>
          <w:p w14:paraId="27839722" w14:textId="6BEFAB11" w:rsidR="008506D0" w:rsidRPr="001938B7" w:rsidRDefault="008506D0" w:rsidP="007C2044">
            <w:pPr>
              <w:tabs>
                <w:tab w:val="left" w:pos="1276"/>
              </w:tabs>
              <w:ind w:firstLine="204"/>
              <w:jc w:val="both"/>
              <w:rPr>
                <w:b/>
                <w:szCs w:val="24"/>
              </w:rPr>
            </w:pPr>
            <w:r w:rsidRPr="00983B57">
              <w:rPr>
                <w:bCs/>
                <w:szCs w:val="24"/>
              </w:rPr>
              <w:t xml:space="preserve">„16) </w:t>
            </w:r>
            <w:r w:rsidRPr="00983B57">
              <w:rPr>
                <w:szCs w:val="24"/>
              </w:rPr>
              <w:t>derina</w:t>
            </w:r>
            <w:r w:rsidRPr="00983B57">
              <w:rPr>
                <w:bCs/>
                <w:szCs w:val="24"/>
              </w:rPr>
              <w:t xml:space="preserve"> perdavimo sistemos operatoriaus parengtas skirstomų pajėgumų nustatymo prielaidas;“</w:t>
            </w:r>
          </w:p>
        </w:tc>
        <w:tc>
          <w:tcPr>
            <w:tcW w:w="2135" w:type="dxa"/>
            <w:tcBorders>
              <w:left w:val="single" w:sz="4" w:space="0" w:color="auto"/>
            </w:tcBorders>
          </w:tcPr>
          <w:p w14:paraId="7E49B55C" w14:textId="771DB4C6" w:rsidR="00457EB4" w:rsidRDefault="007C2044" w:rsidP="00467FD4">
            <w:pPr>
              <w:rPr>
                <w:b/>
                <w:szCs w:val="24"/>
              </w:rPr>
            </w:pPr>
            <w:r>
              <w:rPr>
                <w:b/>
                <w:szCs w:val="24"/>
              </w:rPr>
              <w:t>Iš dalies įgyvendinta</w:t>
            </w:r>
          </w:p>
        </w:tc>
      </w:tr>
      <w:tr w:rsidR="00457EB4" w:rsidRPr="00467FD4" w14:paraId="61EC3502" w14:textId="77777777" w:rsidTr="00467FD4">
        <w:tc>
          <w:tcPr>
            <w:tcW w:w="6487" w:type="dxa"/>
            <w:tcBorders>
              <w:right w:val="single" w:sz="4" w:space="0" w:color="auto"/>
            </w:tcBorders>
            <w:shd w:val="clear" w:color="auto" w:fill="auto"/>
          </w:tcPr>
          <w:p w14:paraId="47079CD1" w14:textId="77777777" w:rsidR="00A2041D" w:rsidRPr="00A2041D" w:rsidRDefault="00A2041D" w:rsidP="00A2041D">
            <w:pPr>
              <w:jc w:val="both"/>
              <w:rPr>
                <w:b/>
                <w:szCs w:val="24"/>
                <w:lang w:eastAsia="en-US"/>
              </w:rPr>
            </w:pPr>
            <w:r w:rsidRPr="00A2041D">
              <w:rPr>
                <w:b/>
                <w:szCs w:val="24"/>
                <w:lang w:eastAsia="en-US"/>
              </w:rPr>
              <w:t xml:space="preserve">26 straipsnis </w:t>
            </w:r>
          </w:p>
          <w:p w14:paraId="0A17E721" w14:textId="77777777" w:rsidR="00A2041D" w:rsidRPr="00A2041D" w:rsidRDefault="00A2041D" w:rsidP="00A2041D">
            <w:pPr>
              <w:jc w:val="both"/>
              <w:rPr>
                <w:b/>
                <w:szCs w:val="24"/>
                <w:lang w:eastAsia="en-US"/>
              </w:rPr>
            </w:pPr>
            <w:r w:rsidRPr="00A2041D">
              <w:rPr>
                <w:b/>
                <w:szCs w:val="24"/>
                <w:lang w:eastAsia="en-US"/>
              </w:rPr>
              <w:t xml:space="preserve">Tarpvalstybinis dalyvavimas pajėgumų mechanizmuose </w:t>
            </w:r>
          </w:p>
          <w:p w14:paraId="520A915D" w14:textId="77777777" w:rsidR="00A2041D" w:rsidRPr="00A2041D" w:rsidRDefault="00A2041D" w:rsidP="00A2041D">
            <w:pPr>
              <w:jc w:val="both"/>
              <w:rPr>
                <w:bCs/>
                <w:szCs w:val="24"/>
                <w:lang w:eastAsia="en-US"/>
              </w:rPr>
            </w:pPr>
            <w:r w:rsidRPr="00A2041D">
              <w:rPr>
                <w:bCs/>
                <w:szCs w:val="24"/>
                <w:lang w:eastAsia="en-US"/>
              </w:rPr>
              <w:t xml:space="preserve">1. Kituose nei strateginiai rezervai pajėgumų mechanizmuose ir, kai techniškai įmanoma, strateginiuose rezervuose šiame straipsnyje nustatytomis sąlygomis leidžiama tiesiogiai tarpvalstybiniu lygiu dalyvauti pajėgumų teikėjams, esantiems kitoje valstybėje narėje. </w:t>
            </w:r>
          </w:p>
          <w:p w14:paraId="7A777559" w14:textId="77777777" w:rsidR="00A2041D" w:rsidRPr="00A2041D" w:rsidRDefault="00A2041D" w:rsidP="00A2041D">
            <w:pPr>
              <w:jc w:val="both"/>
              <w:rPr>
                <w:bCs/>
                <w:szCs w:val="24"/>
                <w:lang w:eastAsia="en-US"/>
              </w:rPr>
            </w:pPr>
            <w:r w:rsidRPr="00A2041D">
              <w:rPr>
                <w:bCs/>
                <w:szCs w:val="24"/>
                <w:lang w:eastAsia="en-US"/>
              </w:rPr>
              <w:lastRenderedPageBreak/>
              <w:t xml:space="preserve">2. Valstybės narės užtikrina, kad užsienio pajėgumų, kurie gali užtikrinti lygiavertes vidaus pajėgumams technines veikimo charakteristikas, teikėjai galėtų dalyvauti tame pačiame konkurso procese, kuriame dalyvauja vidaus pajėgumų teikėjai. 2019 m. liepos 4 d. jau taikomų pajėgumų mechanizmų atveju valstybės narės gali leisti tiesiogiai įtraukti į tą patį konkurso procesą jungiamąsias linijas kaip užsienio pajėgumus ne ilgiau kaip ketverius metus po 2019 m. liepos 4 d. arba dvejus metus po 11 dalyje nurodytos metodikos patvirtinimo dienos priklausomai nuo to, kuri data yra ankstesnė. </w:t>
            </w:r>
          </w:p>
          <w:p w14:paraId="53DDCBFF" w14:textId="73EECA89" w:rsidR="00A2041D" w:rsidRDefault="00A2041D" w:rsidP="00A2041D">
            <w:pPr>
              <w:jc w:val="both"/>
              <w:rPr>
                <w:bCs/>
                <w:szCs w:val="24"/>
                <w:lang w:eastAsia="en-US"/>
              </w:rPr>
            </w:pPr>
            <w:r w:rsidRPr="00A2041D">
              <w:rPr>
                <w:bCs/>
                <w:szCs w:val="24"/>
                <w:lang w:eastAsia="en-US"/>
              </w:rPr>
              <w:t xml:space="preserve">Valstybės narės gali reikalauti, kad užsienio pajėgumai būtų valstybėje narėje, turinčioje tiesioginę tinklo jungtį, jungiančią tą valstybę narę ir mechanizmą taikančią valstybę narę. </w:t>
            </w:r>
          </w:p>
          <w:p w14:paraId="2ADCCF99" w14:textId="77777777" w:rsidR="006A625C" w:rsidRPr="00A2041D" w:rsidRDefault="006A625C" w:rsidP="00A2041D">
            <w:pPr>
              <w:jc w:val="both"/>
              <w:rPr>
                <w:bCs/>
                <w:szCs w:val="24"/>
                <w:lang w:eastAsia="en-US"/>
              </w:rPr>
            </w:pPr>
          </w:p>
          <w:p w14:paraId="7EE7C86E" w14:textId="2CFD5E92" w:rsidR="00A2041D" w:rsidRDefault="00A2041D" w:rsidP="00A2041D">
            <w:pPr>
              <w:jc w:val="both"/>
              <w:rPr>
                <w:bCs/>
                <w:szCs w:val="24"/>
                <w:lang w:eastAsia="en-US"/>
              </w:rPr>
            </w:pPr>
            <w:r w:rsidRPr="00A2041D">
              <w:rPr>
                <w:bCs/>
                <w:szCs w:val="24"/>
                <w:lang w:eastAsia="en-US"/>
              </w:rPr>
              <w:t xml:space="preserve">3. Valstybės narės nedraudžia savo teritorijoje esančių pajėgumų teikėjams dalyvauti kitų valstybių narių pajėgumų mechanizmuose. </w:t>
            </w:r>
          </w:p>
          <w:p w14:paraId="0F21D8CA" w14:textId="20867761" w:rsidR="00DE6623" w:rsidRDefault="00DE6623" w:rsidP="00A2041D">
            <w:pPr>
              <w:jc w:val="both"/>
              <w:rPr>
                <w:bCs/>
                <w:szCs w:val="24"/>
                <w:lang w:eastAsia="en-US"/>
              </w:rPr>
            </w:pPr>
          </w:p>
          <w:p w14:paraId="619E8E57" w14:textId="1AC79219" w:rsidR="00DE6623" w:rsidRDefault="00DE6623" w:rsidP="00A2041D">
            <w:pPr>
              <w:jc w:val="both"/>
              <w:rPr>
                <w:bCs/>
                <w:szCs w:val="24"/>
                <w:lang w:eastAsia="en-US"/>
              </w:rPr>
            </w:pPr>
          </w:p>
          <w:p w14:paraId="753C9189" w14:textId="2FA82769" w:rsidR="00DE6623" w:rsidRDefault="00DE6623" w:rsidP="00A2041D">
            <w:pPr>
              <w:jc w:val="both"/>
              <w:rPr>
                <w:bCs/>
                <w:szCs w:val="24"/>
                <w:lang w:eastAsia="en-US"/>
              </w:rPr>
            </w:pPr>
          </w:p>
          <w:p w14:paraId="60FCBDAF" w14:textId="5B05DAE8" w:rsidR="00DE6623" w:rsidRDefault="00DE6623" w:rsidP="00A2041D">
            <w:pPr>
              <w:jc w:val="both"/>
              <w:rPr>
                <w:bCs/>
                <w:szCs w:val="24"/>
                <w:lang w:eastAsia="en-US"/>
              </w:rPr>
            </w:pPr>
          </w:p>
          <w:p w14:paraId="0AABEB8C" w14:textId="0078179B" w:rsidR="00DE6623" w:rsidRDefault="00DE6623" w:rsidP="00A2041D">
            <w:pPr>
              <w:jc w:val="both"/>
              <w:rPr>
                <w:bCs/>
                <w:szCs w:val="24"/>
                <w:lang w:eastAsia="en-US"/>
              </w:rPr>
            </w:pPr>
          </w:p>
          <w:p w14:paraId="1A2E3C33" w14:textId="7AC82E6B" w:rsidR="00DE6623" w:rsidRDefault="00DE6623" w:rsidP="00A2041D">
            <w:pPr>
              <w:jc w:val="both"/>
              <w:rPr>
                <w:bCs/>
                <w:szCs w:val="24"/>
                <w:lang w:eastAsia="en-US"/>
              </w:rPr>
            </w:pPr>
          </w:p>
          <w:p w14:paraId="6CA9A58F" w14:textId="434149B9" w:rsidR="00DE6623" w:rsidRDefault="00DE6623" w:rsidP="00A2041D">
            <w:pPr>
              <w:jc w:val="both"/>
              <w:rPr>
                <w:bCs/>
                <w:szCs w:val="24"/>
                <w:lang w:eastAsia="en-US"/>
              </w:rPr>
            </w:pPr>
          </w:p>
          <w:p w14:paraId="3AB611E7" w14:textId="75D9A0A2" w:rsidR="00DE6623" w:rsidRDefault="00DE6623" w:rsidP="00A2041D">
            <w:pPr>
              <w:jc w:val="both"/>
              <w:rPr>
                <w:bCs/>
                <w:szCs w:val="24"/>
                <w:lang w:eastAsia="en-US"/>
              </w:rPr>
            </w:pPr>
          </w:p>
          <w:p w14:paraId="5AA8A81B" w14:textId="134603AE" w:rsidR="00DE6623" w:rsidRDefault="00DE6623" w:rsidP="00A2041D">
            <w:pPr>
              <w:jc w:val="both"/>
              <w:rPr>
                <w:bCs/>
                <w:szCs w:val="24"/>
                <w:lang w:eastAsia="en-US"/>
              </w:rPr>
            </w:pPr>
          </w:p>
          <w:p w14:paraId="0007E4F5" w14:textId="3A8DB55E" w:rsidR="00DE6623" w:rsidRDefault="00EF4681" w:rsidP="00EF4681">
            <w:pPr>
              <w:ind w:firstLine="204"/>
              <w:jc w:val="both"/>
              <w:rPr>
                <w:bCs/>
                <w:szCs w:val="24"/>
                <w:lang w:eastAsia="en-US"/>
              </w:rPr>
            </w:pPr>
            <w:r>
              <w:rPr>
                <w:spacing w:val="-2"/>
                <w:szCs w:val="24"/>
              </w:rPr>
              <w:t>&lt;...&gt;</w:t>
            </w:r>
            <w:r w:rsidRPr="00983B57">
              <w:rPr>
                <w:rFonts w:eastAsia="Calibri"/>
                <w:szCs w:val="24"/>
              </w:rPr>
              <w:t xml:space="preserve"> </w:t>
            </w:r>
          </w:p>
          <w:p w14:paraId="255438CB" w14:textId="2B139652" w:rsidR="00EF4681" w:rsidRDefault="00E55183" w:rsidP="00EF4681">
            <w:pPr>
              <w:ind w:firstLine="204"/>
              <w:jc w:val="both"/>
              <w:rPr>
                <w:rFonts w:eastAsia="Calibri"/>
                <w:szCs w:val="24"/>
              </w:rPr>
            </w:pPr>
            <w:r w:rsidRPr="00E55183">
              <w:rPr>
                <w:bCs/>
                <w:szCs w:val="24"/>
                <w:lang w:eastAsia="en-US"/>
              </w:rPr>
              <w:t>6. Pajėgumų neparengties atveju pajėgumų teikėjai turi mokėti neparengties mokėjimus.</w:t>
            </w:r>
            <w:r w:rsidR="00EF4681">
              <w:rPr>
                <w:spacing w:val="-2"/>
                <w:szCs w:val="24"/>
              </w:rPr>
              <w:t xml:space="preserve"> </w:t>
            </w:r>
            <w:r w:rsidR="00EF4681">
              <w:rPr>
                <w:spacing w:val="-2"/>
                <w:szCs w:val="24"/>
              </w:rPr>
              <w:t>&lt;...&gt;</w:t>
            </w:r>
            <w:r w:rsidR="00EF4681" w:rsidRPr="00983B57">
              <w:rPr>
                <w:rFonts w:eastAsia="Calibri"/>
                <w:szCs w:val="24"/>
              </w:rPr>
              <w:t xml:space="preserve"> </w:t>
            </w:r>
          </w:p>
          <w:p w14:paraId="49AAAB75" w14:textId="40CFCD08" w:rsidR="00DE6623" w:rsidRDefault="00DE6623" w:rsidP="00A2041D">
            <w:pPr>
              <w:jc w:val="both"/>
              <w:rPr>
                <w:bCs/>
                <w:szCs w:val="24"/>
                <w:lang w:eastAsia="en-US"/>
              </w:rPr>
            </w:pPr>
          </w:p>
          <w:p w14:paraId="63EEDEA4" w14:textId="6973A6F2" w:rsidR="00DE6623" w:rsidRDefault="00DE6623" w:rsidP="00A2041D">
            <w:pPr>
              <w:jc w:val="both"/>
              <w:rPr>
                <w:bCs/>
                <w:szCs w:val="24"/>
                <w:lang w:eastAsia="en-US"/>
              </w:rPr>
            </w:pPr>
          </w:p>
          <w:p w14:paraId="14D87CEA" w14:textId="503CDF2B" w:rsidR="00EF4681" w:rsidRDefault="00EF4681" w:rsidP="00A2041D">
            <w:pPr>
              <w:jc w:val="both"/>
              <w:rPr>
                <w:bCs/>
                <w:szCs w:val="24"/>
                <w:lang w:eastAsia="en-US"/>
              </w:rPr>
            </w:pPr>
          </w:p>
          <w:p w14:paraId="4A4A5D5F" w14:textId="21ECDCCE" w:rsidR="00EF4681" w:rsidRDefault="00EF4681" w:rsidP="00A2041D">
            <w:pPr>
              <w:jc w:val="both"/>
              <w:rPr>
                <w:bCs/>
                <w:szCs w:val="24"/>
                <w:lang w:eastAsia="en-US"/>
              </w:rPr>
            </w:pPr>
          </w:p>
          <w:p w14:paraId="16DF95C4" w14:textId="1A814C42" w:rsidR="00EF4681" w:rsidRDefault="00EF4681" w:rsidP="00A2041D">
            <w:pPr>
              <w:jc w:val="both"/>
              <w:rPr>
                <w:bCs/>
                <w:szCs w:val="24"/>
                <w:lang w:eastAsia="en-US"/>
              </w:rPr>
            </w:pPr>
          </w:p>
          <w:p w14:paraId="6D574176" w14:textId="477742A1" w:rsidR="00EF4681" w:rsidRDefault="00EF4681" w:rsidP="00A2041D">
            <w:pPr>
              <w:jc w:val="both"/>
              <w:rPr>
                <w:bCs/>
                <w:szCs w:val="24"/>
                <w:lang w:eastAsia="en-US"/>
              </w:rPr>
            </w:pPr>
          </w:p>
          <w:p w14:paraId="4543F095" w14:textId="5A7152A7" w:rsidR="00EF4681" w:rsidRDefault="00EF4681" w:rsidP="00A2041D">
            <w:pPr>
              <w:jc w:val="both"/>
              <w:rPr>
                <w:bCs/>
                <w:szCs w:val="24"/>
                <w:lang w:eastAsia="en-US"/>
              </w:rPr>
            </w:pPr>
          </w:p>
          <w:p w14:paraId="73B6F71A" w14:textId="77777777" w:rsidR="00EF4681" w:rsidRDefault="00EF4681" w:rsidP="00EF4681">
            <w:pPr>
              <w:ind w:firstLine="204"/>
              <w:jc w:val="both"/>
              <w:rPr>
                <w:rFonts w:eastAsia="Calibri"/>
                <w:szCs w:val="24"/>
              </w:rPr>
            </w:pPr>
            <w:r>
              <w:rPr>
                <w:spacing w:val="-2"/>
                <w:szCs w:val="24"/>
              </w:rPr>
              <w:t>&lt;...&gt;</w:t>
            </w:r>
            <w:r w:rsidRPr="00983B57">
              <w:rPr>
                <w:rFonts w:eastAsia="Calibri"/>
                <w:szCs w:val="24"/>
              </w:rPr>
              <w:t xml:space="preserve"> </w:t>
            </w:r>
          </w:p>
          <w:p w14:paraId="487CB84B" w14:textId="3F689B23" w:rsidR="00EF4681" w:rsidRPr="00A2041D" w:rsidRDefault="00B01851" w:rsidP="00A2041D">
            <w:pPr>
              <w:jc w:val="both"/>
              <w:rPr>
                <w:bCs/>
                <w:szCs w:val="24"/>
                <w:lang w:eastAsia="en-US"/>
              </w:rPr>
            </w:pPr>
            <w:r w:rsidRPr="00B01851">
              <w:rPr>
                <w:bCs/>
                <w:szCs w:val="24"/>
                <w:lang w:eastAsia="en-US"/>
              </w:rPr>
              <w:t>14. Reikalavimus atitinkantys pajėgumų teikėjai pagal 8 dalį paskirstytus pajėgumus gali perleisti vieni kitiems. Reikalavimus atitinkantys pajėgumų teikėjai apie kiekvieną tokį perleidimą praneša 10 dalies a punkte nurodyto registro tvarkytojui.</w:t>
            </w:r>
          </w:p>
          <w:p w14:paraId="0B5B4C1F" w14:textId="4E2EA3F1" w:rsidR="00457EB4" w:rsidRPr="00467FD4" w:rsidRDefault="00457EB4" w:rsidP="00A2041D">
            <w:pPr>
              <w:jc w:val="both"/>
              <w:rPr>
                <w:b/>
                <w:szCs w:val="24"/>
                <w:lang w:eastAsia="en-US"/>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1BABB2E5" w14:textId="77777777" w:rsidR="00BE048F" w:rsidRPr="00983B57" w:rsidRDefault="00BE048F" w:rsidP="00BE048F">
            <w:pPr>
              <w:jc w:val="both"/>
              <w:rPr>
                <w:color w:val="000000"/>
                <w:szCs w:val="24"/>
              </w:rPr>
            </w:pPr>
            <w:r w:rsidRPr="00983B57">
              <w:rPr>
                <w:b/>
                <w:bCs/>
                <w:szCs w:val="24"/>
              </w:rPr>
              <w:lastRenderedPageBreak/>
              <w:t xml:space="preserve">7 straipsnis. </w:t>
            </w:r>
            <w:r w:rsidRPr="00983B57">
              <w:rPr>
                <w:b/>
                <w:bCs/>
                <w:color w:val="000000"/>
                <w:szCs w:val="24"/>
              </w:rPr>
              <w:t>Įstatymo papildymas dešimtuoju</w:t>
            </w:r>
            <w:r w:rsidRPr="00983B57">
              <w:rPr>
                <w:b/>
                <w:caps/>
                <w:szCs w:val="24"/>
                <w:vertAlign w:val="superscript"/>
              </w:rPr>
              <w:t>1</w:t>
            </w:r>
            <w:r w:rsidRPr="00983B57">
              <w:rPr>
                <w:b/>
                <w:bCs/>
                <w:color w:val="000000"/>
                <w:szCs w:val="24"/>
              </w:rPr>
              <w:t> skirsniu</w:t>
            </w:r>
          </w:p>
          <w:p w14:paraId="6950A0C3" w14:textId="77777777" w:rsidR="009E71B0" w:rsidRPr="00983B57" w:rsidRDefault="009E71B0" w:rsidP="009E71B0">
            <w:pPr>
              <w:tabs>
                <w:tab w:val="left" w:pos="2410"/>
              </w:tabs>
              <w:jc w:val="both"/>
              <w:rPr>
                <w:b/>
                <w:bCs/>
                <w:color w:val="000000"/>
                <w:szCs w:val="24"/>
              </w:rPr>
            </w:pPr>
            <w:r w:rsidRPr="00983B57">
              <w:rPr>
                <w:b/>
                <w:bCs/>
                <w:color w:val="000000"/>
                <w:szCs w:val="24"/>
              </w:rPr>
              <w:t>70</w:t>
            </w:r>
            <w:r w:rsidRPr="00983B57">
              <w:rPr>
                <w:b/>
                <w:bCs/>
                <w:color w:val="000000"/>
                <w:szCs w:val="24"/>
                <w:vertAlign w:val="superscript"/>
              </w:rPr>
              <w:t>2</w:t>
            </w:r>
            <w:r w:rsidRPr="00983B57">
              <w:rPr>
                <w:b/>
                <w:bCs/>
                <w:color w:val="000000"/>
                <w:szCs w:val="24"/>
              </w:rPr>
              <w:t xml:space="preserve"> straipsnis.</w:t>
            </w:r>
            <w:r w:rsidRPr="00983B57">
              <w:rPr>
                <w:b/>
                <w:color w:val="000000"/>
                <w:szCs w:val="24"/>
              </w:rPr>
              <w:t xml:space="preserve"> </w:t>
            </w:r>
            <w:r w:rsidRPr="00983B57">
              <w:rPr>
                <w:b/>
                <w:bCs/>
                <w:color w:val="000000"/>
                <w:szCs w:val="24"/>
              </w:rPr>
              <w:t>Išankstinio pajėgumų</w:t>
            </w:r>
            <w:r w:rsidRPr="00983B57">
              <w:rPr>
                <w:b/>
                <w:color w:val="000000"/>
                <w:szCs w:val="24"/>
              </w:rPr>
              <w:t xml:space="preserve"> aukciono organizavimas</w:t>
            </w:r>
          </w:p>
          <w:p w14:paraId="3C7BC4FC" w14:textId="77777777" w:rsidR="00850141" w:rsidRPr="00983B57" w:rsidRDefault="00850141" w:rsidP="00850141">
            <w:pPr>
              <w:ind w:firstLine="204"/>
              <w:jc w:val="both"/>
              <w:rPr>
                <w:bCs/>
                <w:color w:val="000000"/>
                <w:szCs w:val="24"/>
              </w:rPr>
            </w:pPr>
            <w:r w:rsidRPr="00983B57">
              <w:rPr>
                <w:color w:val="000000"/>
                <w:szCs w:val="24"/>
              </w:rPr>
              <w:t xml:space="preserve">1. Išankstiniai </w:t>
            </w:r>
            <w:r w:rsidRPr="00983B57">
              <w:rPr>
                <w:szCs w:val="24"/>
              </w:rPr>
              <w:t>pajėgumų aukcionai yra skelbiami ir organizuojami prieš pagrindinį ar papildomą pajėgumų aukcionus tvarkaraštyje nustatytais terminais ir vykdomi vadovaujantis Pajėgumų aukcionų nuostatuose nustatyta tvarka.</w:t>
            </w:r>
          </w:p>
          <w:p w14:paraId="2D8104C4" w14:textId="3726A7D7" w:rsidR="00457EB4" w:rsidRDefault="00850141" w:rsidP="00850141">
            <w:pPr>
              <w:ind w:firstLine="204"/>
              <w:jc w:val="both"/>
              <w:rPr>
                <w:rFonts w:eastAsia="Calibri"/>
                <w:szCs w:val="24"/>
              </w:rPr>
            </w:pPr>
            <w:r w:rsidRPr="00983B57">
              <w:rPr>
                <w:bCs/>
                <w:color w:val="000000"/>
                <w:szCs w:val="24"/>
              </w:rPr>
              <w:lastRenderedPageBreak/>
              <w:t xml:space="preserve">2. Išankstiniame pajėgumų aukcione </w:t>
            </w:r>
            <w:r w:rsidRPr="00983B57">
              <w:rPr>
                <w:rFonts w:eastAsia="Calibri"/>
                <w:szCs w:val="24"/>
              </w:rPr>
              <w:t xml:space="preserve">turi teisę dalyvauti tik kitos valstybės narės, kurios elektros energetikos sistema jungiamąja linija (ar linijomis) yra sujungta su Lietuvos Respublikos elektros energetikos sistema, fizinis </w:t>
            </w:r>
            <w:r>
              <w:rPr>
                <w:rFonts w:eastAsia="Calibri"/>
                <w:szCs w:val="24"/>
              </w:rPr>
              <w:t xml:space="preserve">asmuo </w:t>
            </w:r>
            <w:r w:rsidRPr="00983B57">
              <w:rPr>
                <w:rFonts w:eastAsia="Calibri"/>
                <w:szCs w:val="24"/>
              </w:rPr>
              <w:t>arba juridinis asmuo, kita organizacija ar jų padalinys, nuosavybės teise ar kitais teisėtais pagrindais valdantys esamus pajėgumus užtikrinančius įrenginius toje valstybėje narėje ir pateikę prievolių įvykdymo užtikrinimą šio įstatymo 70</w:t>
            </w:r>
            <w:r w:rsidRPr="00983B57">
              <w:rPr>
                <w:rFonts w:eastAsia="Calibri"/>
                <w:szCs w:val="24"/>
                <w:vertAlign w:val="superscript"/>
              </w:rPr>
              <w:t>7</w:t>
            </w:r>
            <w:r w:rsidRPr="00983B57">
              <w:rPr>
                <w:rFonts w:eastAsia="Calibri"/>
                <w:szCs w:val="24"/>
              </w:rPr>
              <w:t xml:space="preserve"> straipsnio nustatyta tvarka.</w:t>
            </w:r>
          </w:p>
          <w:p w14:paraId="2CD52626" w14:textId="52892F77" w:rsidR="00DE6623" w:rsidRDefault="00DE644A" w:rsidP="00850141">
            <w:pPr>
              <w:ind w:firstLine="204"/>
              <w:jc w:val="both"/>
              <w:rPr>
                <w:rFonts w:eastAsia="Calibri"/>
                <w:szCs w:val="24"/>
              </w:rPr>
            </w:pPr>
            <w:r w:rsidRPr="00983B57">
              <w:rPr>
                <w:rFonts w:eastAsia="Calibri"/>
                <w:szCs w:val="24"/>
              </w:rPr>
              <w:t>6. Asmenys, dalyvavę ir laimėję išankstiniame pajėgumų aukcione su ne didesnės nei išankstinio pajėgumų aukciono ribine kaina pasiūlymais yra laikomi išankstinio pajėgumų aukciono laimėtojais ir įgyja teisę dalyvauti kvalifikacinėje atrankoje.</w:t>
            </w:r>
          </w:p>
          <w:p w14:paraId="08254664" w14:textId="77777777" w:rsidR="00DE6623" w:rsidRPr="00983B57" w:rsidRDefault="00DE6623" w:rsidP="00DE6623">
            <w:pPr>
              <w:jc w:val="both"/>
              <w:rPr>
                <w:rFonts w:eastAsia="Calibri"/>
                <w:b/>
                <w:szCs w:val="24"/>
              </w:rPr>
            </w:pPr>
            <w:r w:rsidRPr="00983B57">
              <w:rPr>
                <w:rFonts w:eastAsia="Calibri"/>
                <w:b/>
                <w:szCs w:val="24"/>
              </w:rPr>
              <w:t>70</w:t>
            </w:r>
            <w:r w:rsidRPr="00983B57">
              <w:rPr>
                <w:b/>
                <w:caps/>
                <w:szCs w:val="24"/>
                <w:vertAlign w:val="superscript"/>
              </w:rPr>
              <w:t>1</w:t>
            </w:r>
            <w:r w:rsidRPr="00983B57">
              <w:rPr>
                <w:rFonts w:eastAsia="Calibri"/>
                <w:b/>
                <w:szCs w:val="24"/>
              </w:rPr>
              <w:t xml:space="preserve"> straipsnis. Pajėgumų užtikrinimo mechanizmo įgyvendinimo pagrindai ir sąlygos</w:t>
            </w:r>
          </w:p>
          <w:p w14:paraId="472F12EA" w14:textId="77777777" w:rsidR="00DE6623" w:rsidRPr="00983B57" w:rsidRDefault="00DE6623" w:rsidP="00DE6623">
            <w:pPr>
              <w:ind w:firstLine="204"/>
              <w:jc w:val="both"/>
              <w:rPr>
                <w:rFonts w:eastAsia="Calibri"/>
                <w:szCs w:val="24"/>
              </w:rPr>
            </w:pPr>
            <w:r>
              <w:rPr>
                <w:spacing w:val="-2"/>
                <w:szCs w:val="24"/>
              </w:rPr>
              <w:t>&lt;...&gt;</w:t>
            </w:r>
            <w:r w:rsidRPr="00983B57">
              <w:rPr>
                <w:rFonts w:eastAsia="Calibri"/>
                <w:szCs w:val="24"/>
              </w:rPr>
              <w:t xml:space="preserve"> </w:t>
            </w:r>
          </w:p>
          <w:p w14:paraId="430BBEE6" w14:textId="77777777" w:rsidR="00DE6623" w:rsidRDefault="00DE6623" w:rsidP="00DE6623">
            <w:pPr>
              <w:ind w:firstLine="204"/>
              <w:jc w:val="both"/>
              <w:rPr>
                <w:rFonts w:eastAsia="Calibri"/>
              </w:rPr>
            </w:pPr>
            <w:r w:rsidRPr="00983B57">
              <w:rPr>
                <w:rFonts w:eastAsia="Calibri"/>
              </w:rPr>
              <w:t xml:space="preserve">8. Pajėgumų vykdytojai gali dalyvauti valstybių narių, kurių elektros energetikos sistemos jungiamąja linija (ar linijomis) yra sujungtos su Lietuvos Respublikos elektros energetikos sistema, pajėgumų užtikrinimo mechanizmuose ir (ar) vykdyti didmeninę prekybą elektros energija ir (ar) sisteminėmis </w:t>
            </w:r>
            <w:r w:rsidRPr="00983B57" w:rsidDel="009B413A">
              <w:rPr>
                <w:rFonts w:eastAsia="Calibri"/>
              </w:rPr>
              <w:t>paslaugas</w:t>
            </w:r>
            <w:r w:rsidRPr="00983B57">
              <w:rPr>
                <w:rFonts w:eastAsia="Calibri"/>
              </w:rPr>
              <w:t>. Pajėgumų vykdytojų dalyvavimas kitų valstybių narių pajėgumų užtikrinimo mechanizmuose neatleidžia pajėgumų vykdytojų nuo pajėgumų užtikrinimo prievolių įvykdymo kritini</w:t>
            </w:r>
            <w:r>
              <w:rPr>
                <w:rFonts w:eastAsia="Calibri"/>
              </w:rPr>
              <w:t xml:space="preserve">u </w:t>
            </w:r>
            <w:r w:rsidRPr="00983B57">
              <w:rPr>
                <w:rFonts w:eastAsia="Calibri"/>
              </w:rPr>
              <w:t>Lietuvos Respublikos elektros energetikos sistemos</w:t>
            </w:r>
            <w:r>
              <w:rPr>
                <w:rFonts w:eastAsia="Calibri"/>
              </w:rPr>
              <w:t xml:space="preserve"> </w:t>
            </w:r>
            <w:r w:rsidRPr="00983B57">
              <w:rPr>
                <w:rFonts w:eastAsia="Calibri"/>
              </w:rPr>
              <w:t xml:space="preserve"> </w:t>
            </w:r>
            <w:r>
              <w:rPr>
                <w:rFonts w:eastAsia="Calibri"/>
              </w:rPr>
              <w:t>laikotarpiu</w:t>
            </w:r>
            <w:r w:rsidRPr="00983B57">
              <w:rPr>
                <w:rFonts w:eastAsia="Calibri"/>
              </w:rPr>
              <w:t>.</w:t>
            </w:r>
          </w:p>
          <w:p w14:paraId="4654920F" w14:textId="77777777" w:rsidR="00E55183" w:rsidRDefault="00082729" w:rsidP="00DE6623">
            <w:pPr>
              <w:ind w:firstLine="204"/>
              <w:jc w:val="both"/>
              <w:rPr>
                <w:rFonts w:eastAsia="Calibri"/>
                <w:b/>
                <w:bCs/>
                <w:szCs w:val="24"/>
              </w:rPr>
            </w:pPr>
            <w:r w:rsidRPr="00983B57">
              <w:rPr>
                <w:rFonts w:eastAsia="Calibri"/>
                <w:b/>
                <w:bCs/>
                <w:szCs w:val="24"/>
              </w:rPr>
              <w:t>70</w:t>
            </w:r>
            <w:r w:rsidRPr="00983B57">
              <w:rPr>
                <w:rFonts w:eastAsia="Calibri"/>
                <w:b/>
                <w:bCs/>
                <w:szCs w:val="24"/>
                <w:vertAlign w:val="superscript"/>
              </w:rPr>
              <w:t>5</w:t>
            </w:r>
            <w:r w:rsidRPr="00983B57">
              <w:rPr>
                <w:rFonts w:eastAsia="Calibri"/>
                <w:b/>
                <w:bCs/>
                <w:szCs w:val="24"/>
              </w:rPr>
              <w:t xml:space="preserve"> straipsnis.</w:t>
            </w:r>
            <w:r w:rsidRPr="00983B57">
              <w:rPr>
                <w:rFonts w:eastAsia="Calibri"/>
                <w:b/>
                <w:szCs w:val="24"/>
              </w:rPr>
              <w:t xml:space="preserve"> </w:t>
            </w:r>
            <w:r w:rsidRPr="00983B57">
              <w:rPr>
                <w:rFonts w:eastAsia="Calibri"/>
                <w:b/>
                <w:bCs/>
                <w:szCs w:val="24"/>
              </w:rPr>
              <w:t>Pajėgumų užtikrinimo prievolės vykdymo sutartis ir jos sudarymas</w:t>
            </w:r>
          </w:p>
          <w:p w14:paraId="445AB315" w14:textId="77777777" w:rsidR="00EF4681" w:rsidRPr="00983B57" w:rsidRDefault="00EF4681" w:rsidP="00FF08A5">
            <w:pPr>
              <w:tabs>
                <w:tab w:val="left" w:pos="709"/>
                <w:tab w:val="left" w:pos="851"/>
                <w:tab w:val="left" w:pos="993"/>
              </w:tabs>
              <w:ind w:firstLine="204"/>
              <w:jc w:val="both"/>
              <w:rPr>
                <w:rFonts w:eastAsia="Calibri"/>
              </w:rPr>
            </w:pPr>
            <w:r w:rsidRPr="00983B57">
              <w:rPr>
                <w:rFonts w:eastAsia="Calibri"/>
              </w:rPr>
              <w:t xml:space="preserve">4. Pajėgumų </w:t>
            </w:r>
            <w:r w:rsidRPr="00983B57">
              <w:rPr>
                <w:color w:val="000000" w:themeColor="text1"/>
              </w:rPr>
              <w:t>vykdytojai</w:t>
            </w:r>
            <w:r w:rsidRPr="00983B57">
              <w:rPr>
                <w:rFonts w:eastAsia="Calibri"/>
              </w:rPr>
              <w:t xml:space="preserve">, kurie sudaro pajėgumų užtikrinimo prievolės vykdymo sutartį, tačiau nevykdo įpareigojimo pateikti pajėgumų užtikrinimo prievolės vykdymo sutartyje nustatytus pajėgumus, netenka teisės į mokėjimus ar mokėjimų dalį, proporcingą nepateiktiems pajėgumams, ir turi sumokėti </w:t>
            </w:r>
            <w:r w:rsidRPr="00983B57">
              <w:rPr>
                <w:rFonts w:eastAsia="Calibri"/>
              </w:rPr>
              <w:lastRenderedPageBreak/>
              <w:t>nepateiktiems pajėgumams proporcingą baudą. Neįvykdytos prievolės proporcingumas nustatomas Pajėgumų aukcionų nuostatų nustatyta tvarka.</w:t>
            </w:r>
          </w:p>
          <w:p w14:paraId="703F4783" w14:textId="77777777" w:rsidR="00FF08A5" w:rsidRPr="00983B57" w:rsidRDefault="00FF08A5" w:rsidP="007E5660">
            <w:pPr>
              <w:jc w:val="both"/>
              <w:rPr>
                <w:rFonts w:eastAsia="Calibri"/>
                <w:b/>
                <w:bCs/>
                <w:szCs w:val="24"/>
              </w:rPr>
            </w:pPr>
            <w:r w:rsidRPr="00983B57">
              <w:rPr>
                <w:rFonts w:eastAsia="Calibri"/>
                <w:b/>
                <w:bCs/>
                <w:szCs w:val="24"/>
              </w:rPr>
              <w:t>70</w:t>
            </w:r>
            <w:r w:rsidRPr="00983B57">
              <w:rPr>
                <w:rFonts w:eastAsia="Calibri"/>
                <w:b/>
                <w:szCs w:val="24"/>
                <w:vertAlign w:val="superscript"/>
              </w:rPr>
              <w:t>6</w:t>
            </w:r>
            <w:r w:rsidRPr="00983B57">
              <w:rPr>
                <w:rFonts w:eastAsia="Calibri"/>
                <w:b/>
                <w:bCs/>
                <w:szCs w:val="24"/>
              </w:rPr>
              <w:t xml:space="preserve"> straipsnis.</w:t>
            </w:r>
            <w:r w:rsidRPr="00983B57">
              <w:rPr>
                <w:rFonts w:eastAsia="Calibri"/>
                <w:b/>
                <w:szCs w:val="24"/>
              </w:rPr>
              <w:t xml:space="preserve"> Pajėgumų užtikrinimo </w:t>
            </w:r>
            <w:r w:rsidRPr="00983B57">
              <w:rPr>
                <w:rFonts w:eastAsia="Calibri"/>
                <w:b/>
                <w:bCs/>
                <w:szCs w:val="24"/>
              </w:rPr>
              <w:t>prievolės perleidimas</w:t>
            </w:r>
          </w:p>
          <w:p w14:paraId="46A7636D" w14:textId="77777777" w:rsidR="00FF08A5" w:rsidRPr="00983B57" w:rsidRDefault="00FF08A5" w:rsidP="007E5660">
            <w:pPr>
              <w:ind w:firstLine="204"/>
              <w:jc w:val="both"/>
              <w:rPr>
                <w:rFonts w:eastAsia="Calibri"/>
                <w:b/>
                <w:bCs/>
                <w:szCs w:val="24"/>
              </w:rPr>
            </w:pPr>
            <w:r w:rsidRPr="00983B57">
              <w:rPr>
                <w:color w:val="000000"/>
                <w:szCs w:val="24"/>
              </w:rPr>
              <w:t xml:space="preserve">1. Pajėgumų vykdytojai turi teisę, pritarus perdavimo sistemos operatoriui ir vadovaudamiesi Pajėgumų aukcionų nuostatuose nustatyta tvarka, dvišalių susitarimų pagrindu perleisti </w:t>
            </w:r>
            <w:r w:rsidRPr="00983B57">
              <w:rPr>
                <w:szCs w:val="24"/>
              </w:rPr>
              <w:t>įsipareigojimus vykdyti pajėgumų užtikrinimo prievolę kitam pajėgumų aukciono dalyviui</w:t>
            </w:r>
            <w:r w:rsidRPr="00983B57">
              <w:rPr>
                <w:color w:val="000000"/>
                <w:szCs w:val="24"/>
              </w:rPr>
              <w:t>.</w:t>
            </w:r>
          </w:p>
          <w:p w14:paraId="4883E527" w14:textId="58917CE1" w:rsidR="00082729" w:rsidRPr="001938B7" w:rsidRDefault="00FF08A5" w:rsidP="007E5660">
            <w:pPr>
              <w:ind w:firstLine="204"/>
              <w:jc w:val="both"/>
              <w:rPr>
                <w:b/>
                <w:szCs w:val="24"/>
              </w:rPr>
            </w:pPr>
            <w:r w:rsidRPr="00983B57">
              <w:rPr>
                <w:rFonts w:eastAsia="Calibri"/>
                <w:bCs/>
                <w:szCs w:val="24"/>
              </w:rPr>
              <w:t xml:space="preserve">2. </w:t>
            </w:r>
            <w:r w:rsidRPr="00983B57">
              <w:rPr>
                <w:color w:val="000000"/>
                <w:szCs w:val="24"/>
              </w:rPr>
              <w:t>Pajėgumų vykdytojai Pajėgumų aukcionų nuostatuose nustatyta tvarka teikia perdavimo sistemos operatoriui informaciją apie pajėgumų vykdytojų sudaromus sandorius dėl pajėgumų užtikrinimo prievolės perleidimo.</w:t>
            </w:r>
          </w:p>
        </w:tc>
        <w:tc>
          <w:tcPr>
            <w:tcW w:w="2135" w:type="dxa"/>
            <w:tcBorders>
              <w:left w:val="single" w:sz="4" w:space="0" w:color="auto"/>
            </w:tcBorders>
          </w:tcPr>
          <w:p w14:paraId="06FAE33C" w14:textId="07E0B190" w:rsidR="00457EB4" w:rsidRDefault="007E5660" w:rsidP="00467FD4">
            <w:pPr>
              <w:rPr>
                <w:b/>
                <w:szCs w:val="24"/>
              </w:rPr>
            </w:pPr>
            <w:r>
              <w:rPr>
                <w:b/>
                <w:szCs w:val="24"/>
              </w:rPr>
              <w:lastRenderedPageBreak/>
              <w:t>Iš dalies įgyvendinta</w:t>
            </w:r>
          </w:p>
        </w:tc>
      </w:tr>
    </w:tbl>
    <w:p w14:paraId="5A052600" w14:textId="77777777" w:rsidR="007C27A7" w:rsidRDefault="00A15208" w:rsidP="00467FD4">
      <w:pPr>
        <w:jc w:val="center"/>
      </w:pPr>
      <w:r w:rsidRPr="00467FD4">
        <w:lastRenderedPageBreak/>
        <w:t>_______________</w:t>
      </w:r>
    </w:p>
    <w:p w14:paraId="128FAE5C" w14:textId="77777777" w:rsidR="00A15208" w:rsidRDefault="00A15208" w:rsidP="00467FD4">
      <w:pPr>
        <w:jc w:val="center"/>
      </w:pPr>
    </w:p>
    <w:sectPr w:rsidR="00A15208" w:rsidSect="009C0AD8">
      <w:headerReference w:type="even" r:id="rId11"/>
      <w:headerReference w:type="default" r:id="rId12"/>
      <w:footerReference w:type="even" r:id="rId13"/>
      <w:pgSz w:w="16840" w:h="11907" w:orient="landscape" w:code="9"/>
      <w:pgMar w:top="1134" w:right="1134"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711FD" w14:textId="77777777" w:rsidR="0008251C" w:rsidRDefault="0008251C" w:rsidP="00806785">
      <w:r>
        <w:separator/>
      </w:r>
    </w:p>
  </w:endnote>
  <w:endnote w:type="continuationSeparator" w:id="0">
    <w:p w14:paraId="0F028622" w14:textId="77777777" w:rsidR="0008251C" w:rsidRDefault="0008251C" w:rsidP="008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FC91" w14:textId="77777777" w:rsidR="009C0AD8" w:rsidRDefault="00FE29F8" w:rsidP="009C0AD8">
    <w:pPr>
      <w:pStyle w:val="Porat"/>
      <w:framePr w:wrap="around" w:vAnchor="text" w:hAnchor="margin" w:xAlign="center" w:y="1"/>
      <w:rPr>
        <w:rStyle w:val="Puslapionumeris"/>
      </w:rPr>
    </w:pPr>
    <w:r>
      <w:rPr>
        <w:rStyle w:val="Puslapionumeris"/>
      </w:rPr>
      <w:fldChar w:fldCharType="begin"/>
    </w:r>
    <w:r w:rsidR="009C0AD8">
      <w:rPr>
        <w:rStyle w:val="Puslapionumeris"/>
      </w:rPr>
      <w:instrText xml:space="preserve">PAGE  </w:instrText>
    </w:r>
    <w:r>
      <w:rPr>
        <w:rStyle w:val="Puslapionumeris"/>
      </w:rPr>
      <w:fldChar w:fldCharType="end"/>
    </w:r>
  </w:p>
  <w:p w14:paraId="44210790" w14:textId="77777777" w:rsidR="009C0AD8" w:rsidRDefault="009C0A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0CED" w14:textId="77777777" w:rsidR="0008251C" w:rsidRDefault="0008251C" w:rsidP="00806785">
      <w:r>
        <w:separator/>
      </w:r>
    </w:p>
  </w:footnote>
  <w:footnote w:type="continuationSeparator" w:id="0">
    <w:p w14:paraId="0D904674" w14:textId="77777777" w:rsidR="0008251C" w:rsidRDefault="0008251C" w:rsidP="0080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A38A" w14:textId="77777777" w:rsidR="009C0AD8" w:rsidRDefault="00FE29F8" w:rsidP="009C0AD8">
    <w:pPr>
      <w:pStyle w:val="Antrats"/>
      <w:framePr w:wrap="around" w:vAnchor="text" w:hAnchor="margin" w:xAlign="center" w:y="1"/>
      <w:rPr>
        <w:rStyle w:val="Puslapionumeris"/>
      </w:rPr>
    </w:pPr>
    <w:r>
      <w:rPr>
        <w:rStyle w:val="Puslapionumeris"/>
      </w:rPr>
      <w:fldChar w:fldCharType="begin"/>
    </w:r>
    <w:r w:rsidR="009C0AD8">
      <w:rPr>
        <w:rStyle w:val="Puslapionumeris"/>
      </w:rPr>
      <w:instrText xml:space="preserve">PAGE  </w:instrText>
    </w:r>
    <w:r>
      <w:rPr>
        <w:rStyle w:val="Puslapionumeris"/>
      </w:rPr>
      <w:fldChar w:fldCharType="end"/>
    </w:r>
  </w:p>
  <w:p w14:paraId="1A6DDF91" w14:textId="77777777" w:rsidR="009C0AD8" w:rsidRDefault="009C0A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018E" w14:textId="70732EB0" w:rsidR="009C0AD8" w:rsidRPr="007E5660" w:rsidRDefault="00FE29F8" w:rsidP="009C0AD8">
    <w:pPr>
      <w:pStyle w:val="Antrats"/>
      <w:framePr w:wrap="around" w:vAnchor="text" w:hAnchor="margin" w:xAlign="center" w:y="1"/>
      <w:rPr>
        <w:rStyle w:val="Puslapionumeris"/>
        <w:sz w:val="24"/>
        <w:szCs w:val="24"/>
      </w:rPr>
    </w:pPr>
    <w:r w:rsidRPr="007E5660">
      <w:rPr>
        <w:rStyle w:val="Puslapionumeris"/>
        <w:sz w:val="24"/>
        <w:szCs w:val="24"/>
      </w:rPr>
      <w:fldChar w:fldCharType="begin"/>
    </w:r>
    <w:r w:rsidR="009C0AD8" w:rsidRPr="007E5660">
      <w:rPr>
        <w:rStyle w:val="Puslapionumeris"/>
        <w:sz w:val="24"/>
        <w:szCs w:val="24"/>
      </w:rPr>
      <w:instrText xml:space="preserve">PAGE  </w:instrText>
    </w:r>
    <w:r w:rsidRPr="007E5660">
      <w:rPr>
        <w:rStyle w:val="Puslapionumeris"/>
        <w:sz w:val="24"/>
        <w:szCs w:val="24"/>
      </w:rPr>
      <w:fldChar w:fldCharType="separate"/>
    </w:r>
    <w:r w:rsidR="000841B3" w:rsidRPr="007E5660">
      <w:rPr>
        <w:rStyle w:val="Puslapionumeris"/>
        <w:noProof/>
        <w:sz w:val="24"/>
        <w:szCs w:val="24"/>
      </w:rPr>
      <w:t>11</w:t>
    </w:r>
    <w:r w:rsidRPr="007E5660">
      <w:rPr>
        <w:rStyle w:val="Puslapionumeris"/>
        <w:sz w:val="24"/>
        <w:szCs w:val="24"/>
      </w:rPr>
      <w:fldChar w:fldCharType="end"/>
    </w:r>
  </w:p>
  <w:p w14:paraId="21F89A73" w14:textId="77777777" w:rsidR="009C0AD8" w:rsidRPr="007E5660" w:rsidRDefault="009C0AD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832D7"/>
    <w:multiLevelType w:val="hybridMultilevel"/>
    <w:tmpl w:val="474475CE"/>
    <w:lvl w:ilvl="0" w:tplc="B9F6C60C">
      <w:start w:val="1"/>
      <w:numFmt w:val="decimal"/>
      <w:lvlText w:val="%1)"/>
      <w:lvlJc w:val="left"/>
      <w:pPr>
        <w:ind w:left="546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D8"/>
    <w:rsid w:val="00006051"/>
    <w:rsid w:val="00015184"/>
    <w:rsid w:val="0006707B"/>
    <w:rsid w:val="0007194A"/>
    <w:rsid w:val="00071A66"/>
    <w:rsid w:val="000741AD"/>
    <w:rsid w:val="0008251C"/>
    <w:rsid w:val="00082729"/>
    <w:rsid w:val="000841B3"/>
    <w:rsid w:val="00084B68"/>
    <w:rsid w:val="0008642F"/>
    <w:rsid w:val="000979C0"/>
    <w:rsid w:val="000B5982"/>
    <w:rsid w:val="000B6A45"/>
    <w:rsid w:val="000D6006"/>
    <w:rsid w:val="0010192C"/>
    <w:rsid w:val="00116ECC"/>
    <w:rsid w:val="00117443"/>
    <w:rsid w:val="00127D73"/>
    <w:rsid w:val="001350C1"/>
    <w:rsid w:val="001615AD"/>
    <w:rsid w:val="00172D07"/>
    <w:rsid w:val="00173AB5"/>
    <w:rsid w:val="001964E3"/>
    <w:rsid w:val="001D469B"/>
    <w:rsid w:val="001E16E6"/>
    <w:rsid w:val="001E71E5"/>
    <w:rsid w:val="00207C33"/>
    <w:rsid w:val="00233457"/>
    <w:rsid w:val="00281724"/>
    <w:rsid w:val="00292F40"/>
    <w:rsid w:val="002A131C"/>
    <w:rsid w:val="002B1056"/>
    <w:rsid w:val="002B4878"/>
    <w:rsid w:val="002B6DB6"/>
    <w:rsid w:val="002C1F09"/>
    <w:rsid w:val="002D7384"/>
    <w:rsid w:val="003219A8"/>
    <w:rsid w:val="00321ACD"/>
    <w:rsid w:val="00351F43"/>
    <w:rsid w:val="00360345"/>
    <w:rsid w:val="0036096C"/>
    <w:rsid w:val="003619AB"/>
    <w:rsid w:val="003643BD"/>
    <w:rsid w:val="003C1454"/>
    <w:rsid w:val="003C2CA3"/>
    <w:rsid w:val="003C6C21"/>
    <w:rsid w:val="003E0858"/>
    <w:rsid w:val="003E57C4"/>
    <w:rsid w:val="0040523C"/>
    <w:rsid w:val="00421C81"/>
    <w:rsid w:val="00432C79"/>
    <w:rsid w:val="004465C8"/>
    <w:rsid w:val="004532D9"/>
    <w:rsid w:val="00457EB4"/>
    <w:rsid w:val="00467FD4"/>
    <w:rsid w:val="0047572E"/>
    <w:rsid w:val="00483977"/>
    <w:rsid w:val="004D7759"/>
    <w:rsid w:val="004E0140"/>
    <w:rsid w:val="004E055B"/>
    <w:rsid w:val="004F1CBA"/>
    <w:rsid w:val="004F1EC3"/>
    <w:rsid w:val="004F3881"/>
    <w:rsid w:val="005205FE"/>
    <w:rsid w:val="00563A8A"/>
    <w:rsid w:val="00567EF5"/>
    <w:rsid w:val="00587F60"/>
    <w:rsid w:val="00590DAB"/>
    <w:rsid w:val="005966B6"/>
    <w:rsid w:val="005C7FC9"/>
    <w:rsid w:val="005D7064"/>
    <w:rsid w:val="005E0E82"/>
    <w:rsid w:val="005E4666"/>
    <w:rsid w:val="005E488E"/>
    <w:rsid w:val="005E5B04"/>
    <w:rsid w:val="00617CAB"/>
    <w:rsid w:val="006269D3"/>
    <w:rsid w:val="00656681"/>
    <w:rsid w:val="0066430D"/>
    <w:rsid w:val="006755E8"/>
    <w:rsid w:val="00692402"/>
    <w:rsid w:val="006970BD"/>
    <w:rsid w:val="006A5FA2"/>
    <w:rsid w:val="006A625C"/>
    <w:rsid w:val="007249E3"/>
    <w:rsid w:val="00726030"/>
    <w:rsid w:val="00737D2D"/>
    <w:rsid w:val="007720DD"/>
    <w:rsid w:val="00773013"/>
    <w:rsid w:val="00780CE6"/>
    <w:rsid w:val="00781900"/>
    <w:rsid w:val="007B57EF"/>
    <w:rsid w:val="007C2044"/>
    <w:rsid w:val="007C27A7"/>
    <w:rsid w:val="007D7043"/>
    <w:rsid w:val="007E3E61"/>
    <w:rsid w:val="007E5660"/>
    <w:rsid w:val="007F5CFA"/>
    <w:rsid w:val="007F6355"/>
    <w:rsid w:val="00802E72"/>
    <w:rsid w:val="00806785"/>
    <w:rsid w:val="00814B66"/>
    <w:rsid w:val="0082584D"/>
    <w:rsid w:val="008320B0"/>
    <w:rsid w:val="00837C9D"/>
    <w:rsid w:val="00850141"/>
    <w:rsid w:val="008506D0"/>
    <w:rsid w:val="008519D9"/>
    <w:rsid w:val="00872CD8"/>
    <w:rsid w:val="00881B3F"/>
    <w:rsid w:val="00881E1A"/>
    <w:rsid w:val="00893D6E"/>
    <w:rsid w:val="008D7FB8"/>
    <w:rsid w:val="008F0964"/>
    <w:rsid w:val="00927144"/>
    <w:rsid w:val="00930511"/>
    <w:rsid w:val="00942BB4"/>
    <w:rsid w:val="00944025"/>
    <w:rsid w:val="00961211"/>
    <w:rsid w:val="009677A1"/>
    <w:rsid w:val="009805C0"/>
    <w:rsid w:val="009806E1"/>
    <w:rsid w:val="0099682A"/>
    <w:rsid w:val="009A263F"/>
    <w:rsid w:val="009B1612"/>
    <w:rsid w:val="009B441A"/>
    <w:rsid w:val="009B644E"/>
    <w:rsid w:val="009C0AD8"/>
    <w:rsid w:val="009E1190"/>
    <w:rsid w:val="009E24FB"/>
    <w:rsid w:val="009E29D2"/>
    <w:rsid w:val="009E71B0"/>
    <w:rsid w:val="009F32F4"/>
    <w:rsid w:val="009F79F4"/>
    <w:rsid w:val="00A042B9"/>
    <w:rsid w:val="00A11C29"/>
    <w:rsid w:val="00A15208"/>
    <w:rsid w:val="00A2041D"/>
    <w:rsid w:val="00A410D5"/>
    <w:rsid w:val="00A6077A"/>
    <w:rsid w:val="00A72001"/>
    <w:rsid w:val="00A756A4"/>
    <w:rsid w:val="00A76A10"/>
    <w:rsid w:val="00AA4987"/>
    <w:rsid w:val="00AA5B92"/>
    <w:rsid w:val="00AA6AA9"/>
    <w:rsid w:val="00AC7997"/>
    <w:rsid w:val="00B01851"/>
    <w:rsid w:val="00B25749"/>
    <w:rsid w:val="00B436A5"/>
    <w:rsid w:val="00B54B1A"/>
    <w:rsid w:val="00B56CB0"/>
    <w:rsid w:val="00B57307"/>
    <w:rsid w:val="00B72387"/>
    <w:rsid w:val="00B877C4"/>
    <w:rsid w:val="00B97845"/>
    <w:rsid w:val="00BA1711"/>
    <w:rsid w:val="00BB65C2"/>
    <w:rsid w:val="00BB784C"/>
    <w:rsid w:val="00BC0295"/>
    <w:rsid w:val="00BE048F"/>
    <w:rsid w:val="00BF1967"/>
    <w:rsid w:val="00BF1E55"/>
    <w:rsid w:val="00BF2674"/>
    <w:rsid w:val="00C1345A"/>
    <w:rsid w:val="00C23A16"/>
    <w:rsid w:val="00C33920"/>
    <w:rsid w:val="00C514F8"/>
    <w:rsid w:val="00C761FF"/>
    <w:rsid w:val="00CA660B"/>
    <w:rsid w:val="00CA6C53"/>
    <w:rsid w:val="00CB53E1"/>
    <w:rsid w:val="00CD2A37"/>
    <w:rsid w:val="00CE580D"/>
    <w:rsid w:val="00D53DA1"/>
    <w:rsid w:val="00D62DA5"/>
    <w:rsid w:val="00DE1429"/>
    <w:rsid w:val="00DE318D"/>
    <w:rsid w:val="00DE423E"/>
    <w:rsid w:val="00DE644A"/>
    <w:rsid w:val="00DE6623"/>
    <w:rsid w:val="00DF203C"/>
    <w:rsid w:val="00E12958"/>
    <w:rsid w:val="00E15D92"/>
    <w:rsid w:val="00E55183"/>
    <w:rsid w:val="00E554FC"/>
    <w:rsid w:val="00ED4645"/>
    <w:rsid w:val="00ED52DC"/>
    <w:rsid w:val="00ED7B76"/>
    <w:rsid w:val="00EE21E7"/>
    <w:rsid w:val="00EE7FF6"/>
    <w:rsid w:val="00EF111D"/>
    <w:rsid w:val="00EF4681"/>
    <w:rsid w:val="00F000A3"/>
    <w:rsid w:val="00F01A04"/>
    <w:rsid w:val="00F24CF9"/>
    <w:rsid w:val="00F27D2C"/>
    <w:rsid w:val="00F41688"/>
    <w:rsid w:val="00F43493"/>
    <w:rsid w:val="00F451C2"/>
    <w:rsid w:val="00F45623"/>
    <w:rsid w:val="00F647CD"/>
    <w:rsid w:val="00F75565"/>
    <w:rsid w:val="00FB34A2"/>
    <w:rsid w:val="00FB7B96"/>
    <w:rsid w:val="00FD75FE"/>
    <w:rsid w:val="00FD78EB"/>
    <w:rsid w:val="00FE29F8"/>
    <w:rsid w:val="00FE2B37"/>
    <w:rsid w:val="00FF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CACC3"/>
  <w15:docId w15:val="{42340A6D-8482-4A88-BF03-BD0742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1D469B"/>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C0AD8"/>
    <w:pPr>
      <w:tabs>
        <w:tab w:val="center" w:pos="4819"/>
        <w:tab w:val="right" w:pos="9638"/>
      </w:tabs>
    </w:pPr>
  </w:style>
  <w:style w:type="character" w:styleId="Puslapionumeris">
    <w:name w:val="page number"/>
    <w:basedOn w:val="Numatytasispastraiposriftas"/>
    <w:rsid w:val="009C0AD8"/>
  </w:style>
  <w:style w:type="paragraph" w:styleId="Antrats">
    <w:name w:val="header"/>
    <w:basedOn w:val="prastasis"/>
    <w:link w:val="AntratsDiagrama"/>
    <w:rsid w:val="009C0AD8"/>
    <w:pPr>
      <w:tabs>
        <w:tab w:val="center" w:pos="4320"/>
        <w:tab w:val="right" w:pos="8640"/>
      </w:tabs>
    </w:pPr>
    <w:rPr>
      <w:sz w:val="20"/>
      <w:lang w:eastAsia="en-US"/>
    </w:rPr>
  </w:style>
  <w:style w:type="character" w:customStyle="1" w:styleId="AntratsDiagrama">
    <w:name w:val="Antraštės Diagrama"/>
    <w:link w:val="Antrats"/>
    <w:rsid w:val="009C0AD8"/>
    <w:rPr>
      <w:lang w:val="lt-LT" w:eastAsia="en-US" w:bidi="ar-SA"/>
    </w:rPr>
  </w:style>
  <w:style w:type="paragraph" w:styleId="Pagrindiniotekstotrauka">
    <w:name w:val="Body Text Indent"/>
    <w:basedOn w:val="prastasis"/>
    <w:link w:val="PagrindiniotekstotraukaDiagrama"/>
    <w:rsid w:val="009C0AD8"/>
    <w:pPr>
      <w:spacing w:after="120"/>
      <w:ind w:left="283"/>
    </w:pPr>
  </w:style>
  <w:style w:type="character" w:customStyle="1" w:styleId="PagrindiniotekstotraukaDiagrama">
    <w:name w:val="Pagrindinio teksto įtrauka Diagrama"/>
    <w:link w:val="Pagrindiniotekstotrauka"/>
    <w:rsid w:val="009C0AD8"/>
    <w:rPr>
      <w:sz w:val="24"/>
      <w:lang w:val="lt-LT" w:eastAsia="lt-LT" w:bidi="ar-SA"/>
    </w:rPr>
  </w:style>
  <w:style w:type="character" w:customStyle="1" w:styleId="PoratDiagrama">
    <w:name w:val="Poraštė Diagrama"/>
    <w:link w:val="Porat"/>
    <w:locked/>
    <w:rsid w:val="009C0AD8"/>
    <w:rPr>
      <w:sz w:val="24"/>
      <w:lang w:val="lt-LT" w:eastAsia="lt-LT" w:bidi="ar-SA"/>
    </w:rPr>
  </w:style>
  <w:style w:type="paragraph" w:styleId="Paprastasistekstas">
    <w:name w:val="Plain Text"/>
    <w:basedOn w:val="prastasis"/>
    <w:rsid w:val="009C0AD8"/>
    <w:pPr>
      <w:spacing w:before="100" w:beforeAutospacing="1" w:after="100" w:afterAutospacing="1"/>
    </w:pPr>
    <w:rPr>
      <w:szCs w:val="24"/>
    </w:rPr>
  </w:style>
  <w:style w:type="character" w:customStyle="1" w:styleId="apple-converted-space">
    <w:name w:val="apple-converted-space"/>
    <w:basedOn w:val="Numatytasispastraiposriftas"/>
    <w:rsid w:val="005D7064"/>
  </w:style>
  <w:style w:type="character" w:customStyle="1" w:styleId="italic">
    <w:name w:val="italic"/>
    <w:basedOn w:val="Numatytasispastraiposriftas"/>
    <w:rsid w:val="005D7064"/>
  </w:style>
  <w:style w:type="character" w:styleId="Komentaronuoroda">
    <w:name w:val="annotation reference"/>
    <w:basedOn w:val="Numatytasispastraiposriftas"/>
    <w:uiPriority w:val="99"/>
    <w:unhideWhenUsed/>
    <w:rsid w:val="009677A1"/>
    <w:rPr>
      <w:sz w:val="16"/>
      <w:szCs w:val="16"/>
    </w:rPr>
  </w:style>
  <w:style w:type="paragraph" w:styleId="Komentarotekstas">
    <w:name w:val="annotation text"/>
    <w:basedOn w:val="prastasis"/>
    <w:link w:val="KomentarotekstasDiagrama"/>
    <w:uiPriority w:val="99"/>
    <w:unhideWhenUsed/>
    <w:rsid w:val="009677A1"/>
    <w:rPr>
      <w:rFonts w:ascii="TimesLT" w:hAnsi="TimesLT" w:cs="Arial"/>
      <w:bCs/>
      <w:kern w:val="32"/>
      <w:sz w:val="20"/>
      <w:lang w:eastAsia="en-US"/>
    </w:rPr>
  </w:style>
  <w:style w:type="character" w:customStyle="1" w:styleId="KomentarotekstasDiagrama">
    <w:name w:val="Komentaro tekstas Diagrama"/>
    <w:basedOn w:val="Numatytasispastraiposriftas"/>
    <w:link w:val="Komentarotekstas"/>
    <w:uiPriority w:val="99"/>
    <w:rsid w:val="009677A1"/>
    <w:rPr>
      <w:rFonts w:ascii="TimesLT" w:hAnsi="TimesLT" w:cs="Arial"/>
      <w:bCs/>
      <w:kern w:val="32"/>
      <w:lang w:val="lt-LT"/>
    </w:rPr>
  </w:style>
  <w:style w:type="paragraph" w:styleId="Debesliotekstas">
    <w:name w:val="Balloon Text"/>
    <w:basedOn w:val="prastasis"/>
    <w:link w:val="DebesliotekstasDiagrama"/>
    <w:semiHidden/>
    <w:unhideWhenUsed/>
    <w:rsid w:val="009677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77A1"/>
    <w:rPr>
      <w:rFonts w:ascii="Segoe UI" w:hAnsi="Segoe UI" w:cs="Segoe UI"/>
      <w:sz w:val="18"/>
      <w:szCs w:val="18"/>
      <w:lang w:val="lt-LT" w:eastAsia="lt-LT"/>
    </w:rPr>
  </w:style>
  <w:style w:type="paragraph" w:styleId="Sraopastraipa">
    <w:name w:val="List Paragraph"/>
    <w:basedOn w:val="prastasis"/>
    <w:qFormat/>
    <w:rsid w:val="0040523C"/>
    <w:pPr>
      <w:ind w:left="1296"/>
    </w:pPr>
    <w:rPr>
      <w:szCs w:val="24"/>
    </w:rPr>
  </w:style>
  <w:style w:type="paragraph" w:customStyle="1" w:styleId="tajtip">
    <w:name w:val="tajtip"/>
    <w:basedOn w:val="prastasis"/>
    <w:rsid w:val="00881E1A"/>
    <w:pPr>
      <w:spacing w:after="150"/>
    </w:pPr>
    <w:rPr>
      <w:szCs w:val="24"/>
    </w:rPr>
  </w:style>
  <w:style w:type="character" w:customStyle="1" w:styleId="Bodytext95ptNotBold">
    <w:name w:val="Body text + 9;5 pt;Not Bold"/>
    <w:basedOn w:val="Numatytasispastraiposriftas"/>
    <w:rsid w:val="00F4562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paragraph" w:styleId="Komentarotema">
    <w:name w:val="annotation subject"/>
    <w:basedOn w:val="Komentarotekstas"/>
    <w:next w:val="Komentarotekstas"/>
    <w:link w:val="KomentarotemaDiagrama"/>
    <w:semiHidden/>
    <w:unhideWhenUsed/>
    <w:rsid w:val="00F45623"/>
    <w:rPr>
      <w:rFonts w:ascii="Times New Roman" w:hAnsi="Times New Roman" w:cs="Times New Roman"/>
      <w:b/>
      <w:kern w:val="0"/>
      <w:lang w:eastAsia="lt-LT"/>
    </w:rPr>
  </w:style>
  <w:style w:type="character" w:customStyle="1" w:styleId="KomentarotemaDiagrama">
    <w:name w:val="Komentaro tema Diagrama"/>
    <w:basedOn w:val="KomentarotekstasDiagrama"/>
    <w:link w:val="Komentarotema"/>
    <w:semiHidden/>
    <w:rsid w:val="00F45623"/>
    <w:rPr>
      <w:rFonts w:ascii="TimesLT" w:hAnsi="TimesLT" w:cs="Arial"/>
      <w:b/>
      <w:bCs/>
      <w:kern w:val="32"/>
      <w:lang w:val="lt-LT" w:eastAsia="lt-LT"/>
    </w:rPr>
  </w:style>
  <w:style w:type="character" w:customStyle="1" w:styleId="Bodytext9">
    <w:name w:val="Body text + 9"/>
    <w:aliases w:val="5 pt,Not Bold"/>
    <w:basedOn w:val="Numatytasispastraiposriftas"/>
    <w:rsid w:val="00872CD8"/>
    <w:rPr>
      <w:rFonts w:ascii="Times New Roman" w:hAnsi="Times New Roman" w:cs="Times New Roman" w:hint="default"/>
      <w:b/>
      <w:bCs/>
      <w:i w:val="0"/>
      <w:iCs w:val="0"/>
      <w:smallCaps w:val="0"/>
      <w:strike w:val="0"/>
      <w:dstrike w:val="0"/>
      <w:color w:val="000000"/>
      <w:spacing w:val="0"/>
      <w:position w:val="0"/>
      <w:u w:val="none"/>
      <w:effect w:val="none"/>
      <w:shd w:val="clear" w:color="auto" w:fill="FFFFFF"/>
      <w:lang w:eastAsia="lt-LT"/>
    </w:rPr>
  </w:style>
  <w:style w:type="paragraph" w:styleId="Pagrindinistekstas2">
    <w:name w:val="Body Text 2"/>
    <w:basedOn w:val="prastasis"/>
    <w:link w:val="Pagrindinistekstas2Diagrama"/>
    <w:semiHidden/>
    <w:unhideWhenUsed/>
    <w:rsid w:val="0047572E"/>
    <w:pPr>
      <w:spacing w:after="120" w:line="480" w:lineRule="auto"/>
    </w:pPr>
  </w:style>
  <w:style w:type="character" w:customStyle="1" w:styleId="Pagrindinistekstas2Diagrama">
    <w:name w:val="Pagrindinis tekstas 2 Diagrama"/>
    <w:basedOn w:val="Numatytasispastraiposriftas"/>
    <w:link w:val="Pagrindinistekstas2"/>
    <w:semiHidden/>
    <w:rsid w:val="0047572E"/>
    <w:rPr>
      <w:sz w:val="24"/>
      <w:lang w:val="lt-LT" w:eastAsia="lt-LT"/>
    </w:rPr>
  </w:style>
  <w:style w:type="paragraph" w:styleId="Betarp">
    <w:name w:val="No Spacing"/>
    <w:uiPriority w:val="1"/>
    <w:qFormat/>
    <w:rsid w:val="0047572E"/>
    <w:rPr>
      <w:sz w:val="24"/>
      <w:lang w:val="lt-LT" w:eastAsia="lt-LT"/>
    </w:rPr>
  </w:style>
  <w:style w:type="paragraph" w:customStyle="1" w:styleId="Default">
    <w:name w:val="Default"/>
    <w:rsid w:val="0047572E"/>
    <w:pPr>
      <w:autoSpaceDE w:val="0"/>
      <w:autoSpaceDN w:val="0"/>
      <w:adjustRightInd w:val="0"/>
    </w:pPr>
    <w:rPr>
      <w:rFonts w:ascii="EUAlbertina" w:hAnsi="EUAlbertina" w:cs="EUAlbertina"/>
      <w:color w:val="000000"/>
      <w:sz w:val="24"/>
      <w:szCs w:val="24"/>
    </w:rPr>
  </w:style>
  <w:style w:type="character" w:customStyle="1" w:styleId="FontStyle53">
    <w:name w:val="Font Style53"/>
    <w:rsid w:val="00C23A16"/>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626724">
      <w:bodyDiv w:val="1"/>
      <w:marLeft w:val="225"/>
      <w:marRight w:val="225"/>
      <w:marTop w:val="0"/>
      <w:marBottom w:val="0"/>
      <w:divBdr>
        <w:top w:val="none" w:sz="0" w:space="0" w:color="auto"/>
        <w:left w:val="none" w:sz="0" w:space="0" w:color="auto"/>
        <w:bottom w:val="none" w:sz="0" w:space="0" w:color="auto"/>
        <w:right w:val="none" w:sz="0" w:space="0" w:color="auto"/>
      </w:divBdr>
      <w:divsChild>
        <w:div w:id="732581637">
          <w:marLeft w:val="0"/>
          <w:marRight w:val="0"/>
          <w:marTop w:val="0"/>
          <w:marBottom w:val="0"/>
          <w:divBdr>
            <w:top w:val="none" w:sz="0" w:space="0" w:color="auto"/>
            <w:left w:val="none" w:sz="0" w:space="0" w:color="auto"/>
            <w:bottom w:val="none" w:sz="0" w:space="0" w:color="auto"/>
            <w:right w:val="none" w:sz="0" w:space="0" w:color="auto"/>
          </w:divBdr>
        </w:div>
      </w:divsChild>
    </w:div>
    <w:div w:id="385034512">
      <w:bodyDiv w:val="1"/>
      <w:marLeft w:val="0"/>
      <w:marRight w:val="0"/>
      <w:marTop w:val="0"/>
      <w:marBottom w:val="0"/>
      <w:divBdr>
        <w:top w:val="none" w:sz="0" w:space="0" w:color="auto"/>
        <w:left w:val="none" w:sz="0" w:space="0" w:color="auto"/>
        <w:bottom w:val="none" w:sz="0" w:space="0" w:color="auto"/>
        <w:right w:val="none" w:sz="0" w:space="0" w:color="auto"/>
      </w:divBdr>
    </w:div>
    <w:div w:id="608467923">
      <w:bodyDiv w:val="1"/>
      <w:marLeft w:val="0"/>
      <w:marRight w:val="0"/>
      <w:marTop w:val="0"/>
      <w:marBottom w:val="0"/>
      <w:divBdr>
        <w:top w:val="none" w:sz="0" w:space="0" w:color="auto"/>
        <w:left w:val="none" w:sz="0" w:space="0" w:color="auto"/>
        <w:bottom w:val="none" w:sz="0" w:space="0" w:color="auto"/>
        <w:right w:val="none" w:sz="0" w:space="0" w:color="auto"/>
      </w:divBdr>
    </w:div>
    <w:div w:id="792140780">
      <w:bodyDiv w:val="1"/>
      <w:marLeft w:val="225"/>
      <w:marRight w:val="225"/>
      <w:marTop w:val="0"/>
      <w:marBottom w:val="0"/>
      <w:divBdr>
        <w:top w:val="none" w:sz="0" w:space="0" w:color="auto"/>
        <w:left w:val="none" w:sz="0" w:space="0" w:color="auto"/>
        <w:bottom w:val="none" w:sz="0" w:space="0" w:color="auto"/>
        <w:right w:val="none" w:sz="0" w:space="0" w:color="auto"/>
      </w:divBdr>
      <w:divsChild>
        <w:div w:id="109708923">
          <w:marLeft w:val="0"/>
          <w:marRight w:val="0"/>
          <w:marTop w:val="0"/>
          <w:marBottom w:val="0"/>
          <w:divBdr>
            <w:top w:val="none" w:sz="0" w:space="0" w:color="auto"/>
            <w:left w:val="none" w:sz="0" w:space="0" w:color="auto"/>
            <w:bottom w:val="none" w:sz="0" w:space="0" w:color="auto"/>
            <w:right w:val="none" w:sz="0" w:space="0" w:color="auto"/>
          </w:divBdr>
        </w:div>
      </w:divsChild>
    </w:div>
    <w:div w:id="811098232">
      <w:bodyDiv w:val="1"/>
      <w:marLeft w:val="225"/>
      <w:marRight w:val="225"/>
      <w:marTop w:val="0"/>
      <w:marBottom w:val="0"/>
      <w:divBdr>
        <w:top w:val="none" w:sz="0" w:space="0" w:color="auto"/>
        <w:left w:val="none" w:sz="0" w:space="0" w:color="auto"/>
        <w:bottom w:val="none" w:sz="0" w:space="0" w:color="auto"/>
        <w:right w:val="none" w:sz="0" w:space="0" w:color="auto"/>
      </w:divBdr>
      <w:divsChild>
        <w:div w:id="718826892">
          <w:marLeft w:val="0"/>
          <w:marRight w:val="0"/>
          <w:marTop w:val="0"/>
          <w:marBottom w:val="0"/>
          <w:divBdr>
            <w:top w:val="none" w:sz="0" w:space="0" w:color="auto"/>
            <w:left w:val="none" w:sz="0" w:space="0" w:color="auto"/>
            <w:bottom w:val="none" w:sz="0" w:space="0" w:color="auto"/>
            <w:right w:val="none" w:sz="0" w:space="0" w:color="auto"/>
          </w:divBdr>
        </w:div>
      </w:divsChild>
    </w:div>
    <w:div w:id="1385449550">
      <w:bodyDiv w:val="1"/>
      <w:marLeft w:val="0"/>
      <w:marRight w:val="0"/>
      <w:marTop w:val="0"/>
      <w:marBottom w:val="0"/>
      <w:divBdr>
        <w:top w:val="none" w:sz="0" w:space="0" w:color="auto"/>
        <w:left w:val="none" w:sz="0" w:space="0" w:color="auto"/>
        <w:bottom w:val="none" w:sz="0" w:space="0" w:color="auto"/>
        <w:right w:val="none" w:sz="0" w:space="0" w:color="auto"/>
      </w:divBdr>
    </w:div>
    <w:div w:id="1441296122">
      <w:bodyDiv w:val="1"/>
      <w:marLeft w:val="0"/>
      <w:marRight w:val="0"/>
      <w:marTop w:val="0"/>
      <w:marBottom w:val="0"/>
      <w:divBdr>
        <w:top w:val="none" w:sz="0" w:space="0" w:color="auto"/>
        <w:left w:val="none" w:sz="0" w:space="0" w:color="auto"/>
        <w:bottom w:val="none" w:sz="0" w:space="0" w:color="auto"/>
        <w:right w:val="none" w:sz="0" w:space="0" w:color="auto"/>
      </w:divBdr>
    </w:div>
    <w:div w:id="1632321647">
      <w:bodyDiv w:val="1"/>
      <w:marLeft w:val="0"/>
      <w:marRight w:val="0"/>
      <w:marTop w:val="0"/>
      <w:marBottom w:val="0"/>
      <w:divBdr>
        <w:top w:val="none" w:sz="0" w:space="0" w:color="auto"/>
        <w:left w:val="none" w:sz="0" w:space="0" w:color="auto"/>
        <w:bottom w:val="none" w:sz="0" w:space="0" w:color="auto"/>
        <w:right w:val="none" w:sz="0" w:space="0" w:color="auto"/>
      </w:divBdr>
    </w:div>
    <w:div w:id="20638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C59B-FED9-4061-B764-F9B114B769E5}">
  <ds:schemaRefs>
    <ds:schemaRef ds:uri="http://schemas.microsoft.com/sharepoint/v3/contenttype/forms"/>
  </ds:schemaRefs>
</ds:datastoreItem>
</file>

<file path=customXml/itemProps2.xml><?xml version="1.0" encoding="utf-8"?>
<ds:datastoreItem xmlns:ds="http://schemas.openxmlformats.org/officeDocument/2006/customXml" ds:itemID="{47EC22CA-9A67-47A2-B909-C568422E4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5E7D-9BE7-42F7-88F6-4540C2B267E5}">
  <ds:schemaRefs>
    <ds:schemaRef ds:uri="http://purl.org/dc/elements/1.1/"/>
    <ds:schemaRef ds:uri="ac5424a2-8b2b-41b0-9413-5dc6a4d9b38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9d752207-9266-4757-83fe-db16c7e309f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0DEE368-2F66-4D55-8FB7-085AF2A8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1253</Words>
  <Characters>9530</Characters>
  <Application>Microsoft Office Word</Application>
  <DocSecurity>0</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 M</vt:lpstr>
      <vt:lpstr>2009 M</vt:lpstr>
    </vt:vector>
  </TitlesOfParts>
  <Company>Valstybinė kainų ir energetikos kontrolės komisija</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2019-11-24T22:21:00Z</dcterms:created>
  <dc:creator>RRT</dc:creator>
  <cp:lastModifiedBy>Ausra Grebliunaite</cp:lastModifiedBy>
  <dcterms:modified xsi:type="dcterms:W3CDTF">2019-11-24T23:26:00Z</dcterms:modified>
  <cp:revision>41</cp:revision>
  <dc:title>2009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