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10C" w:rsidRPr="00DC75A7" w:rsidRDefault="00BC610C" w:rsidP="00DC75A7">
      <w:pPr>
        <w:jc w:val="center"/>
        <w:rPr>
          <w:b/>
          <w:caps/>
          <w:noProof w:val="0"/>
        </w:rPr>
      </w:pPr>
      <w:bookmarkStart w:id="0" w:name="_GoBack"/>
      <w:bookmarkEnd w:id="0"/>
      <w:r w:rsidRPr="00DC75A7">
        <w:rPr>
          <w:b/>
          <w:caps/>
          <w:noProof w:val="0"/>
        </w:rPr>
        <w:t xml:space="preserve">PAŽYMA </w:t>
      </w:r>
    </w:p>
    <w:p w:rsidR="00E35EA1" w:rsidRPr="00DC75A7" w:rsidRDefault="00643E84" w:rsidP="00643E84">
      <w:pPr>
        <w:jc w:val="center"/>
        <w:rPr>
          <w:b/>
        </w:rPr>
      </w:pPr>
      <w:r w:rsidRPr="00DC75A7">
        <w:rPr>
          <w:b/>
        </w:rPr>
        <w:t xml:space="preserve">APIE </w:t>
      </w:r>
      <w:r w:rsidR="00E35EA1" w:rsidRPr="00DC75A7">
        <w:rPr>
          <w:b/>
        </w:rPr>
        <w:t xml:space="preserve">LIETUVOS RESPUBLIKOS </w:t>
      </w:r>
      <w:r w:rsidRPr="00DC75A7">
        <w:rPr>
          <w:b/>
        </w:rPr>
        <w:t xml:space="preserve">ADVOKATŪROS ĮSTATYMO </w:t>
      </w:r>
      <w:r w:rsidR="00E35EA1" w:rsidRPr="00DC75A7">
        <w:rPr>
          <w:b/>
        </w:rPr>
        <w:t>NR. IX-2066 16, 23, 36, 52, 53, 54, 55, 61 IR 67</w:t>
      </w:r>
      <w:r w:rsidR="00E35EA1" w:rsidRPr="00DC75A7">
        <w:rPr>
          <w:b/>
          <w:vertAlign w:val="superscript"/>
        </w:rPr>
        <w:t xml:space="preserve"> </w:t>
      </w:r>
      <w:r w:rsidR="00E35EA1" w:rsidRPr="00DC75A7">
        <w:rPr>
          <w:b/>
        </w:rPr>
        <w:t xml:space="preserve">STRAIPSNIŲ PAKEITIMO ĮSTATYMO, </w:t>
      </w:r>
      <w:r w:rsidR="000A18CE" w:rsidRPr="000A18CE">
        <w:rPr>
          <w:b/>
          <w:noProof w:val="0"/>
          <w:lang w:eastAsia="ar-SA"/>
        </w:rPr>
        <w:t xml:space="preserve">LIETUVOS RESPUBLIKOS </w:t>
      </w:r>
      <w:r w:rsidR="000A18CE" w:rsidRPr="000A18CE">
        <w:rPr>
          <w:rFonts w:eastAsia="Calibri"/>
          <w:b/>
          <w:noProof w:val="0"/>
          <w:lang w:eastAsia="ar-SA"/>
        </w:rPr>
        <w:t>NOTARIATO ĮSTATYMO NR. I-2882 10</w:t>
      </w:r>
      <w:r w:rsidR="000A18CE" w:rsidRPr="000A18CE">
        <w:rPr>
          <w:rFonts w:eastAsia="Calibri"/>
          <w:b/>
          <w:noProof w:val="0"/>
          <w:vertAlign w:val="superscript"/>
          <w:lang w:eastAsia="ar-SA"/>
        </w:rPr>
        <w:t>1</w:t>
      </w:r>
      <w:r w:rsidR="000A18CE" w:rsidRPr="000A18CE">
        <w:rPr>
          <w:rFonts w:eastAsia="Calibri"/>
          <w:b/>
          <w:noProof w:val="0"/>
          <w:lang w:eastAsia="ar-SA"/>
        </w:rPr>
        <w:t>, 10</w:t>
      </w:r>
      <w:r w:rsidR="000A18CE" w:rsidRPr="000A18CE">
        <w:rPr>
          <w:rFonts w:eastAsia="Calibri"/>
          <w:b/>
          <w:noProof w:val="0"/>
          <w:vertAlign w:val="superscript"/>
          <w:lang w:eastAsia="ar-SA"/>
        </w:rPr>
        <w:t>3</w:t>
      </w:r>
      <w:r w:rsidR="000A18CE" w:rsidRPr="000A18CE">
        <w:rPr>
          <w:rFonts w:eastAsia="Calibri"/>
          <w:b/>
          <w:noProof w:val="0"/>
          <w:lang w:eastAsia="ar-SA"/>
        </w:rPr>
        <w:t xml:space="preserve"> STRAIPSNIŲ PAKEITIMO, ĮSTATYMO PAPILDYMO NAUJU 10</w:t>
      </w:r>
      <w:r w:rsidR="000A18CE" w:rsidRPr="000A18CE">
        <w:rPr>
          <w:rFonts w:eastAsia="Calibri"/>
          <w:b/>
          <w:noProof w:val="0"/>
          <w:vertAlign w:val="superscript"/>
          <w:lang w:eastAsia="ar-SA"/>
        </w:rPr>
        <w:t>2</w:t>
      </w:r>
      <w:r w:rsidR="000A18CE" w:rsidRPr="000A18CE">
        <w:rPr>
          <w:rFonts w:eastAsia="Calibri"/>
          <w:b/>
          <w:noProof w:val="0"/>
          <w:lang w:eastAsia="ar-SA"/>
        </w:rPr>
        <w:t xml:space="preserve"> STRAIPSNIU IR 10</w:t>
      </w:r>
      <w:r w:rsidR="000A18CE" w:rsidRPr="000A18CE">
        <w:rPr>
          <w:rFonts w:eastAsia="Calibri"/>
          <w:b/>
          <w:noProof w:val="0"/>
          <w:vertAlign w:val="superscript"/>
          <w:lang w:eastAsia="ar-SA"/>
        </w:rPr>
        <w:t>2</w:t>
      </w:r>
      <w:r w:rsidR="000A18CE" w:rsidRPr="000A18CE">
        <w:rPr>
          <w:rFonts w:eastAsia="Calibri"/>
          <w:b/>
          <w:noProof w:val="0"/>
          <w:lang w:eastAsia="ar-SA"/>
        </w:rPr>
        <w:t xml:space="preserve"> STRAIPSNIO PERNUMERAVIMO </w:t>
      </w:r>
      <w:r w:rsidR="000A18CE" w:rsidRPr="000A18CE">
        <w:rPr>
          <w:rFonts w:eastAsia="Calibri"/>
          <w:b/>
          <w:noProof w:val="0"/>
          <w:lang w:eastAsia="en-US"/>
        </w:rPr>
        <w:t>ĮSTATYMO</w:t>
      </w:r>
      <w:r w:rsidR="000A18CE" w:rsidRPr="000A18CE">
        <w:rPr>
          <w:b/>
          <w:bCs/>
          <w:noProof w:val="0"/>
          <w:lang w:eastAsia="ar-SA"/>
        </w:rPr>
        <w:t>,</w:t>
      </w:r>
      <w:r w:rsidR="00E35EA1" w:rsidRPr="00DC75A7">
        <w:rPr>
          <w:b/>
          <w:bCs/>
        </w:rPr>
        <w:t xml:space="preserve"> LIETUVOS RESPUBLIKOS ANTSTOLIŲ ĮSTATYMO NR. IX-876 13, 14, 15 IR 49 STRAIPSNIŲ PAKEITIMO ĮSTATYMO</w:t>
      </w:r>
    </w:p>
    <w:p w:rsidR="00BC610C" w:rsidRPr="00DC75A7" w:rsidRDefault="002A0074" w:rsidP="00DC75A7">
      <w:pPr>
        <w:snapToGrid w:val="0"/>
        <w:jc w:val="center"/>
        <w:rPr>
          <w:b/>
          <w:caps/>
          <w:noProof w:val="0"/>
        </w:rPr>
      </w:pPr>
      <w:r w:rsidRPr="00DC75A7">
        <w:rPr>
          <w:b/>
          <w:caps/>
          <w:noProof w:val="0"/>
        </w:rPr>
        <w:t>derinimą</w:t>
      </w:r>
    </w:p>
    <w:p w:rsidR="00E52B6A" w:rsidRPr="00DC75A7" w:rsidRDefault="00E52B6A" w:rsidP="00DC75A7">
      <w:pPr>
        <w:pStyle w:val="tekstas"/>
        <w:spacing w:before="0" w:beforeAutospacing="0" w:after="0" w:afterAutospacing="0"/>
        <w:ind w:right="40" w:firstLine="720"/>
        <w:jc w:val="both"/>
        <w:rPr>
          <w:b/>
          <w:caps/>
        </w:rPr>
      </w:pPr>
    </w:p>
    <w:tbl>
      <w:tblPr>
        <w:tblW w:w="15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3"/>
        <w:gridCol w:w="7371"/>
        <w:gridCol w:w="6642"/>
        <w:gridCol w:w="19"/>
      </w:tblGrid>
      <w:tr w:rsidR="00112520" w:rsidRPr="00DC75A7" w:rsidTr="001A3AA4">
        <w:trPr>
          <w:gridAfter w:val="1"/>
          <w:wAfter w:w="19" w:type="dxa"/>
          <w:trHeight w:val="49"/>
        </w:trPr>
        <w:tc>
          <w:tcPr>
            <w:tcW w:w="1413" w:type="dxa"/>
          </w:tcPr>
          <w:p w:rsidR="00112520" w:rsidRPr="00DC75A7" w:rsidRDefault="00112520" w:rsidP="00DC75A7">
            <w:pPr>
              <w:jc w:val="both"/>
              <w:rPr>
                <w:noProof w:val="0"/>
              </w:rPr>
            </w:pPr>
            <w:r w:rsidRPr="00DC75A7">
              <w:rPr>
                <w:b/>
                <w:noProof w:val="0"/>
              </w:rPr>
              <w:t>Institucijos pavadinimas (rašto data ir Nr.)</w:t>
            </w:r>
          </w:p>
        </w:tc>
        <w:tc>
          <w:tcPr>
            <w:tcW w:w="7371" w:type="dxa"/>
          </w:tcPr>
          <w:p w:rsidR="00112520" w:rsidRPr="00DC75A7" w:rsidRDefault="00112520" w:rsidP="00DC75A7">
            <w:pPr>
              <w:jc w:val="both"/>
              <w:rPr>
                <w:noProof w:val="0"/>
              </w:rPr>
            </w:pPr>
            <w:r w:rsidRPr="00DC75A7">
              <w:rPr>
                <w:b/>
                <w:noProof w:val="0"/>
              </w:rPr>
              <w:t>Pasiūlymas/pastaba</w:t>
            </w:r>
          </w:p>
        </w:tc>
        <w:tc>
          <w:tcPr>
            <w:tcW w:w="6642" w:type="dxa"/>
          </w:tcPr>
          <w:p w:rsidR="00112520" w:rsidRPr="00DC75A7" w:rsidRDefault="00516071" w:rsidP="00DC75A7">
            <w:pPr>
              <w:jc w:val="both"/>
              <w:rPr>
                <w:b/>
                <w:noProof w:val="0"/>
              </w:rPr>
            </w:pPr>
            <w:r w:rsidRPr="00DC75A7">
              <w:rPr>
                <w:b/>
                <w:noProof w:val="0"/>
              </w:rPr>
              <w:t>Komentarai</w:t>
            </w:r>
          </w:p>
          <w:p w:rsidR="00112520" w:rsidRPr="00DC75A7" w:rsidRDefault="00112520" w:rsidP="00DC75A7">
            <w:pPr>
              <w:jc w:val="both"/>
              <w:rPr>
                <w:noProof w:val="0"/>
              </w:rPr>
            </w:pPr>
          </w:p>
        </w:tc>
      </w:tr>
      <w:tr w:rsidR="00346F03" w:rsidRPr="00DC75A7" w:rsidTr="001A3AA4">
        <w:tblPrEx>
          <w:tblLook w:val="0000" w:firstRow="0" w:lastRow="0" w:firstColumn="0" w:lastColumn="0" w:noHBand="0" w:noVBand="0"/>
        </w:tblPrEx>
        <w:trPr>
          <w:trHeight w:val="699"/>
        </w:trPr>
        <w:tc>
          <w:tcPr>
            <w:tcW w:w="1413" w:type="dxa"/>
          </w:tcPr>
          <w:p w:rsidR="00BC610C" w:rsidRPr="00DC75A7" w:rsidRDefault="00A23448" w:rsidP="00DC75A7">
            <w:pPr>
              <w:jc w:val="both"/>
              <w:rPr>
                <w:noProof w:val="0"/>
              </w:rPr>
            </w:pPr>
            <w:r w:rsidRPr="00DC75A7">
              <w:rPr>
                <w:noProof w:val="0"/>
              </w:rPr>
              <w:t xml:space="preserve">Lietuvos </w:t>
            </w:r>
            <w:r w:rsidR="00E35EA1" w:rsidRPr="00DC75A7">
              <w:rPr>
                <w:noProof w:val="0"/>
              </w:rPr>
              <w:t>advokatūros</w:t>
            </w:r>
            <w:r w:rsidR="002A0074" w:rsidRPr="00DC75A7">
              <w:rPr>
                <w:noProof w:val="0"/>
              </w:rPr>
              <w:t xml:space="preserve"> 201</w:t>
            </w:r>
            <w:r w:rsidR="00E35EA1" w:rsidRPr="00DC75A7">
              <w:rPr>
                <w:noProof w:val="0"/>
              </w:rPr>
              <w:t>9</w:t>
            </w:r>
            <w:r w:rsidR="002A0074" w:rsidRPr="00DC75A7">
              <w:rPr>
                <w:noProof w:val="0"/>
              </w:rPr>
              <w:t>-</w:t>
            </w:r>
            <w:r w:rsidR="00E35EA1" w:rsidRPr="00DC75A7">
              <w:rPr>
                <w:noProof w:val="0"/>
              </w:rPr>
              <w:t>07</w:t>
            </w:r>
            <w:r w:rsidR="002A0074" w:rsidRPr="00DC75A7">
              <w:rPr>
                <w:noProof w:val="0"/>
              </w:rPr>
              <w:t>-</w:t>
            </w:r>
            <w:r w:rsidR="00E35EA1" w:rsidRPr="00DC75A7">
              <w:rPr>
                <w:noProof w:val="0"/>
              </w:rPr>
              <w:t>15</w:t>
            </w:r>
            <w:r w:rsidR="002A0074" w:rsidRPr="00DC75A7">
              <w:rPr>
                <w:noProof w:val="0"/>
              </w:rPr>
              <w:t xml:space="preserve"> raštas Nr. </w:t>
            </w:r>
            <w:r w:rsidR="00E35EA1" w:rsidRPr="00DC75A7">
              <w:rPr>
                <w:noProof w:val="0"/>
              </w:rPr>
              <w:t>609</w:t>
            </w:r>
          </w:p>
        </w:tc>
        <w:tc>
          <w:tcPr>
            <w:tcW w:w="7371" w:type="dxa"/>
            <w:shd w:val="clear" w:color="auto" w:fill="auto"/>
          </w:tcPr>
          <w:p w:rsidR="00E35252" w:rsidRPr="00DC75A7" w:rsidRDefault="00E35252" w:rsidP="00DC75A7">
            <w:pPr>
              <w:tabs>
                <w:tab w:val="left" w:pos="993"/>
              </w:tabs>
              <w:ind w:firstLine="709"/>
              <w:jc w:val="both"/>
              <w:rPr>
                <w:rFonts w:eastAsia="MS Mincho"/>
                <w:b/>
                <w:noProof w:val="0"/>
                <w:color w:val="000000"/>
                <w:lang w:eastAsia="en-US"/>
              </w:rPr>
            </w:pPr>
            <w:r w:rsidRPr="00DC75A7">
              <w:rPr>
                <w:rFonts w:eastAsia="MS Mincho"/>
                <w:b/>
                <w:noProof w:val="0"/>
                <w:color w:val="000000"/>
                <w:lang w:eastAsia="en-US"/>
              </w:rPr>
              <w:t>Dėl teisinio reguliavimo poreikio</w:t>
            </w:r>
          </w:p>
          <w:p w:rsidR="00E35252" w:rsidRPr="00DC75A7" w:rsidRDefault="00E35252" w:rsidP="00DC75A7">
            <w:pPr>
              <w:tabs>
                <w:tab w:val="left" w:pos="993"/>
              </w:tabs>
              <w:ind w:firstLine="709"/>
              <w:jc w:val="both"/>
              <w:rPr>
                <w:rFonts w:eastAsia="MS Mincho"/>
                <w:noProof w:val="0"/>
                <w:color w:val="000000"/>
                <w:lang w:eastAsia="en-US"/>
              </w:rPr>
            </w:pPr>
            <w:r w:rsidRPr="00DC75A7">
              <w:rPr>
                <w:rFonts w:eastAsia="MS Mincho"/>
                <w:bCs/>
                <w:iCs/>
                <w:noProof w:val="0"/>
                <w:lang w:eastAsia="en-US"/>
              </w:rPr>
              <w:t xml:space="preserve">Teisėkūros atvirumo ir skaidrumo principas reikalauja, kad, be kita ko, būtų žinomas </w:t>
            </w:r>
            <w:r w:rsidRPr="00DC75A7">
              <w:rPr>
                <w:rFonts w:eastAsia="MS Mincho"/>
                <w:bCs/>
                <w:i/>
                <w:iCs/>
                <w:noProof w:val="0"/>
                <w:lang w:eastAsia="en-US"/>
              </w:rPr>
              <w:t>teisinio reguliavimo poreikis</w:t>
            </w:r>
            <w:r w:rsidRPr="00DC75A7">
              <w:rPr>
                <w:rFonts w:eastAsia="MS Mincho"/>
                <w:bCs/>
                <w:iCs/>
                <w:noProof w:val="0"/>
                <w:lang w:eastAsia="en-US"/>
              </w:rPr>
              <w:t xml:space="preserve"> (TPĮ 3 str. 2 d. 4 p.). Įstatymo projekto aiškinamajame rašte </w:t>
            </w:r>
            <w:r w:rsidRPr="00DC75A7">
              <w:rPr>
                <w:rFonts w:eastAsia="MS Mincho"/>
                <w:bCs/>
                <w:i/>
                <w:iCs/>
                <w:noProof w:val="0"/>
                <w:lang w:eastAsia="en-US"/>
              </w:rPr>
              <w:t xml:space="preserve">(toliau – Aiškinamasis raštas) </w:t>
            </w:r>
            <w:r w:rsidRPr="00DC75A7">
              <w:rPr>
                <w:rFonts w:eastAsia="MS Mincho"/>
                <w:bCs/>
                <w:iCs/>
                <w:noProof w:val="0"/>
                <w:lang w:eastAsia="en-US"/>
              </w:rPr>
              <w:t>ir kituose</w:t>
            </w:r>
            <w:r w:rsidRPr="00DC75A7">
              <w:rPr>
                <w:rFonts w:eastAsia="MS Mincho"/>
                <w:bCs/>
                <w:i/>
                <w:iCs/>
                <w:noProof w:val="0"/>
                <w:lang w:eastAsia="en-US"/>
              </w:rPr>
              <w:t xml:space="preserve"> </w:t>
            </w:r>
            <w:r w:rsidRPr="00DC75A7">
              <w:rPr>
                <w:rFonts w:eastAsia="MS Mincho"/>
                <w:bCs/>
                <w:iCs/>
                <w:noProof w:val="0"/>
                <w:lang w:eastAsia="en-US"/>
              </w:rPr>
              <w:t>projektą lydinčiuose dokumentuose Advokatūros įstatymo teisinio reguliavimo pakeitimo poreikis nėra įvardintas ir nėra atskleistas šį poreikį pagrindžiantis turinys. Tokia praktika, Advokatūros vertinimu, neatitinka atvirumo ir skaidrumo principo ir tai grindžiame toliau pateikiamais argumentais:</w:t>
            </w:r>
          </w:p>
          <w:p w:rsidR="00E35252" w:rsidRPr="00DC75A7" w:rsidRDefault="00E35252" w:rsidP="00DC75A7">
            <w:pPr>
              <w:tabs>
                <w:tab w:val="left" w:pos="993"/>
              </w:tabs>
              <w:ind w:firstLine="709"/>
              <w:jc w:val="both"/>
              <w:rPr>
                <w:rFonts w:eastAsia="MS Mincho"/>
                <w:bCs/>
                <w:iCs/>
                <w:noProof w:val="0"/>
                <w:lang w:eastAsia="en-US"/>
              </w:rPr>
            </w:pPr>
            <w:r w:rsidRPr="00DC75A7">
              <w:rPr>
                <w:rFonts w:eastAsia="MS Mincho"/>
                <w:b/>
                <w:iCs/>
                <w:noProof w:val="0"/>
                <w:lang w:eastAsia="en-US"/>
              </w:rPr>
              <w:t>pirma</w:t>
            </w:r>
            <w:r w:rsidRPr="00DC75A7">
              <w:rPr>
                <w:rFonts w:eastAsia="MS Mincho"/>
                <w:bCs/>
                <w:iCs/>
                <w:noProof w:val="0"/>
                <w:lang w:eastAsia="en-US"/>
              </w:rPr>
              <w:t xml:space="preserve">, susipažinus su Aiškinamuoju raštu matyti, kad Įstatymo projekto poreikis grindžiamas visuomenės pasitikėjimu valstybės teisine sistema, kuriai priklauso ir advokatai, nes jų elgesį profesinėje veikloje visuomenės nariai traktuoja kaip esminį šių profesijų patikimumo aspektą. Pastebėtinas deklaratyvus šių teiginių pobūdis, kadangi su Įstatymo projektu nėra pateikiama jokių visuomenės poreikį siūlomiems teisinio reguliavimo pakeitimams pagrindžiančių objektyvių ir patikimų duomenų - tyrimų, objektyvia analize paremtų išvadų ar pagal TPĮ 24 str. 4 d. pateiktos </w:t>
            </w:r>
            <w:r w:rsidRPr="00DC75A7">
              <w:rPr>
                <w:rFonts w:eastAsia="MS Mincho"/>
                <w:noProof w:val="0"/>
                <w:color w:val="000000"/>
                <w:lang w:eastAsia="en-US"/>
              </w:rPr>
              <w:t>teisinio reguliavimo stebėsenos pažymos, kurioje būtų išdėstytas reikalingumas keisti teisinį reguliavimą būtent taip, kaip tai norima padaryti Įstatymo projektu</w:t>
            </w:r>
            <w:r w:rsidRPr="00DC75A7">
              <w:rPr>
                <w:rFonts w:eastAsia="MS Mincho"/>
                <w:bCs/>
                <w:iCs/>
                <w:noProof w:val="0"/>
                <w:lang w:eastAsia="en-US"/>
              </w:rPr>
              <w:t>;</w:t>
            </w:r>
          </w:p>
          <w:p w:rsidR="00E35252" w:rsidRPr="00DC75A7" w:rsidRDefault="00E35252" w:rsidP="00DC75A7">
            <w:pPr>
              <w:tabs>
                <w:tab w:val="left" w:pos="993"/>
              </w:tabs>
              <w:ind w:firstLine="709"/>
              <w:jc w:val="both"/>
              <w:rPr>
                <w:rFonts w:eastAsia="MS Mincho"/>
                <w:bCs/>
                <w:iCs/>
                <w:noProof w:val="0"/>
                <w:lang w:eastAsia="en-US"/>
              </w:rPr>
            </w:pPr>
            <w:r w:rsidRPr="00DC75A7">
              <w:rPr>
                <w:rFonts w:eastAsia="MS Mincho"/>
                <w:b/>
                <w:noProof w:val="0"/>
                <w:color w:val="000000"/>
                <w:lang w:eastAsia="en-US"/>
              </w:rPr>
              <w:t>antra</w:t>
            </w:r>
            <w:r w:rsidRPr="00DC75A7">
              <w:rPr>
                <w:rFonts w:eastAsia="MS Mincho"/>
                <w:bCs/>
                <w:noProof w:val="0"/>
                <w:color w:val="000000"/>
                <w:lang w:eastAsia="en-US"/>
              </w:rPr>
              <w:t>, pagal 2018 m. Visuomenės nuomonės ir rinkos tyrimų centro „</w:t>
            </w:r>
            <w:proofErr w:type="spellStart"/>
            <w:r w:rsidRPr="00DC75A7">
              <w:rPr>
                <w:rFonts w:eastAsia="MS Mincho"/>
                <w:bCs/>
                <w:noProof w:val="0"/>
                <w:color w:val="000000"/>
                <w:lang w:eastAsia="en-US"/>
              </w:rPr>
              <w:t>Vilmorus</w:t>
            </w:r>
            <w:proofErr w:type="spellEnd"/>
            <w:r w:rsidRPr="00DC75A7">
              <w:rPr>
                <w:rFonts w:eastAsia="MS Mincho"/>
                <w:bCs/>
                <w:noProof w:val="0"/>
                <w:color w:val="000000"/>
                <w:lang w:eastAsia="en-US"/>
              </w:rPr>
              <w:t>“ atliktos sociologinės apklausos duomenis, advokatai patenka tarp trijų teisinių profesijų, kuriomis labiausiai pasitiki gyventojai</w:t>
            </w:r>
            <w:r w:rsidRPr="00DC75A7">
              <w:rPr>
                <w:rFonts w:eastAsia="MS Mincho"/>
                <w:bCs/>
                <w:noProof w:val="0"/>
                <w:color w:val="000000"/>
                <w:vertAlign w:val="superscript"/>
                <w:lang w:eastAsia="en-US"/>
              </w:rPr>
              <w:footnoteReference w:id="1"/>
            </w:r>
            <w:r w:rsidRPr="00DC75A7">
              <w:rPr>
                <w:rFonts w:eastAsia="MS Mincho"/>
                <w:bCs/>
                <w:noProof w:val="0"/>
                <w:color w:val="000000"/>
                <w:lang w:eastAsia="en-US"/>
              </w:rPr>
              <w:t xml:space="preserve">. Taip </w:t>
            </w:r>
            <w:r w:rsidRPr="00DC75A7">
              <w:rPr>
                <w:rFonts w:eastAsia="MS Mincho"/>
                <w:bCs/>
                <w:noProof w:val="0"/>
                <w:color w:val="000000"/>
                <w:lang w:eastAsia="en-US"/>
              </w:rPr>
              <w:lastRenderedPageBreak/>
              <w:t xml:space="preserve">pat </w:t>
            </w:r>
            <w:r w:rsidRPr="00DC75A7">
              <w:rPr>
                <w:rFonts w:eastAsia="MS Mincho"/>
                <w:noProof w:val="0"/>
                <w:lang w:eastAsia="en-US"/>
              </w:rPr>
              <w:t>Lietuvos advokatūros 2019 m. užsakyta ir „</w:t>
            </w:r>
            <w:proofErr w:type="spellStart"/>
            <w:r w:rsidRPr="00DC75A7">
              <w:rPr>
                <w:rFonts w:eastAsia="MS Mincho"/>
                <w:noProof w:val="0"/>
                <w:lang w:eastAsia="en-US"/>
              </w:rPr>
              <w:t>Sprinter</w:t>
            </w:r>
            <w:proofErr w:type="spellEnd"/>
            <w:r w:rsidRPr="00DC75A7">
              <w:rPr>
                <w:rFonts w:eastAsia="MS Mincho"/>
                <w:noProof w:val="0"/>
                <w:lang w:eastAsia="en-US"/>
              </w:rPr>
              <w:t xml:space="preserve"> tyrimų“ atlikta visuomenės nuomonės apklausa apie pasitikėjimą teisine sistema parodė, kad kaip ir 2018 m. taip ir dabar, Advokatai yra treti tarp profesijų, kuriomis labiausiai pasitikima. Be to pastarasis tyrimas atskleidė, kad visuomenė teigiamai vertina ir yra linkusi pasitikėti Lietuvos advokatūra – advokatų bendruomenę atstovaujančia, prižiūrinčia ir reguliuojančia institucija pasitiki daugiau nei pusė visų Lietuvos gyventojų.</w:t>
            </w:r>
            <w:r w:rsidRPr="00DC75A7">
              <w:rPr>
                <w:rFonts w:eastAsia="MS Mincho"/>
                <w:b/>
                <w:noProof w:val="0"/>
                <w:lang w:eastAsia="en-US"/>
              </w:rPr>
              <w:t xml:space="preserve"> </w:t>
            </w:r>
            <w:r w:rsidRPr="00DC75A7">
              <w:rPr>
                <w:rFonts w:eastAsia="MS Mincho"/>
                <w:bCs/>
                <w:noProof w:val="0"/>
                <w:color w:val="000000"/>
                <w:lang w:eastAsia="en-US"/>
              </w:rPr>
              <w:t xml:space="preserve"> Šie duomenys leidžia teigti, kad Įstatymo projekto poreikis ir tikslas  - stiprinti visuomenės pasitikėjimą valstybės teisine sistema yra nepagrįstas, o siūlomi pakeitimai yra pertekliniai;</w:t>
            </w:r>
          </w:p>
          <w:p w:rsidR="00E35252" w:rsidRPr="00DC75A7" w:rsidRDefault="00E35252" w:rsidP="00DC75A7">
            <w:pPr>
              <w:tabs>
                <w:tab w:val="left" w:pos="993"/>
              </w:tabs>
              <w:ind w:firstLine="709"/>
              <w:jc w:val="both"/>
              <w:rPr>
                <w:rFonts w:eastAsia="MS Mincho"/>
                <w:b/>
                <w:bCs/>
                <w:noProof w:val="0"/>
                <w:color w:val="000000"/>
                <w:lang w:eastAsia="en-US"/>
              </w:rPr>
            </w:pPr>
            <w:r w:rsidRPr="00DC75A7">
              <w:rPr>
                <w:rFonts w:eastAsia="MS Mincho"/>
                <w:b/>
                <w:iCs/>
                <w:noProof w:val="0"/>
                <w:lang w:eastAsia="en-US"/>
              </w:rPr>
              <w:t>trečia</w:t>
            </w:r>
            <w:r w:rsidRPr="00DC75A7">
              <w:rPr>
                <w:rFonts w:eastAsia="MS Mincho"/>
                <w:bCs/>
                <w:iCs/>
                <w:noProof w:val="0"/>
                <w:lang w:eastAsia="en-US"/>
              </w:rPr>
              <w:t xml:space="preserve">, Lietuvos Respublikos teisingumo ministerijos rašte dėl Lietuvos Respublikos advokatūros įstatymo Nr. IX-2066 16, 23, 36, 52, 53, 54, 55, 61 ir 67 straipsnių pakeitimo įstatymo, Lietuvos Respublikos notariato įstatymo Nr. I-2882 </w:t>
            </w:r>
            <w:r w:rsidRPr="00DC75A7">
              <w:rPr>
                <w:rFonts w:eastAsia="MS Mincho"/>
                <w:bCs/>
                <w:caps/>
                <w:noProof w:val="0"/>
                <w:color w:val="000000"/>
                <w:shd w:val="clear" w:color="auto" w:fill="FFFFFF"/>
                <w:lang w:eastAsia="en-US"/>
              </w:rPr>
              <w:t>10</w:t>
            </w:r>
            <w:r w:rsidRPr="00DC75A7">
              <w:rPr>
                <w:rFonts w:eastAsia="MS Mincho"/>
                <w:bCs/>
                <w:caps/>
                <w:noProof w:val="0"/>
                <w:color w:val="000000"/>
                <w:shd w:val="clear" w:color="auto" w:fill="FFFFFF"/>
                <w:vertAlign w:val="superscript"/>
                <w:lang w:eastAsia="en-US"/>
              </w:rPr>
              <w:t>1</w:t>
            </w:r>
            <w:r w:rsidRPr="00DC75A7">
              <w:rPr>
                <w:rFonts w:eastAsia="MS Mincho"/>
                <w:bCs/>
                <w:caps/>
                <w:noProof w:val="0"/>
                <w:color w:val="000000"/>
                <w:shd w:val="clear" w:color="auto" w:fill="FFFFFF"/>
                <w:lang w:eastAsia="en-US"/>
              </w:rPr>
              <w:t>, 10</w:t>
            </w:r>
            <w:r w:rsidRPr="00DC75A7">
              <w:rPr>
                <w:rFonts w:eastAsia="MS Mincho"/>
                <w:bCs/>
                <w:caps/>
                <w:noProof w:val="0"/>
                <w:color w:val="000000"/>
                <w:shd w:val="clear" w:color="auto" w:fill="FFFFFF"/>
                <w:vertAlign w:val="superscript"/>
                <w:lang w:eastAsia="en-US"/>
              </w:rPr>
              <w:t>3</w:t>
            </w:r>
            <w:r w:rsidRPr="00DC75A7">
              <w:rPr>
                <w:rFonts w:eastAsia="MS Mincho"/>
                <w:bCs/>
                <w:iCs/>
                <w:noProof w:val="0"/>
                <w:lang w:eastAsia="en-US"/>
              </w:rPr>
              <w:t xml:space="preserve"> straipsnių pakeitimo, įstatymo papildymo nauju </w:t>
            </w:r>
            <w:r w:rsidRPr="00DC75A7">
              <w:rPr>
                <w:rFonts w:eastAsia="MS Mincho"/>
                <w:bCs/>
                <w:caps/>
                <w:noProof w:val="0"/>
                <w:color w:val="000000"/>
                <w:shd w:val="clear" w:color="auto" w:fill="FFFFFF"/>
                <w:lang w:eastAsia="en-US"/>
              </w:rPr>
              <w:t>10</w:t>
            </w:r>
            <w:r w:rsidRPr="00DC75A7">
              <w:rPr>
                <w:rFonts w:eastAsia="MS Mincho"/>
                <w:bCs/>
                <w:caps/>
                <w:noProof w:val="0"/>
                <w:color w:val="000000"/>
                <w:shd w:val="clear" w:color="auto" w:fill="FFFFFF"/>
                <w:vertAlign w:val="superscript"/>
                <w:lang w:eastAsia="en-US"/>
              </w:rPr>
              <w:t xml:space="preserve">2 </w:t>
            </w:r>
            <w:r w:rsidRPr="00DC75A7">
              <w:rPr>
                <w:rFonts w:eastAsia="MS Mincho"/>
                <w:bCs/>
                <w:iCs/>
                <w:noProof w:val="0"/>
                <w:lang w:eastAsia="en-US"/>
              </w:rPr>
              <w:t xml:space="preserve">straipsniu ir </w:t>
            </w:r>
            <w:r w:rsidRPr="00DC75A7">
              <w:rPr>
                <w:rFonts w:eastAsia="MS Mincho"/>
                <w:bCs/>
                <w:caps/>
                <w:noProof w:val="0"/>
                <w:color w:val="000000"/>
                <w:shd w:val="clear" w:color="auto" w:fill="FFFFFF"/>
                <w:lang w:eastAsia="en-US"/>
              </w:rPr>
              <w:t>10</w:t>
            </w:r>
            <w:r w:rsidRPr="00DC75A7">
              <w:rPr>
                <w:rFonts w:eastAsia="MS Mincho"/>
                <w:bCs/>
                <w:caps/>
                <w:noProof w:val="0"/>
                <w:color w:val="000000"/>
                <w:shd w:val="clear" w:color="auto" w:fill="FFFFFF"/>
                <w:vertAlign w:val="superscript"/>
                <w:lang w:eastAsia="en-US"/>
              </w:rPr>
              <w:t>2</w:t>
            </w:r>
            <w:r w:rsidRPr="00DC75A7">
              <w:rPr>
                <w:rFonts w:eastAsia="MS Mincho"/>
                <w:bCs/>
                <w:iCs/>
                <w:noProof w:val="0"/>
                <w:lang w:eastAsia="en-US"/>
              </w:rPr>
              <w:t xml:space="preserve"> straipsnio pernumeravimo įstatymo, Lietuvos Respublikos antstolių įstatymo Nr. IX-876 13, 14, 15 ir 49 straipsnių pakeitimo įstatymo projektų derinimo </w:t>
            </w:r>
            <w:r w:rsidRPr="00DC75A7">
              <w:rPr>
                <w:rFonts w:eastAsia="MS Mincho"/>
                <w:bCs/>
                <w:i/>
                <w:iCs/>
                <w:noProof w:val="0"/>
                <w:lang w:eastAsia="en-US"/>
              </w:rPr>
              <w:t>(toliau - Raštas)</w:t>
            </w:r>
            <w:r w:rsidRPr="00DC75A7">
              <w:rPr>
                <w:rFonts w:eastAsia="MS Mincho"/>
                <w:bCs/>
                <w:iCs/>
                <w:noProof w:val="0"/>
                <w:lang w:eastAsia="en-US"/>
              </w:rPr>
              <w:t xml:space="preserve"> nurodyta, kad Įstatymo projektas atitinka </w:t>
            </w:r>
            <w:r w:rsidRPr="00DC75A7">
              <w:rPr>
                <w:rFonts w:eastAsia="MS Mincho"/>
                <w:noProof w:val="0"/>
                <w:color w:val="000000"/>
                <w:shd w:val="clear" w:color="auto" w:fill="FFFFFF"/>
                <w:lang w:eastAsia="en-US"/>
              </w:rPr>
              <w:t xml:space="preserve">septynioliktosios Lietuvos Respublikos Vyriausybės veiklos programą, kuriai pritarta Lietuvos Respublikos Seimo 2016 m. gruodžio 13 d. nutarimu Nr. XIII-82 </w:t>
            </w:r>
            <w:r w:rsidRPr="00DC75A7">
              <w:rPr>
                <w:rFonts w:eastAsia="MS Mincho"/>
                <w:i/>
                <w:noProof w:val="0"/>
                <w:color w:val="000000"/>
                <w:shd w:val="clear" w:color="auto" w:fill="FFFFFF"/>
                <w:lang w:eastAsia="en-US"/>
              </w:rPr>
              <w:t>(toliau - Programa)</w:t>
            </w:r>
            <w:r w:rsidRPr="00DC75A7">
              <w:rPr>
                <w:rFonts w:eastAsia="MS Mincho"/>
                <w:noProof w:val="0"/>
                <w:color w:val="000000"/>
                <w:shd w:val="clear" w:color="auto" w:fill="FFFFFF"/>
                <w:lang w:eastAsia="en-US"/>
              </w:rPr>
              <w:t xml:space="preserve">. Apie konkretesnes priemones, kuriomis būtų galima sustiprinti </w:t>
            </w:r>
            <w:r w:rsidRPr="00DC75A7">
              <w:rPr>
                <w:rFonts w:eastAsia="MS Mincho"/>
                <w:bCs/>
                <w:iCs/>
                <w:noProof w:val="0"/>
                <w:lang w:eastAsia="en-US"/>
              </w:rPr>
              <w:t>visuomenės pasitikėjimą valstybės teisine sistema,</w:t>
            </w:r>
            <w:r w:rsidRPr="00DC75A7">
              <w:rPr>
                <w:rFonts w:eastAsia="MS Mincho"/>
                <w:noProof w:val="0"/>
                <w:color w:val="000000"/>
                <w:shd w:val="clear" w:color="auto" w:fill="FFFFFF"/>
                <w:lang w:eastAsia="en-US"/>
              </w:rPr>
              <w:t xml:space="preserve"> kalbama Programos V skyriaus pirmo skirsnio dalyje – „</w:t>
            </w:r>
            <w:r w:rsidRPr="00DC75A7">
              <w:rPr>
                <w:rFonts w:eastAsia="MS Mincho"/>
                <w:bCs/>
                <w:noProof w:val="0"/>
                <w:color w:val="000000"/>
                <w:lang w:eastAsia="en-US"/>
              </w:rPr>
              <w:t xml:space="preserve">Pasitikėjimo teismais ir prokuratūra atkūrimas, teisinės sistemos atvirumas ir skaidrumas“. Nei šioje dalyje, nei kokioje nors kitoje Programos dalyje nėra nurodoma ar net užsimenama apie visuomenės poreikį keisti Lietuvos advokatų savivaldos teisinį reguliavimą advokatų veiklos ar profesinės etikos pažeidimų svarstymo procese. Programoje tokie tikslai nėra iškelti ir įvardinti.    </w:t>
            </w:r>
            <w:r w:rsidRPr="00DC75A7">
              <w:rPr>
                <w:rFonts w:eastAsia="MS Mincho"/>
                <w:b/>
                <w:bCs/>
                <w:noProof w:val="0"/>
                <w:color w:val="000000"/>
                <w:lang w:eastAsia="en-US"/>
              </w:rPr>
              <w:t xml:space="preserve">       </w:t>
            </w:r>
          </w:p>
          <w:p w:rsidR="00E35252" w:rsidRPr="00DC75A7" w:rsidRDefault="00E35252" w:rsidP="00DC75A7">
            <w:pPr>
              <w:tabs>
                <w:tab w:val="left" w:pos="993"/>
              </w:tabs>
              <w:ind w:firstLine="709"/>
              <w:jc w:val="both"/>
              <w:rPr>
                <w:rFonts w:eastAsia="MS Mincho"/>
                <w:b/>
                <w:bCs/>
                <w:noProof w:val="0"/>
                <w:color w:val="000000"/>
                <w:lang w:eastAsia="en-US"/>
              </w:rPr>
            </w:pPr>
            <w:r w:rsidRPr="00DC75A7">
              <w:rPr>
                <w:rFonts w:eastAsia="MS Mincho"/>
                <w:b/>
                <w:bCs/>
                <w:noProof w:val="0"/>
                <w:color w:val="000000"/>
                <w:lang w:eastAsia="en-US"/>
              </w:rPr>
              <w:t xml:space="preserve">Dėl pareigos atlikti </w:t>
            </w:r>
            <w:r w:rsidRPr="00DC75A7">
              <w:rPr>
                <w:rFonts w:eastAsia="MS Mincho"/>
                <w:b/>
                <w:noProof w:val="0"/>
                <w:color w:val="000000"/>
                <w:lang w:eastAsia="en-US"/>
              </w:rPr>
              <w:t>numatomo teisinio reguliavimo poveikio vertinimą</w:t>
            </w:r>
          </w:p>
          <w:p w:rsidR="00E35252" w:rsidRPr="00DC75A7" w:rsidRDefault="00E35252" w:rsidP="00DC75A7">
            <w:pPr>
              <w:tabs>
                <w:tab w:val="left" w:pos="993"/>
              </w:tabs>
              <w:ind w:firstLine="709"/>
              <w:jc w:val="both"/>
              <w:rPr>
                <w:noProof w:val="0"/>
                <w:color w:val="000000"/>
              </w:rPr>
            </w:pPr>
            <w:r w:rsidRPr="00DC75A7">
              <w:rPr>
                <w:rFonts w:eastAsia="MS Mincho"/>
                <w:bCs/>
                <w:iCs/>
                <w:noProof w:val="0"/>
                <w:lang w:eastAsia="en-US"/>
              </w:rPr>
              <w:t xml:space="preserve">Atvirumo ir skaidrumo principas reikalauja to, kad turi būti žinomi </w:t>
            </w:r>
            <w:r w:rsidRPr="00DC75A7">
              <w:rPr>
                <w:rFonts w:eastAsia="MS Mincho"/>
                <w:i/>
                <w:noProof w:val="0"/>
                <w:color w:val="000000"/>
                <w:lang w:eastAsia="en-US"/>
              </w:rPr>
              <w:t>numatomo teisinio reguliavimo poveikio vertinimą</w:t>
            </w:r>
            <w:r w:rsidRPr="00DC75A7">
              <w:rPr>
                <w:rFonts w:eastAsia="MS Mincho"/>
                <w:noProof w:val="0"/>
                <w:color w:val="000000"/>
                <w:lang w:eastAsia="en-US"/>
              </w:rPr>
              <w:t xml:space="preserve"> atlikę subjektai </w:t>
            </w:r>
            <w:r w:rsidRPr="00DC75A7">
              <w:rPr>
                <w:rFonts w:eastAsia="MS Mincho"/>
                <w:bCs/>
                <w:iCs/>
                <w:noProof w:val="0"/>
                <w:lang w:eastAsia="en-US"/>
              </w:rPr>
              <w:t xml:space="preserve">(TPĮ 3 str. 2 d. 4 p.). Pastebėtina, kad tokie subjektai Įstatymo projektą lydinčiuose dokumentuose nėra numatyti. Rašte nurodyta, kad Įstatymo projektu iš esmės nėra keičiamas esamas teisinis reguliavimas ar reguliuojami iki šiol </w:t>
            </w:r>
            <w:r w:rsidRPr="00DC75A7">
              <w:rPr>
                <w:rFonts w:eastAsia="MS Mincho"/>
                <w:bCs/>
                <w:iCs/>
                <w:noProof w:val="0"/>
                <w:lang w:eastAsia="en-US"/>
              </w:rPr>
              <w:lastRenderedPageBreak/>
              <w:t xml:space="preserve">nesureguliuoti santykiai, todėl </w:t>
            </w:r>
            <w:r w:rsidRPr="00DC75A7">
              <w:rPr>
                <w:rFonts w:eastAsia="MS Mincho"/>
                <w:noProof w:val="0"/>
                <w:color w:val="000000"/>
                <w:lang w:eastAsia="en-US"/>
              </w:rPr>
              <w:t xml:space="preserve">numatomo teisinio reguliavimo poveikio vertinimas neatliekamas. Pagal </w:t>
            </w:r>
            <w:r w:rsidRPr="00DC75A7">
              <w:rPr>
                <w:rFonts w:eastAsia="MS Mincho"/>
                <w:bCs/>
                <w:iCs/>
                <w:noProof w:val="0"/>
                <w:lang w:eastAsia="en-US"/>
              </w:rPr>
              <w:t xml:space="preserve">TPĮ 15 straipsnio 1 dalį, </w:t>
            </w:r>
            <w:r w:rsidRPr="00DC75A7">
              <w:rPr>
                <w:rFonts w:eastAsia="MS Mincho"/>
                <w:noProof w:val="0"/>
                <w:color w:val="000000"/>
                <w:lang w:eastAsia="en-US"/>
              </w:rPr>
              <w:t xml:space="preserve">rengiant teisės akto, kuriuo numatoma reguliuoti iki tol nereguliuotus santykius, taip pat kuriuo iš esmės keičiamas teisinis reguliavimas, projektą, privalo būti atliekamas numatomo teisinio reguliavimo poveikio vertinimas. Advokatūros nuomone, Įstatymo projektu reguliavimas yra keičiamas iš esmės, nes jo priėmimas iš esmės pakeistų Advokatų garbės teismo sprendimų kokybę, sumenkintų advokatūros ir advokatų nepriklausomumą ir sukeltų reikšmingas grėsmes advokato profesinei paslapčiai.  Todėl numatomo teisinio reguliavimo poveikio vertinimas privalo būti atliktas.  </w:t>
            </w:r>
          </w:p>
          <w:p w:rsidR="00E35252" w:rsidRPr="00DC75A7" w:rsidRDefault="00E35252" w:rsidP="00DC75A7">
            <w:pPr>
              <w:ind w:firstLine="720"/>
              <w:jc w:val="both"/>
              <w:rPr>
                <w:rFonts w:eastAsia="MS Mincho"/>
                <w:noProof w:val="0"/>
                <w:color w:val="000000"/>
                <w:lang w:eastAsia="en-US"/>
              </w:rPr>
            </w:pPr>
            <w:r w:rsidRPr="00DC75A7">
              <w:rPr>
                <w:rFonts w:eastAsia="MS Mincho"/>
                <w:noProof w:val="0"/>
                <w:color w:val="000000"/>
                <w:lang w:eastAsia="en-US"/>
              </w:rPr>
              <w:t xml:space="preserve">Kadangi nėra atlikta ir pateikta jokia analizė ir išvados, kurios yra būtinos tam, kad Įstatymo projekto tikslų įgyvendinimas atitiktų TPĮ ir privalomus teisėkūros principus, Advokatūra negali pritarti Įstatymo projektui. Advokatūra turi išsamiai ir tinkamai įvertinti Įstatymo projektą, kad galėtų pateikti savo nuomonę. Tai reikalauja ne tik didesnių laiko sąnaudų, kurie neatitinka Įstatymo projekto rengėjo nustatytų terminų pastaboms pateikti, bet ir Advokatūros valdymo organo – Advokatų tarybos sprendimo, kuriuo būtų išreikšta nuomonė dėl Įstatymo projekto.       </w:t>
            </w:r>
          </w:p>
          <w:p w:rsidR="002F2847" w:rsidRPr="00DC75A7" w:rsidRDefault="002F2847" w:rsidP="001A3AA4">
            <w:pPr>
              <w:ind w:firstLine="720"/>
              <w:jc w:val="both"/>
              <w:rPr>
                <w:noProof w:val="0"/>
              </w:rPr>
            </w:pPr>
          </w:p>
        </w:tc>
        <w:tc>
          <w:tcPr>
            <w:tcW w:w="6661" w:type="dxa"/>
            <w:gridSpan w:val="2"/>
            <w:shd w:val="clear" w:color="auto" w:fill="auto"/>
          </w:tcPr>
          <w:p w:rsidR="0071586E" w:rsidRPr="00DC75A7" w:rsidRDefault="00E35252" w:rsidP="00DC75A7">
            <w:pPr>
              <w:pStyle w:val="kopija"/>
              <w:spacing w:before="0" w:beforeAutospacing="0" w:after="0" w:afterAutospacing="0"/>
              <w:ind w:left="33"/>
              <w:jc w:val="both"/>
              <w:rPr>
                <w:b/>
              </w:rPr>
            </w:pPr>
            <w:r w:rsidRPr="00DC75A7">
              <w:rPr>
                <w:b/>
              </w:rPr>
              <w:lastRenderedPageBreak/>
              <w:t xml:space="preserve">Neatsižvelgti. </w:t>
            </w:r>
          </w:p>
          <w:p w:rsidR="00A75E1B" w:rsidRPr="00DC75A7" w:rsidRDefault="00E35252" w:rsidP="00DC75A7">
            <w:pPr>
              <w:pStyle w:val="kopija"/>
              <w:spacing w:before="0" w:beforeAutospacing="0" w:after="0" w:afterAutospacing="0"/>
              <w:ind w:left="33"/>
              <w:jc w:val="both"/>
            </w:pPr>
            <w:r w:rsidRPr="00DC75A7">
              <w:t>Projektų aiškinamajame rašte aiškiai įvardint</w:t>
            </w:r>
            <w:r w:rsidR="00A62599" w:rsidRPr="00DC75A7">
              <w:t xml:space="preserve">as įstatymų projektų tikslas – </w:t>
            </w:r>
            <w:r w:rsidRPr="00DC75A7">
              <w:t xml:space="preserve">stiprinti visuomenės pasitikėjimą valstybės teisine sistema, įskaitant advokatų, notarų ir antstolių veiklą, užtikrinti deramą nuomonių įvairovę, </w:t>
            </w:r>
            <w:r w:rsidR="0071586E" w:rsidRPr="00DC75A7">
              <w:t xml:space="preserve">garbės teismuose priimamų sprendimų </w:t>
            </w:r>
            <w:r w:rsidRPr="00DC75A7">
              <w:t>objektyvumą ir skaidrumą</w:t>
            </w:r>
            <w:r w:rsidR="0071586E" w:rsidRPr="00DC75A7">
              <w:t>.</w:t>
            </w:r>
            <w:r w:rsidRPr="00DC75A7">
              <w:t xml:space="preserve"> </w:t>
            </w:r>
            <w:r w:rsidR="00A75E1B" w:rsidRPr="00DC75A7">
              <w:t xml:space="preserve">Akcentuotina, kad </w:t>
            </w:r>
            <w:r w:rsidR="00A75E1B" w:rsidRPr="00DC75A7">
              <w:rPr>
                <w:lang w:eastAsia="ar-SA"/>
              </w:rPr>
              <w:t xml:space="preserve">Septynioliktosios Lietuvos Respublikos Vyriausybės veiklos programa, kuriai pritarta Lietuvos Respublikos Seimo 2016 m. gruodžio 13 d. nutarimu Nr. XIII-82, </w:t>
            </w:r>
            <w:r w:rsidR="00A75E1B" w:rsidRPr="00DC75A7">
              <w:t>grindžiama t</w:t>
            </w:r>
            <w:r w:rsidR="00A75E1B" w:rsidRPr="00DC75A7">
              <w:rPr>
                <w:bCs/>
              </w:rPr>
              <w:t xml:space="preserve">eisinės sistemos, kuriai priklauso ir advokatai, notarai bei antstoliai, atvirumo ir skaidrumo principu bei visuomenės </w:t>
            </w:r>
            <w:r w:rsidR="007D7B2E" w:rsidRPr="00DC75A7">
              <w:rPr>
                <w:bCs/>
              </w:rPr>
              <w:t xml:space="preserve">iniciatyva, įsitraukimu ir </w:t>
            </w:r>
            <w:r w:rsidR="00A75E1B" w:rsidRPr="00DC75A7">
              <w:rPr>
                <w:bCs/>
              </w:rPr>
              <w:t xml:space="preserve">aktyviu dalyvavimu užtikrinant teisinės sistemos efektyvų veikimą. </w:t>
            </w:r>
            <w:r w:rsidR="0071586E" w:rsidRPr="00DC75A7">
              <w:t>Nors</w:t>
            </w:r>
            <w:r w:rsidR="00A75E1B" w:rsidRPr="00DC75A7">
              <w:t xml:space="preserve"> Vyriausybės programoje</w:t>
            </w:r>
            <w:r w:rsidR="0071586E" w:rsidRPr="00DC75A7">
              <w:rPr>
                <w:lang w:eastAsia="ar-SA"/>
              </w:rPr>
              <w:t xml:space="preserve"> nėra numatyta </w:t>
            </w:r>
            <w:r w:rsidRPr="00DC75A7">
              <w:t>konkrečių priemonių</w:t>
            </w:r>
            <w:r w:rsidR="0071586E" w:rsidRPr="00DC75A7">
              <w:t xml:space="preserve"> dėl visuomenės</w:t>
            </w:r>
            <w:r w:rsidR="00A75E1B" w:rsidRPr="00DC75A7">
              <w:t xml:space="preserve"> atstovų</w:t>
            </w:r>
            <w:r w:rsidR="007D7B2E" w:rsidRPr="00DC75A7">
              <w:t xml:space="preserve"> dalyvavimo advokatų veikloje</w:t>
            </w:r>
            <w:r w:rsidR="00A75E1B" w:rsidRPr="00DC75A7">
              <w:t>, tačiau a</w:t>
            </w:r>
            <w:r w:rsidR="00A75E1B" w:rsidRPr="00DC75A7">
              <w:rPr>
                <w:bCs/>
              </w:rPr>
              <w:t xml:space="preserve">tsižvelgiant į joje deklaruojamus principus, </w:t>
            </w:r>
            <w:r w:rsidR="00001620" w:rsidRPr="00DC75A7">
              <w:t>įstatymų projektai neprieštarauja Vyriausybės programai</w:t>
            </w:r>
            <w:r w:rsidR="00A75E1B" w:rsidRPr="00DC75A7">
              <w:t>.</w:t>
            </w:r>
          </w:p>
          <w:p w:rsidR="007D7B2E" w:rsidRPr="00DC75A7" w:rsidRDefault="002C6331" w:rsidP="00DC75A7">
            <w:pPr>
              <w:pStyle w:val="kopija"/>
              <w:spacing w:before="0" w:beforeAutospacing="0" w:after="0" w:afterAutospacing="0"/>
              <w:ind w:left="34"/>
              <w:jc w:val="both"/>
            </w:pPr>
            <w:r w:rsidRPr="00DC75A7">
              <w:t>Vadovaujantis Teisėkūros pagrindų įstatymo 15 straipsnio 1 dal</w:t>
            </w:r>
            <w:r w:rsidR="00A75E1B" w:rsidRPr="00DC75A7">
              <w:t>imi, r</w:t>
            </w:r>
            <w:r w:rsidRPr="00DC75A7">
              <w:t xml:space="preserve">engiant teisės akto, kuriuo numatoma reglamentuoti iki tol nereglamentuotus santykius, taip pat kuriuo iš esmės keičiamas teisinis reguliavimas, projektą, privalo būti atliekamas numatomo teisinio reguliavimo poveikio vertinimas. Atkreiptinas dėmesys, kad projektais nereglamentuojami nauji santykiai ir nekeičiamas iš esmės teisinis reguliavimas, o tik siūloma pakeisti garbės teismų </w:t>
            </w:r>
            <w:r w:rsidRPr="00DC75A7">
              <w:lastRenderedPageBreak/>
              <w:t xml:space="preserve">sudėtį, kuri jau yra reglamentuojama galiojančiais įstatymais. Tokiais atvejais numatomo teisinio reguliavimo poveikio vertinimas neatliekamas. </w:t>
            </w:r>
          </w:p>
          <w:p w:rsidR="00A05FB7" w:rsidRPr="00DC75A7" w:rsidRDefault="002C6331" w:rsidP="00DC75A7">
            <w:pPr>
              <w:pStyle w:val="kopija"/>
              <w:spacing w:before="0" w:beforeAutospacing="0" w:after="0" w:afterAutospacing="0"/>
              <w:ind w:left="34"/>
              <w:jc w:val="both"/>
            </w:pPr>
            <w:r w:rsidRPr="00DC75A7">
              <w:t>Abejotini teiginiai, kad visuomenės atstovų dalyvavimas sumažintų Advokatų garbės teismo sprendimų kokybę, sumenkintų advokatūros ir advokatų nepriklausomumą ir sukeltų reikšmingas grėsmes advokato profesinei paslapčiai.</w:t>
            </w:r>
            <w:r w:rsidR="00334E46" w:rsidRPr="00DC75A7">
              <w:t xml:space="preserve"> </w:t>
            </w:r>
            <w:r w:rsidR="007D7B2E" w:rsidRPr="00DC75A7">
              <w:t xml:space="preserve">Priešingai, visuomenės atstovų dalyvavimas užtikrintų garbės teisme priimamų sprendimų skaidrumą ir objektyvumą. </w:t>
            </w:r>
          </w:p>
          <w:p w:rsidR="00A05FB7" w:rsidRPr="00DC75A7" w:rsidRDefault="00A05FB7" w:rsidP="00DC75A7">
            <w:pPr>
              <w:pStyle w:val="kopija"/>
              <w:spacing w:before="0" w:beforeAutospacing="0" w:after="0" w:afterAutospacing="0"/>
              <w:ind w:left="34"/>
              <w:jc w:val="both"/>
            </w:pPr>
            <w:r w:rsidRPr="00DC75A7">
              <w:t>Akcentuotina</w:t>
            </w:r>
            <w:r w:rsidR="005B554D" w:rsidRPr="00DC75A7">
              <w:t>,</w:t>
            </w:r>
            <w:r w:rsidRPr="00DC75A7">
              <w:t xml:space="preserve"> kad visuomenės atstovų dalyvavimas teismų </w:t>
            </w:r>
            <w:r w:rsidR="00444544" w:rsidRPr="00DC75A7">
              <w:t xml:space="preserve">savivaldos vykdomųjų institucijų veikloje pasiteisino: visuomenės atstovai dalyvauja Teisėjų garbės teismo ir </w:t>
            </w:r>
            <w:r w:rsidR="005B554D" w:rsidRPr="00DC75A7">
              <w:t>Teisėjų etikos ir drausmės komisijos, Teisėjų atrankos komisijos, Pretendentų į teisėjus atrankos komisijos veikloje, gali dalyvauti teisėjų tyrimo komisijos ir administracinės veiklos priežiūros tyrimo komisijos veikloje.</w:t>
            </w:r>
          </w:p>
          <w:p w:rsidR="00334E46" w:rsidRPr="00DC75A7" w:rsidRDefault="007D7B2E" w:rsidP="00DC75A7">
            <w:pPr>
              <w:pStyle w:val="kopija"/>
              <w:spacing w:before="0" w:beforeAutospacing="0" w:after="0" w:afterAutospacing="0"/>
              <w:ind w:left="34"/>
              <w:jc w:val="both"/>
            </w:pPr>
            <w:r w:rsidRPr="00DC75A7">
              <w:t>V</w:t>
            </w:r>
            <w:r w:rsidR="00334E46" w:rsidRPr="00DC75A7">
              <w:t>isuomenės atstovams</w:t>
            </w:r>
            <w:r w:rsidR="00737884" w:rsidRPr="00DC75A7">
              <w:t>,</w:t>
            </w:r>
            <w:r w:rsidR="00334E46" w:rsidRPr="00DC75A7">
              <w:t xml:space="preserve"> kaip ir kitiems garbės teismo nariams</w:t>
            </w:r>
            <w:r w:rsidRPr="00DC75A7">
              <w:t>,</w:t>
            </w:r>
            <w:r w:rsidR="00334E46" w:rsidRPr="00DC75A7">
              <w:t xml:space="preserve"> būtų taikomas Advokatūros įstatymo 46 straipsnio 5 dalies įtvirtintas advokato profesinę paslaptį sudarančios informacijos naudojimo draudimas. Be to, esant poreikiui, užtikrinti informacijos, kuri sudaro advokatų profesinę paslaptį, konfidencialumą galimas papildomo reikalavimo – konfidencialumo pasižadėjimo pasirašym</w:t>
            </w:r>
            <w:r w:rsidR="0092789C" w:rsidRPr="00DC75A7">
              <w:t>o</w:t>
            </w:r>
            <w:r w:rsidR="00334E46" w:rsidRPr="00DC75A7">
              <w:t xml:space="preserve"> Advokatų garbės teismo nariams įtvirtinimas </w:t>
            </w:r>
            <w:r w:rsidR="000A18CE">
              <w:t>Advokatų garbės teismo nuostatuose</w:t>
            </w:r>
            <w:r w:rsidR="00334E46" w:rsidRPr="00DC75A7">
              <w:t>.</w:t>
            </w:r>
          </w:p>
          <w:p w:rsidR="002C6331" w:rsidRPr="00DC75A7" w:rsidRDefault="00A75E1B" w:rsidP="00DC75A7">
            <w:pPr>
              <w:pStyle w:val="kopija"/>
              <w:spacing w:before="0" w:beforeAutospacing="0" w:after="0" w:afterAutospacing="0"/>
              <w:ind w:left="34"/>
              <w:jc w:val="both"/>
            </w:pPr>
            <w:r w:rsidRPr="00DC75A7">
              <w:t xml:space="preserve">Atkreiptinas dėmesys, kad </w:t>
            </w:r>
            <w:r w:rsidR="00AE63D4" w:rsidRPr="00DC75A7">
              <w:t>ir šiuo metu pagal galiojančius teisės aktus</w:t>
            </w:r>
            <w:r w:rsidR="007D7B2E" w:rsidRPr="00DC75A7">
              <w:t xml:space="preserve"> </w:t>
            </w:r>
            <w:r w:rsidR="00AE63D4" w:rsidRPr="00DC75A7">
              <w:t xml:space="preserve">(Advokatūros įstatymą, Advokatų drausmės bylų nagrinėjimo tvarkos aprašą, patvirtintą Lietuvos advokatūros 2016 m. balandžio 15 d. visuotinio advokatų susirinkimo sprendimu) Advokatų garbės teismo posėdyje gali dalyvauti gana platus ratas asmenų – pareiškėjas ar jam atstovaujantis advokatas, Teisingumo ministerijos atstovas, </w:t>
            </w:r>
            <w:r w:rsidR="009E2E35" w:rsidRPr="00DC75A7">
              <w:t>kiti asmenys, kurie gali pateikti paaiškinimus ar duomenis, reikalingus nagrinėjant drausmės bylą, taip pat liudytojai</w:t>
            </w:r>
            <w:r w:rsidR="007D7B2E" w:rsidRPr="00DC75A7">
              <w:t>, kurie taip pat gali sužinoti informaciją, sudarančią advokato profesinę paslaptį</w:t>
            </w:r>
            <w:r w:rsidR="009E2E35" w:rsidRPr="00DC75A7">
              <w:t xml:space="preserve">. </w:t>
            </w: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rsidP="00DC75A7">
            <w:pPr>
              <w:pStyle w:val="kopija"/>
              <w:spacing w:before="0" w:beforeAutospacing="0" w:after="0" w:afterAutospacing="0"/>
              <w:ind w:left="34"/>
              <w:jc w:val="both"/>
            </w:pPr>
          </w:p>
          <w:p w:rsidR="007D7B2E" w:rsidRPr="00DC75A7" w:rsidRDefault="007D7B2E">
            <w:pPr>
              <w:pStyle w:val="kopija"/>
              <w:spacing w:before="0" w:beforeAutospacing="0" w:after="0" w:afterAutospacing="0"/>
              <w:ind w:left="34"/>
              <w:jc w:val="both"/>
            </w:pPr>
          </w:p>
        </w:tc>
      </w:tr>
      <w:tr w:rsidR="004864B4" w:rsidRPr="00DC75A7" w:rsidTr="001A3AA4">
        <w:tblPrEx>
          <w:tblLook w:val="0000" w:firstRow="0" w:lastRow="0" w:firstColumn="0" w:lastColumn="0" w:noHBand="0" w:noVBand="0"/>
        </w:tblPrEx>
        <w:trPr>
          <w:trHeight w:val="699"/>
        </w:trPr>
        <w:tc>
          <w:tcPr>
            <w:tcW w:w="1413" w:type="dxa"/>
          </w:tcPr>
          <w:p w:rsidR="004864B4" w:rsidRPr="00DC75A7" w:rsidRDefault="004864B4" w:rsidP="00DC75A7">
            <w:pPr>
              <w:jc w:val="both"/>
              <w:rPr>
                <w:noProof w:val="0"/>
              </w:rPr>
            </w:pPr>
            <w:r w:rsidRPr="00DC75A7">
              <w:rPr>
                <w:noProof w:val="0"/>
              </w:rPr>
              <w:lastRenderedPageBreak/>
              <w:t>Lietuvos Respublikos specialiųjų tyrimų tarnybos 2019-07-11 raštas Nr. 4-016179</w:t>
            </w:r>
          </w:p>
        </w:tc>
        <w:tc>
          <w:tcPr>
            <w:tcW w:w="7371" w:type="dxa"/>
            <w:shd w:val="clear" w:color="auto" w:fill="auto"/>
          </w:tcPr>
          <w:p w:rsidR="004864B4" w:rsidRPr="00DC75A7" w:rsidRDefault="004864B4" w:rsidP="00DC75A7">
            <w:pPr>
              <w:pStyle w:val="x"/>
              <w:jc w:val="both"/>
            </w:pPr>
            <w:r w:rsidRPr="00DC75A7">
              <w:t xml:space="preserve">Įvertinus Projektais keičiamas nuostatas, atkreipiame dėmesį į keičiamo LR advokatūros įstatymo Nr. IX-2066 8 straipsnio 1 dalies 2 punktą, kuriame nurodoma, kad du narius iš visuomenės atstovų skiria teisingumo ministras. Vertinant sistemiškai, tiek keičiamame LR antstolių, tiek ir LR notariato įstatymuose numatytas platesnis visuomenės atstovus skiriančių subjektų ratas, o būtent be teisingumo ministro teisę skirti visuomenės atstovus į antstolių ir notarų garbės teismus turi ir Lietuvos Aukščiausiojo Teismo pirmininkas. </w:t>
            </w:r>
          </w:p>
          <w:p w:rsidR="004864B4" w:rsidRPr="00DC75A7" w:rsidRDefault="004864B4" w:rsidP="00DC75A7">
            <w:pPr>
              <w:pStyle w:val="x"/>
              <w:jc w:val="both"/>
            </w:pPr>
            <w:r w:rsidRPr="00DC75A7">
              <w:t xml:space="preserve">Taip pat atkreiptinas dėmesys, kad Projektuose, priešingai nei advokatams, notarams ar antstoliams, kurie gali būti renkami ar skiriami garbės teismo nariais, skiriamiems visuomenės atstovams absoliučiai nekeliami bent minimalūs reikalavimai, tokie kaip nepriekaištinga reputacija ir neįtvirtinti kriterijai, kuriais vadovaujantis būtų atrenkami visuomenės atstovai į minimas pareigas. </w:t>
            </w:r>
          </w:p>
          <w:p w:rsidR="004864B4" w:rsidRPr="00DC75A7" w:rsidRDefault="004864B4" w:rsidP="00DC75A7">
            <w:pPr>
              <w:pStyle w:val="x"/>
              <w:jc w:val="both"/>
            </w:pPr>
            <w:r w:rsidRPr="00DC75A7">
              <w:lastRenderedPageBreak/>
              <w:t xml:space="preserve">Atsižvelgiant į tai, kas išdėstyta ir siekiant išvengti situacijų, kai du visuomenės atstovai į Advokatų garbės teismą skiriami vienintelio asmens – Teisingumo ministro, siūlytumėme apsvarstyti galimybę, kad vieną visuomenės atstovą skirtų Lietuvos Aukščiausiojo Teismo pirmininkas ar Lietuvos teisininkų draugija, o skiriamiems visuomenės atstovams būtų nustatyti bent nepriekaištingus reputacijos reikalavimai ir įtvirtinti kriterijai, kuriais vadovaujantis bus skiriami atitinkami visuomenės atstovai į advokatų, notarų ar antstolių garbės teismo narius. </w:t>
            </w:r>
          </w:p>
        </w:tc>
        <w:tc>
          <w:tcPr>
            <w:tcW w:w="6661" w:type="dxa"/>
            <w:gridSpan w:val="2"/>
            <w:shd w:val="clear" w:color="auto" w:fill="auto"/>
          </w:tcPr>
          <w:p w:rsidR="004864B4" w:rsidRPr="00DC75A7" w:rsidRDefault="004864B4" w:rsidP="009C61F2">
            <w:pPr>
              <w:pStyle w:val="kopija"/>
              <w:spacing w:before="0" w:beforeAutospacing="0" w:after="0" w:afterAutospacing="0"/>
              <w:ind w:left="33"/>
              <w:jc w:val="both"/>
            </w:pPr>
            <w:r w:rsidRPr="00DC75A7">
              <w:rPr>
                <w:b/>
              </w:rPr>
              <w:lastRenderedPageBreak/>
              <w:t xml:space="preserve">Atsižvelgta iš dalies. </w:t>
            </w:r>
            <w:r w:rsidRPr="00DC75A7">
              <w:t xml:space="preserve">Įstatymų projektuose </w:t>
            </w:r>
            <w:r w:rsidR="009C61F2">
              <w:t xml:space="preserve">siūloma </w:t>
            </w:r>
            <w:r w:rsidRPr="00DC75A7">
              <w:t>nustat</w:t>
            </w:r>
            <w:r w:rsidR="009C61F2">
              <w:t>yti</w:t>
            </w:r>
            <w:r w:rsidRPr="00DC75A7">
              <w:t xml:space="preserve"> nepriekaištingos reputacijos visuomenės atstovams kriterij</w:t>
            </w:r>
            <w:r w:rsidR="0093779D">
              <w:t>us</w:t>
            </w:r>
            <w:r w:rsidRPr="00DC75A7">
              <w:t xml:space="preserve">, </w:t>
            </w:r>
            <w:r w:rsidR="00A84C72" w:rsidRPr="00DC75A7">
              <w:t>kuri</w:t>
            </w:r>
            <w:r w:rsidR="0093779D">
              <w:t>s</w:t>
            </w:r>
            <w:r w:rsidR="00A84C72" w:rsidRPr="00DC75A7">
              <w:t xml:space="preserve"> ir b</w:t>
            </w:r>
            <w:r w:rsidR="0093779D">
              <w:t>ūtų</w:t>
            </w:r>
            <w:r w:rsidR="00A84C72" w:rsidRPr="00DC75A7">
              <w:t xml:space="preserve"> pagrindas atrenkant kandidatus</w:t>
            </w:r>
            <w:r w:rsidRPr="00DC75A7">
              <w:t>.</w:t>
            </w:r>
            <w:r w:rsidR="0093779D">
              <w:t xml:space="preserve"> </w:t>
            </w:r>
            <w:r w:rsidR="009C61F2">
              <w:t xml:space="preserve">Pastebėtina, kad </w:t>
            </w:r>
            <w:r w:rsidR="0093779D">
              <w:t xml:space="preserve">Teismų įstatyme visuomenės atstovams taip pat nenumatomi jokie kiti papildomi atrankos kriterijai, o </w:t>
            </w:r>
            <w:proofErr w:type="spellStart"/>
            <w:r w:rsidR="0093779D">
              <w:t>diskrecija</w:t>
            </w:r>
            <w:proofErr w:type="spellEnd"/>
            <w:r w:rsidR="0093779D">
              <w:t xml:space="preserve"> pasirinkti atitinkamą visuomenės atstovą paliekama pasirenkančiam asmeniui. Pastaba buvo d</w:t>
            </w:r>
            <w:r w:rsidRPr="00DC75A7">
              <w:t>arbine tvarka</w:t>
            </w:r>
            <w:r w:rsidR="0093779D">
              <w:t xml:space="preserve"> suderinta</w:t>
            </w:r>
            <w:r w:rsidRPr="00DC75A7">
              <w:t xml:space="preserve"> su Specialiųjų tyrimų tarnyb</w:t>
            </w:r>
            <w:r w:rsidR="0093779D">
              <w:t xml:space="preserve">os specialistais </w:t>
            </w:r>
            <w:r w:rsidRPr="00DC75A7">
              <w:t xml:space="preserve"> </w:t>
            </w:r>
            <w:r w:rsidR="0093779D">
              <w:t xml:space="preserve">ir sutarta, kad, </w:t>
            </w:r>
            <w:r w:rsidRPr="00DC75A7">
              <w:t xml:space="preserve">esant poreikiui, </w:t>
            </w:r>
            <w:r w:rsidR="00A84C72" w:rsidRPr="00DC75A7">
              <w:t xml:space="preserve">kiti papildomi </w:t>
            </w:r>
            <w:r w:rsidRPr="00DC75A7">
              <w:t>atrankos kriterijai</w:t>
            </w:r>
            <w:r w:rsidR="00A84C72" w:rsidRPr="00DC75A7">
              <w:t xml:space="preserve"> (atrankos tvarka)</w:t>
            </w:r>
            <w:r w:rsidRPr="00DC75A7">
              <w:t xml:space="preserve"> galės būti nustatomi garbės teismų nuostatuose.     </w:t>
            </w:r>
          </w:p>
        </w:tc>
      </w:tr>
      <w:tr w:rsidR="00A125FA" w:rsidRPr="00DC75A7" w:rsidTr="001A3AA4">
        <w:tblPrEx>
          <w:tblLook w:val="0000" w:firstRow="0" w:lastRow="0" w:firstColumn="0" w:lastColumn="0" w:noHBand="0" w:noVBand="0"/>
        </w:tblPrEx>
        <w:trPr>
          <w:trHeight w:val="699"/>
        </w:trPr>
        <w:tc>
          <w:tcPr>
            <w:tcW w:w="1413" w:type="dxa"/>
          </w:tcPr>
          <w:p w:rsidR="00A125FA" w:rsidRPr="00DC75A7" w:rsidRDefault="00A125FA" w:rsidP="00DC75A7">
            <w:pPr>
              <w:jc w:val="both"/>
              <w:rPr>
                <w:noProof w:val="0"/>
              </w:rPr>
            </w:pPr>
            <w:r w:rsidRPr="00DC75A7">
              <w:rPr>
                <w:noProof w:val="0"/>
              </w:rPr>
              <w:t xml:space="preserve">Lietuvos antstolių rūmų 2019-07-09 raštas Nr. </w:t>
            </w:r>
            <w:r w:rsidRPr="00DC75A7">
              <w:t>S-26689-33561</w:t>
            </w:r>
          </w:p>
        </w:tc>
        <w:tc>
          <w:tcPr>
            <w:tcW w:w="7371" w:type="dxa"/>
            <w:shd w:val="clear" w:color="auto" w:fill="auto"/>
          </w:tcPr>
          <w:p w:rsidR="00A125FA" w:rsidRPr="00DC75A7" w:rsidRDefault="00A125FA" w:rsidP="00DC75A7">
            <w:pPr>
              <w:pStyle w:val="x"/>
              <w:jc w:val="both"/>
            </w:pPr>
            <w:r w:rsidRPr="00DC75A7">
              <w:t>Projektų aiškinamajame rašte teigiama, kad Projektai parengti atsižvelgiant į pasiteisinusį visuomenės atstovų dalyvavimą Teisėjų garbės teisme. Kaip teigiama Konstitucinio Teismo 2006 m. lapkričio 27 d. nutarime</w:t>
            </w:r>
            <w:bookmarkStart w:id="1" w:name="pmenu"/>
            <w:r w:rsidRPr="00DC75A7">
              <w:t xml:space="preserve">, </w:t>
            </w:r>
            <w:bookmarkEnd w:id="1"/>
            <w:r w:rsidRPr="00DC75A7">
              <w:t>Teisėjų garbės teismas – tai viena iš teismų savivaldos institucijų, turinti įgaliojimus nagrinėti teisėjų padarytus nusižengimus ir skirti jiems drausmines nuobaudas. Teismai pagal Lietuvos Respublikos Konstitucijos 5 str. 1 d. yra savarankiška valstybės valdžia. Teisminės valdžios savivaldos institucijai yra keliami kitokie nei antstolių savivaldos institucijai visuomenės pasitikėjimo reikalavimai. Abejotina, ar Konstitucija suponuoja visuomenės interesą betarpiškai kištis ir kontroliuoti antstolių, kurie nėra valstybės tarnautojai ir tiesiogiai nevykdo viešosios valdžios, o tik vykdo siauro pobūdžio deleguotas valstybės funkcijas, savivaldos institucijos veiklą. Toks radikalus visuomenės atstovų dalyvavimo išplėtojimas antstolių savivaldos institucijų veikloje neabejotinai proporcingai siaurintų antstolių savivaldos sistemą (Įstatymo 1 str.).</w:t>
            </w:r>
          </w:p>
          <w:p w:rsidR="00A125FA" w:rsidRPr="00DC75A7" w:rsidRDefault="00A125FA" w:rsidP="00DC75A7">
            <w:pPr>
              <w:pStyle w:val="x"/>
              <w:jc w:val="both"/>
            </w:pPr>
          </w:p>
          <w:p w:rsidR="00A125FA" w:rsidRPr="00DC75A7" w:rsidRDefault="00A125FA" w:rsidP="00DC75A7">
            <w:pPr>
              <w:pStyle w:val="x"/>
              <w:jc w:val="both"/>
            </w:pPr>
            <w:r w:rsidRPr="00DC75A7">
              <w:t xml:space="preserve">Projekto 4 straipsnyje (keičiamo Įstatymo 49 str. 1 dalis) siūloma į Antstolių garbės teismo 5 narių sudėtį skirti du </w:t>
            </w:r>
            <w:r w:rsidRPr="00DC75A7">
              <w:rPr>
                <w:rFonts w:eastAsia="Calibri"/>
                <w:bCs/>
              </w:rPr>
              <w:t xml:space="preserve">visuomenės atstovus. Be to </w:t>
            </w:r>
            <w:r w:rsidRPr="00DC75A7">
              <w:t xml:space="preserve">Antstolių garbės teismas gali </w:t>
            </w:r>
            <w:r w:rsidRPr="00DC75A7">
              <w:rPr>
                <w:bCs/>
              </w:rPr>
              <w:t>nagrinėti bylas tik tuo atveju, jeigu posėdyje dalyvauja  bent vienas visuomenės atstovas</w:t>
            </w:r>
            <w:r w:rsidRPr="00DC75A7">
              <w:t xml:space="preserve">. Taigi, neatvykus </w:t>
            </w:r>
            <w:r w:rsidRPr="00DC75A7">
              <w:rPr>
                <w:bCs/>
              </w:rPr>
              <w:t xml:space="preserve">visuomenės atstovui, </w:t>
            </w:r>
            <w:r w:rsidRPr="00DC75A7">
              <w:t xml:space="preserve">nepaisant to, kad posėdyje dalyvauja trys kiti Antstolių garbės teismo nariai ne </w:t>
            </w:r>
            <w:r w:rsidRPr="00DC75A7">
              <w:rPr>
                <w:bCs/>
              </w:rPr>
              <w:t>visuomenės atstova</w:t>
            </w:r>
            <w:r w:rsidRPr="00DC75A7">
              <w:t xml:space="preserve">i, </w:t>
            </w:r>
            <w:r w:rsidRPr="00DC75A7">
              <w:rPr>
                <w:bCs/>
              </w:rPr>
              <w:t>byla</w:t>
            </w:r>
            <w:r w:rsidRPr="00DC75A7">
              <w:t xml:space="preserve"> negali būti </w:t>
            </w:r>
            <w:r w:rsidRPr="00DC75A7">
              <w:rPr>
                <w:bCs/>
              </w:rPr>
              <w:t xml:space="preserve">nagrinėjama, nors būtų reikiamas kvorumas ir posėdis teisėtai galėtų vykti. Taip būtų sukurta dirbtinė neracionali kliūtis sklandžiai </w:t>
            </w:r>
            <w:r w:rsidRPr="00DC75A7">
              <w:t xml:space="preserve">Antstolių garbės teismo  veiklai. </w:t>
            </w:r>
            <w:r w:rsidRPr="00DC75A7">
              <w:rPr>
                <w:bCs/>
              </w:rPr>
              <w:t xml:space="preserve">Akivaizdu, jog taip pat sukuriamas  nevienodas atskirų </w:t>
            </w:r>
            <w:r w:rsidRPr="00DC75A7">
              <w:t xml:space="preserve">Antstolių garbės teismo  narių statusas ir nariai </w:t>
            </w:r>
            <w:r w:rsidRPr="00DC75A7">
              <w:rPr>
                <w:bCs/>
              </w:rPr>
              <w:t xml:space="preserve">visuomenės atstovai savo teisių atžvilgiu </w:t>
            </w:r>
            <w:r w:rsidRPr="00DC75A7">
              <w:rPr>
                <w:bCs/>
              </w:rPr>
              <w:lastRenderedPageBreak/>
              <w:t xml:space="preserve">neabejotinai įgyja tam tikrą pranašumą prieš likusius </w:t>
            </w:r>
            <w:r w:rsidRPr="00DC75A7">
              <w:t>Antstolių garbės teismo  narius. Tuo išreiškiamas nepasitikėjimas Antstolių garbės teismo nariais – antstoliais ir paneigiamas jau daugiau nei 15 metų sėkmingai veikiančio reformuoto antstolių profesinės veiklos modelio funkcionavimas.</w:t>
            </w:r>
          </w:p>
          <w:p w:rsidR="00A125FA" w:rsidRPr="00DC75A7" w:rsidRDefault="00A125FA" w:rsidP="00DC75A7">
            <w:pPr>
              <w:jc w:val="both"/>
              <w:rPr>
                <w:rFonts w:eastAsia="MS Mincho"/>
                <w:b/>
                <w:noProof w:val="0"/>
                <w:color w:val="000000"/>
                <w:lang w:eastAsia="en-US"/>
              </w:rPr>
            </w:pPr>
          </w:p>
        </w:tc>
        <w:tc>
          <w:tcPr>
            <w:tcW w:w="6661" w:type="dxa"/>
            <w:gridSpan w:val="2"/>
            <w:shd w:val="clear" w:color="auto" w:fill="auto"/>
          </w:tcPr>
          <w:p w:rsidR="00A125FA" w:rsidRPr="00DC75A7" w:rsidRDefault="00737884" w:rsidP="00DC75A7">
            <w:pPr>
              <w:pStyle w:val="kopija"/>
              <w:spacing w:before="0" w:beforeAutospacing="0" w:after="0" w:afterAutospacing="0"/>
              <w:ind w:left="33"/>
              <w:jc w:val="both"/>
              <w:rPr>
                <w:b/>
              </w:rPr>
            </w:pPr>
            <w:r w:rsidRPr="00DC75A7">
              <w:rPr>
                <w:b/>
              </w:rPr>
              <w:lastRenderedPageBreak/>
              <w:t>Neatsižvelgt</w:t>
            </w:r>
            <w:r w:rsidR="00E0283C" w:rsidRPr="00DC75A7">
              <w:rPr>
                <w:b/>
              </w:rPr>
              <w:t>a</w:t>
            </w:r>
          </w:p>
          <w:p w:rsidR="00737884" w:rsidRPr="00DC75A7" w:rsidRDefault="00CD7C30" w:rsidP="00DC75A7">
            <w:pPr>
              <w:pStyle w:val="kopija"/>
              <w:spacing w:before="0" w:beforeAutospacing="0" w:after="0" w:afterAutospacing="0"/>
              <w:ind w:left="33"/>
              <w:jc w:val="both"/>
            </w:pPr>
            <w:r w:rsidRPr="00DC75A7">
              <w:t>Argumentai, dėl kurių į pastabą neatsižvelgta, pateikti vertinant analogišką Lietuvos advokatūros pastabą.</w:t>
            </w:r>
          </w:p>
        </w:tc>
      </w:tr>
      <w:tr w:rsidR="00CC1352" w:rsidRPr="00DC75A7" w:rsidTr="001A3AA4">
        <w:tblPrEx>
          <w:tblLook w:val="0000" w:firstRow="0" w:lastRow="0" w:firstColumn="0" w:lastColumn="0" w:noHBand="0" w:noVBand="0"/>
        </w:tblPrEx>
        <w:trPr>
          <w:trHeight w:val="699"/>
        </w:trPr>
        <w:tc>
          <w:tcPr>
            <w:tcW w:w="1413" w:type="dxa"/>
          </w:tcPr>
          <w:p w:rsidR="00CC1352" w:rsidRPr="00DC75A7" w:rsidRDefault="00CC1352" w:rsidP="00DC75A7">
            <w:pPr>
              <w:jc w:val="both"/>
              <w:rPr>
                <w:noProof w:val="0"/>
              </w:rPr>
            </w:pPr>
          </w:p>
        </w:tc>
        <w:tc>
          <w:tcPr>
            <w:tcW w:w="7371" w:type="dxa"/>
            <w:shd w:val="clear" w:color="auto" w:fill="auto"/>
          </w:tcPr>
          <w:p w:rsidR="00CC1352" w:rsidRPr="00DC75A7" w:rsidRDefault="00CC1352" w:rsidP="00DC75A7">
            <w:pPr>
              <w:pStyle w:val="x"/>
              <w:jc w:val="both"/>
            </w:pPr>
            <w:r w:rsidRPr="00DC75A7">
              <w:rPr>
                <w:bCs/>
              </w:rPr>
              <w:t xml:space="preserve">Pagal </w:t>
            </w:r>
            <w:r w:rsidRPr="00DC75A7">
              <w:t xml:space="preserve">Projekto 4 straipsnio </w:t>
            </w:r>
            <w:r w:rsidRPr="00DC75A7">
              <w:rPr>
                <w:bCs/>
              </w:rPr>
              <w:t xml:space="preserve">nuostatas </w:t>
            </w:r>
            <w:r w:rsidRPr="00DC75A7">
              <w:t xml:space="preserve">(keičiamo Įstatymo 49 str. 4 dalis) </w:t>
            </w:r>
            <w:r w:rsidRPr="00DC75A7">
              <w:rPr>
                <w:shd w:val="clear" w:color="auto" w:fill="FFFFFF"/>
              </w:rPr>
              <w:t>Antstolių</w:t>
            </w:r>
            <w:r w:rsidRPr="00DC75A7">
              <w:rPr>
                <w:bCs/>
              </w:rPr>
              <w:t xml:space="preserve"> garbės teismo sprendimai priimami paprasta posėdyje dalyvaujančių </w:t>
            </w:r>
            <w:r w:rsidRPr="00DC75A7">
              <w:rPr>
                <w:shd w:val="clear" w:color="auto" w:fill="FFFFFF"/>
              </w:rPr>
              <w:t>Antstolių</w:t>
            </w:r>
            <w:r w:rsidRPr="00DC75A7">
              <w:rPr>
                <w:bCs/>
              </w:rPr>
              <w:t xml:space="preserve"> garbės teismo narių balsų dauguma. Gali susidaryti situacija, kad dalyvaujant trims </w:t>
            </w:r>
            <w:r w:rsidRPr="00DC75A7">
              <w:rPr>
                <w:shd w:val="clear" w:color="auto" w:fill="FFFFFF"/>
              </w:rPr>
              <w:t>Antstolių</w:t>
            </w:r>
            <w:r w:rsidRPr="00DC75A7">
              <w:rPr>
                <w:bCs/>
              </w:rPr>
              <w:t xml:space="preserve"> garbės teismo nariams, iš kurių du būtų visuomenės atstovai, sprendimas būtų priimtas visuomenės atstovų balsų dauguma. Tokiu atveju praktiškai būtų paneigiama </w:t>
            </w:r>
            <w:r w:rsidRPr="00DC75A7">
              <w:t xml:space="preserve">antstolių savivaldos sistema,  jų savivaldos institucija taptų tik formalia. Negalima neatsižvelgti ir į tai, kad </w:t>
            </w:r>
            <w:r w:rsidRPr="00DC75A7">
              <w:rPr>
                <w:shd w:val="clear" w:color="auto" w:fill="FFFFFF"/>
              </w:rPr>
              <w:t>Antstolių</w:t>
            </w:r>
            <w:r w:rsidRPr="00DC75A7">
              <w:rPr>
                <w:bCs/>
              </w:rPr>
              <w:t xml:space="preserve"> garbės teismui tokia sudėtimi neatsakingai priėmus neteisėtą sprendimą, kuris būtų panaikintas </w:t>
            </w:r>
            <w:r w:rsidRPr="00DC75A7">
              <w:t>teismo, gali kilti ir</w:t>
            </w:r>
            <w:r w:rsidRPr="00DC75A7">
              <w:rPr>
                <w:bCs/>
              </w:rPr>
              <w:t xml:space="preserve"> tokiu neteisėtu sprendimu padarytos </w:t>
            </w:r>
            <w:r w:rsidRPr="00DC75A7">
              <w:t>žalos atlyginimo klausimai. Atsakomybė už tokio pobūdžio žalą pagal galiojančius įstatymus tektų antstolių savivaldą įgyvendinančiam juridiniam asmeniui  - Lietuvos antstolių rūmams (Įstatymo 46 str.).</w:t>
            </w:r>
          </w:p>
          <w:p w:rsidR="00CC1352" w:rsidRPr="00DC75A7" w:rsidRDefault="00CC1352" w:rsidP="00DC75A7">
            <w:pPr>
              <w:pStyle w:val="x"/>
              <w:jc w:val="both"/>
            </w:pPr>
          </w:p>
        </w:tc>
        <w:tc>
          <w:tcPr>
            <w:tcW w:w="6661" w:type="dxa"/>
            <w:gridSpan w:val="2"/>
            <w:shd w:val="clear" w:color="auto" w:fill="auto"/>
          </w:tcPr>
          <w:p w:rsidR="00CC1352" w:rsidRPr="00DC75A7" w:rsidRDefault="0055450E" w:rsidP="00DC75A7">
            <w:pPr>
              <w:pStyle w:val="kopija"/>
              <w:spacing w:before="0" w:beforeAutospacing="0" w:after="0" w:afterAutospacing="0"/>
              <w:ind w:left="33"/>
              <w:jc w:val="both"/>
              <w:rPr>
                <w:b/>
              </w:rPr>
            </w:pPr>
            <w:r w:rsidRPr="00DC75A7">
              <w:rPr>
                <w:b/>
              </w:rPr>
              <w:t>Neatsižvelgta</w:t>
            </w:r>
          </w:p>
          <w:p w:rsidR="007241E4" w:rsidRPr="00DC75A7" w:rsidRDefault="007241E4" w:rsidP="00DC75A7">
            <w:pPr>
              <w:pStyle w:val="kopija"/>
              <w:spacing w:before="0" w:beforeAutospacing="0" w:after="0" w:afterAutospacing="0"/>
              <w:ind w:left="34"/>
              <w:jc w:val="both"/>
            </w:pPr>
            <w:r w:rsidRPr="00DC75A7">
              <w:t xml:space="preserve">Visi garbės teismo nariai, įskaitant visuomenės atstovus, turės atitikti nepriekaištingos reputacijos reikalavimus, todėl pastaboje išreikštos abejonės garbės teismo narių visuomenės atstovų priimamais sprendimais yra nepagrįstos. </w:t>
            </w:r>
          </w:p>
          <w:p w:rsidR="0055450E" w:rsidRPr="00DC75A7" w:rsidRDefault="007241E4" w:rsidP="00DC75A7">
            <w:pPr>
              <w:pStyle w:val="kopija"/>
              <w:spacing w:before="0" w:beforeAutospacing="0" w:after="0" w:afterAutospacing="0"/>
              <w:ind w:left="34"/>
              <w:jc w:val="both"/>
            </w:pPr>
            <w:r w:rsidRPr="00DC75A7">
              <w:t xml:space="preserve">Be to, </w:t>
            </w:r>
            <w:r w:rsidR="00DF2177" w:rsidRPr="00DC75A7">
              <w:t>Antstolių (antstolių padėjėjų) drausmės bylų iškėlimo ir nagrinėjimo taisyklių, patvirtintų teisingumo ministro 2006 m. rugsėjo 26 d. įsakymu Nr. 1R-295, 13 punkte nustatyta, kad parengiamajame antstolių garbės teismo posėdyje garbės teismo nariai ne tik susipažįsta su visa drausmės bylos medžiaga, bet ir priima nutarimą dėl garbės teismo posėdžio, kuriame bus nagrinėjama drausmės byla, datos, laiko ir vietos. Taigi, parengiamajame posėdyje garbės teismo nariai turi galimybę suderinti ir nustatyti visiems ar daugumai garbės teismo narių priimtiną drausmės bylos nagrinėjimo datą ir laiką.</w:t>
            </w:r>
          </w:p>
          <w:p w:rsidR="00DF2177" w:rsidRPr="00DC75A7" w:rsidRDefault="00DF2177" w:rsidP="00DC75A7">
            <w:pPr>
              <w:pStyle w:val="kopija"/>
              <w:spacing w:before="0" w:beforeAutospacing="0" w:after="0" w:afterAutospacing="0"/>
              <w:ind w:left="34"/>
              <w:jc w:val="both"/>
            </w:pPr>
            <w:r w:rsidRPr="00DC75A7">
              <w:t xml:space="preserve">Taip pat pažymėtina, kad Antstolių įstatymo pakeitimo įstatymo projektu siūloma nustatyti, kad garbės teismo pirmininku būtų renkamas garbės teismo narys antstolis, o tais atvejais, kai garbės teismui priimant sprendimą balsai pasiskirsto po lygiai, </w:t>
            </w:r>
            <w:r w:rsidR="00037161" w:rsidRPr="00DC75A7">
              <w:t>priimtu laikomas sprendimas, už kurį balsavo garbės teismo pirmininkas. Visos paminėtos nuostatos suponuoja išvadą, kad pastaboje išreikštos abejonės dėl galimybės antstolių savivaldai spręsti antstolių bendruomenei svarbius sprendimus yra nepagrįstos, nes antstolių garbės teismo daugumą sudarys nariai antstoliai, o tais atvejais, kai balsai pasiskirstys po lygiai, sprendimą lems garbės teismo pirmininko(antstolio) balsas.</w:t>
            </w:r>
          </w:p>
        </w:tc>
      </w:tr>
      <w:tr w:rsidR="00CC1352" w:rsidRPr="00DC75A7" w:rsidTr="001A3AA4">
        <w:tblPrEx>
          <w:tblLook w:val="0000" w:firstRow="0" w:lastRow="0" w:firstColumn="0" w:lastColumn="0" w:noHBand="0" w:noVBand="0"/>
        </w:tblPrEx>
        <w:trPr>
          <w:trHeight w:val="699"/>
        </w:trPr>
        <w:tc>
          <w:tcPr>
            <w:tcW w:w="1413" w:type="dxa"/>
          </w:tcPr>
          <w:p w:rsidR="00CC1352" w:rsidRPr="00DC75A7" w:rsidRDefault="00CC1352" w:rsidP="00DC75A7">
            <w:pPr>
              <w:jc w:val="both"/>
              <w:rPr>
                <w:noProof w:val="0"/>
              </w:rPr>
            </w:pPr>
          </w:p>
        </w:tc>
        <w:tc>
          <w:tcPr>
            <w:tcW w:w="7371" w:type="dxa"/>
            <w:shd w:val="clear" w:color="auto" w:fill="auto"/>
          </w:tcPr>
          <w:p w:rsidR="00CC1352" w:rsidRPr="00DC75A7" w:rsidRDefault="00CC1352" w:rsidP="00DC75A7">
            <w:pPr>
              <w:jc w:val="both"/>
            </w:pPr>
            <w:r w:rsidRPr="00DC75A7">
              <w:t>Projekto 1 straipsnyje, kuriuo keičiama Įstatymo 13 straipsnio 3 dalis, siūloma nustatyti kad: „</w:t>
            </w:r>
            <w:r w:rsidRPr="00DC75A7">
              <w:rPr>
                <w:i/>
              </w:rPr>
              <w:t>Drausmės byla antstoliui turi būti išnagrinėta ne vėliau kaip per trisdešimt dienų nuo iškėlimo dienos</w:t>
            </w:r>
            <w:r w:rsidRPr="00DC75A7">
              <w:t xml:space="preserve">“. Įvertinus, kad </w:t>
            </w:r>
            <w:r w:rsidRPr="00DC75A7">
              <w:lastRenderedPageBreak/>
              <w:t>Antstolių garbės teismo nariai – visuomenės atstovai, gali būti paskirti iš kitų miestų, pvz. Klaipėdos, Biržų ir pan., todėl operatyvus ir dažnas jų atvykimas posėdžiauti į Vilnių gali būti komplikuotas. Taip pat visuomenės atstovų didelis užimtumas ir aktyvus bei dažnas posėdžiavimas neabejotinai sukeltų sunkumų, komplikacijų jų tiesioginiame darbe. Tuo tarpu jiems neatvykus į posėdį, faktiškai būtų paralyžiuota Antstolių garbės teismo veikla.</w:t>
            </w:r>
          </w:p>
          <w:p w:rsidR="00CC1352" w:rsidRPr="00DC75A7" w:rsidRDefault="00CC1352" w:rsidP="00DC75A7">
            <w:pPr>
              <w:pStyle w:val="x"/>
              <w:jc w:val="both"/>
            </w:pPr>
          </w:p>
        </w:tc>
        <w:tc>
          <w:tcPr>
            <w:tcW w:w="6661" w:type="dxa"/>
            <w:gridSpan w:val="2"/>
            <w:shd w:val="clear" w:color="auto" w:fill="auto"/>
          </w:tcPr>
          <w:p w:rsidR="00CC1352" w:rsidRPr="00DC75A7" w:rsidRDefault="004E3579" w:rsidP="00DC75A7">
            <w:pPr>
              <w:pStyle w:val="kopija"/>
              <w:spacing w:before="0" w:beforeAutospacing="0" w:after="0" w:afterAutospacing="0"/>
              <w:ind w:left="33"/>
              <w:jc w:val="both"/>
              <w:rPr>
                <w:b/>
              </w:rPr>
            </w:pPr>
            <w:r w:rsidRPr="00DC75A7">
              <w:rPr>
                <w:b/>
              </w:rPr>
              <w:lastRenderedPageBreak/>
              <w:t>Neatsižvelgta</w:t>
            </w:r>
          </w:p>
          <w:p w:rsidR="004E3579" w:rsidRPr="00DC75A7" w:rsidRDefault="004E3579" w:rsidP="00DC75A7">
            <w:pPr>
              <w:pStyle w:val="kopija"/>
              <w:spacing w:before="0" w:beforeAutospacing="0" w:after="0" w:afterAutospacing="0"/>
              <w:ind w:left="33"/>
              <w:jc w:val="both"/>
            </w:pPr>
            <w:r w:rsidRPr="00DC75A7">
              <w:t xml:space="preserve">Kaip buvo paminėta, drausmės bylos nagrinėjimo data ir laikas nustatomi parengiamajame posėdyje, todėl garbės teismo nariai </w:t>
            </w:r>
            <w:r w:rsidRPr="00DC75A7">
              <w:lastRenderedPageBreak/>
              <w:t>visuomenės atstovai taip pat turės galimybę išreikšti savo nuomonę dėl jiems priimtinos posėdžio datos ir laiko nustatymo.</w:t>
            </w:r>
          </w:p>
        </w:tc>
      </w:tr>
      <w:tr w:rsidR="00CC1352" w:rsidRPr="00DC75A7" w:rsidTr="001A3AA4">
        <w:tblPrEx>
          <w:tblLook w:val="0000" w:firstRow="0" w:lastRow="0" w:firstColumn="0" w:lastColumn="0" w:noHBand="0" w:noVBand="0"/>
        </w:tblPrEx>
        <w:trPr>
          <w:trHeight w:val="699"/>
        </w:trPr>
        <w:tc>
          <w:tcPr>
            <w:tcW w:w="1413" w:type="dxa"/>
          </w:tcPr>
          <w:p w:rsidR="00CC1352" w:rsidRPr="00DC75A7" w:rsidRDefault="00CC1352" w:rsidP="00DC75A7">
            <w:pPr>
              <w:jc w:val="both"/>
              <w:rPr>
                <w:noProof w:val="0"/>
              </w:rPr>
            </w:pPr>
          </w:p>
        </w:tc>
        <w:tc>
          <w:tcPr>
            <w:tcW w:w="7371" w:type="dxa"/>
            <w:shd w:val="clear" w:color="auto" w:fill="auto"/>
          </w:tcPr>
          <w:p w:rsidR="00CC1352" w:rsidRPr="00DC75A7" w:rsidRDefault="00CC1352" w:rsidP="00DC75A7">
            <w:pPr>
              <w:pStyle w:val="x"/>
              <w:jc w:val="both"/>
              <w:rPr>
                <w:iCs/>
                <w:lang w:bidi="he-IL"/>
              </w:rPr>
            </w:pPr>
            <w:r w:rsidRPr="00DC75A7">
              <w:t>Projekto 1 straipsnyje, kuriuo keičiama Įstatymo 13 straipsnio 5 dalis, siūloma nustatyti kad: „</w:t>
            </w:r>
            <w:r w:rsidRPr="00DC75A7">
              <w:rPr>
                <w:i/>
              </w:rPr>
              <w:t>Paaiškėjus, kad pažeidimas gali turėti nusikalstamos veikos požymių, su pažeidimu medžiaga perduodama atitinkamas bylas tirti ir nagrinėti kompetentingoms institucijoms, tačiau tai drausmės bylos iškėlimo ar nagrinėjimo procedūros nesustabdo</w:t>
            </w:r>
            <w:r w:rsidRPr="00DC75A7">
              <w:t>“. Tokia teisės norma gali sudaryti situaciją, kai antstolio atžvilgiu galėtų būti priimama pakartotinė sankcija, o tai nėra galima, kadangi tokia valstybės institucijos pozicija prieštarauja Europos Žmogaus teisių ir pagrindinių laisvių apsaugos Konvencijos Protokolo Nr. 7, iš dalies pakeisto Protokolu Nr. 11, 4 straipsnio „</w:t>
            </w:r>
            <w:r w:rsidRPr="00DC75A7">
              <w:rPr>
                <w:i/>
              </w:rPr>
              <w:t xml:space="preserve">Teisė nebūti dukart teisiamam </w:t>
            </w:r>
            <w:r w:rsidRPr="00DC75A7">
              <w:rPr>
                <w:i/>
                <w:iCs/>
                <w:lang w:bidi="he-IL"/>
              </w:rPr>
              <w:t>ar nubaustam už tą patį nusikaltimą</w:t>
            </w:r>
            <w:r w:rsidRPr="00DC75A7">
              <w:rPr>
                <w:iCs/>
                <w:lang w:bidi="he-IL"/>
              </w:rPr>
              <w:t>“</w:t>
            </w:r>
            <w:r w:rsidRPr="00DC75A7">
              <w:rPr>
                <w:lang w:bidi="he-IL"/>
              </w:rPr>
              <w:t xml:space="preserve"> 1 dalies reikalavimui: </w:t>
            </w:r>
            <w:r w:rsidRPr="00DC75A7">
              <w:rPr>
                <w:w w:val="88"/>
                <w:lang w:bidi="he-IL"/>
              </w:rPr>
              <w:t xml:space="preserve">,,1. </w:t>
            </w:r>
            <w:r w:rsidRPr="00DC75A7">
              <w:rPr>
                <w:i/>
                <w:iCs/>
                <w:lang w:bidi="he-IL"/>
              </w:rPr>
              <w:t xml:space="preserve">Niekas negali būti tos pačios valstybės institucijų vėl persekiojamas ar baudžiamas už nusikaltimą, dėl kurio jis jau buvo </w:t>
            </w:r>
            <w:r w:rsidRPr="00DC75A7">
              <w:rPr>
                <w:i/>
                <w:iCs/>
                <w:lang w:bidi="he-IL"/>
              </w:rPr>
              <w:br/>
              <w:t>išteisintas arba nuteistas nuosprendžiu pagal tos valstybės įstatymus ir baudžiamąjį procesą</w:t>
            </w:r>
            <w:r w:rsidRPr="00DC75A7">
              <w:rPr>
                <w:iCs/>
                <w:lang w:bidi="he-IL"/>
              </w:rPr>
              <w:t>“.</w:t>
            </w:r>
          </w:p>
          <w:p w:rsidR="00CC1352" w:rsidRPr="00DC75A7" w:rsidRDefault="00CC1352" w:rsidP="00DC75A7">
            <w:pPr>
              <w:pStyle w:val="x"/>
              <w:jc w:val="both"/>
            </w:pPr>
            <w:r w:rsidRPr="00DC75A7">
              <w:rPr>
                <w:iCs/>
                <w:lang w:bidi="he-IL"/>
              </w:rPr>
              <w:t xml:space="preserve"> </w:t>
            </w:r>
            <w:r w:rsidRPr="00DC75A7">
              <w:rPr>
                <w:iCs/>
                <w:lang w:bidi="he-IL"/>
              </w:rPr>
              <w:br/>
            </w:r>
            <w:r w:rsidRPr="00DC75A7">
              <w:rPr>
                <w:lang w:bidi="he-IL"/>
              </w:rPr>
              <w:t xml:space="preserve">Manytina neturi reikšmės, ar antstolio atžvilgiu taikoma valstybinė sankcija yra baudžiamojo, administracinio ar kitokios teisinės atsakomybės pobūdžio ir taikoma valstybės institucijos bei valstybės vardu. Europos Žmogaus Teisių Teismas byloje </w:t>
            </w:r>
            <w:proofErr w:type="spellStart"/>
            <w:r w:rsidRPr="00DC75A7">
              <w:rPr>
                <w:i/>
                <w:iCs/>
                <w:lang w:bidi="he-IL"/>
              </w:rPr>
              <w:t>Franz</w:t>
            </w:r>
            <w:proofErr w:type="spellEnd"/>
            <w:r w:rsidRPr="00DC75A7">
              <w:rPr>
                <w:i/>
                <w:iCs/>
                <w:lang w:bidi="he-IL"/>
              </w:rPr>
              <w:t xml:space="preserve"> Fischer prieš Austriją </w:t>
            </w:r>
            <w:r w:rsidRPr="00DC75A7">
              <w:rPr>
                <w:lang w:bidi="he-IL"/>
              </w:rPr>
              <w:t xml:space="preserve">(pareiškimo Nr. </w:t>
            </w:r>
            <w:r w:rsidRPr="00DC75A7">
              <w:rPr>
                <w:i/>
                <w:iCs/>
                <w:lang w:bidi="he-IL"/>
              </w:rPr>
              <w:t xml:space="preserve">37950/97, </w:t>
            </w:r>
            <w:r w:rsidRPr="00DC75A7">
              <w:rPr>
                <w:lang w:bidi="he-IL"/>
              </w:rPr>
              <w:t xml:space="preserve">priimtas 2001-05-29) konstatavo, jog </w:t>
            </w:r>
            <w:r w:rsidRPr="00DC75A7">
              <w:rPr>
                <w:i/>
                <w:iCs/>
                <w:lang w:bidi="he-IL"/>
              </w:rPr>
              <w:t xml:space="preserve">,,Konvencijos protokolo Nr. </w:t>
            </w:r>
            <w:r w:rsidRPr="00DC75A7">
              <w:rPr>
                <w:i/>
                <w:lang w:bidi="he-IL"/>
              </w:rPr>
              <w:t>7 4</w:t>
            </w:r>
            <w:r w:rsidRPr="00DC75A7">
              <w:rPr>
                <w:i/>
                <w:iCs/>
                <w:lang w:bidi="he-IL"/>
              </w:rPr>
              <w:t>straipsnis neapsiriboja teise nebūti nubaustam du kartus, bet apima ir teisę nebūti persekiojamam du kartus“.</w:t>
            </w:r>
            <w:r w:rsidRPr="00DC75A7">
              <w:rPr>
                <w:lang w:bidi="he-IL"/>
              </w:rPr>
              <w:t xml:space="preserve"> Analogiškai Europos Žmogaus Teisių Teismas išaiškino Konvenciją bei jos principą </w:t>
            </w:r>
            <w:proofErr w:type="spellStart"/>
            <w:r w:rsidRPr="00DC75A7">
              <w:rPr>
                <w:i/>
                <w:iCs/>
                <w:lang w:bidi="he-IL"/>
              </w:rPr>
              <w:t>non</w:t>
            </w:r>
            <w:proofErr w:type="spellEnd"/>
            <w:r w:rsidRPr="00DC75A7">
              <w:rPr>
                <w:i/>
                <w:iCs/>
                <w:lang w:bidi="he-IL"/>
              </w:rPr>
              <w:t xml:space="preserve"> bis </w:t>
            </w:r>
            <w:proofErr w:type="spellStart"/>
            <w:r w:rsidRPr="00DC75A7">
              <w:rPr>
                <w:i/>
                <w:iCs/>
                <w:lang w:bidi="he-IL"/>
              </w:rPr>
              <w:t>inidem</w:t>
            </w:r>
            <w:proofErr w:type="spellEnd"/>
            <w:r w:rsidRPr="00DC75A7">
              <w:rPr>
                <w:i/>
                <w:iCs/>
                <w:lang w:bidi="he-IL"/>
              </w:rPr>
              <w:t xml:space="preserve"> </w:t>
            </w:r>
            <w:r w:rsidRPr="00DC75A7">
              <w:rPr>
                <w:lang w:bidi="he-IL"/>
              </w:rPr>
              <w:t xml:space="preserve">ir byloje </w:t>
            </w:r>
            <w:proofErr w:type="spellStart"/>
            <w:r w:rsidRPr="00DC75A7">
              <w:rPr>
                <w:i/>
                <w:iCs/>
                <w:lang w:bidi="he-IL"/>
              </w:rPr>
              <w:t>Gradinger</w:t>
            </w:r>
            <w:proofErr w:type="spellEnd"/>
            <w:r w:rsidRPr="00DC75A7">
              <w:rPr>
                <w:i/>
                <w:iCs/>
                <w:lang w:bidi="he-IL"/>
              </w:rPr>
              <w:t xml:space="preserve"> prieš Austriją </w:t>
            </w:r>
            <w:r w:rsidRPr="00DC75A7">
              <w:rPr>
                <w:lang w:bidi="he-IL"/>
              </w:rPr>
              <w:t xml:space="preserve">(pareiškimo Nr. </w:t>
            </w:r>
            <w:r w:rsidRPr="00DC75A7">
              <w:rPr>
                <w:i/>
                <w:iCs/>
                <w:lang w:bidi="he-IL"/>
              </w:rPr>
              <w:t xml:space="preserve">00015963/90, </w:t>
            </w:r>
            <w:r w:rsidRPr="00DC75A7">
              <w:rPr>
                <w:lang w:bidi="he-IL"/>
              </w:rPr>
              <w:t xml:space="preserve">priimtas 1995-10-23), o taip pat bylose </w:t>
            </w:r>
            <w:r w:rsidRPr="00DC75A7">
              <w:rPr>
                <w:i/>
                <w:iCs/>
                <w:lang w:bidi="he-IL"/>
              </w:rPr>
              <w:t xml:space="preserve">Lauko prieš Slovakiją, </w:t>
            </w:r>
            <w:proofErr w:type="spellStart"/>
            <w:r w:rsidRPr="00DC75A7">
              <w:rPr>
                <w:i/>
                <w:iCs/>
                <w:lang w:bidi="he-IL"/>
              </w:rPr>
              <w:t>Janosevic</w:t>
            </w:r>
            <w:proofErr w:type="spellEnd"/>
            <w:r w:rsidRPr="00DC75A7">
              <w:rPr>
                <w:i/>
                <w:iCs/>
                <w:lang w:bidi="he-IL"/>
              </w:rPr>
              <w:t xml:space="preserve"> prieš Švediją, </w:t>
            </w:r>
            <w:proofErr w:type="spellStart"/>
            <w:r w:rsidRPr="00DC75A7">
              <w:rPr>
                <w:i/>
                <w:iCs/>
                <w:lang w:bidi="he-IL"/>
              </w:rPr>
              <w:t>Ezeh</w:t>
            </w:r>
            <w:proofErr w:type="spellEnd"/>
            <w:r w:rsidRPr="00DC75A7">
              <w:rPr>
                <w:i/>
                <w:iCs/>
                <w:lang w:bidi="he-IL"/>
              </w:rPr>
              <w:t xml:space="preserve"> ir </w:t>
            </w:r>
            <w:proofErr w:type="spellStart"/>
            <w:r w:rsidRPr="00DC75A7">
              <w:rPr>
                <w:i/>
                <w:iCs/>
                <w:lang w:bidi="he-IL"/>
              </w:rPr>
              <w:t>Connors</w:t>
            </w:r>
            <w:proofErr w:type="spellEnd"/>
            <w:r w:rsidRPr="00DC75A7">
              <w:rPr>
                <w:i/>
                <w:iCs/>
                <w:lang w:bidi="he-IL"/>
              </w:rPr>
              <w:t xml:space="preserve"> prieš Jungtinę Karalystę. </w:t>
            </w:r>
            <w:r w:rsidRPr="00DC75A7">
              <w:rPr>
                <w:lang w:bidi="he-IL"/>
              </w:rPr>
              <w:t xml:space="preserve">Taip pat manytina, </w:t>
            </w:r>
            <w:r w:rsidRPr="00DC75A7">
              <w:rPr>
                <w:lang w:bidi="he-IL"/>
              </w:rPr>
              <w:lastRenderedPageBreak/>
              <w:t xml:space="preserve">kad reikėtų remtis ir Lietuvos Aukščiausiojo Teismo konsultacijos (skelbta: Teismų praktika, 2004, Nr. 21, psl. 311) </w:t>
            </w:r>
            <w:proofErr w:type="spellStart"/>
            <w:r w:rsidRPr="00DC75A7">
              <w:rPr>
                <w:lang w:bidi="he-IL"/>
              </w:rPr>
              <w:t>išaiškinimais</w:t>
            </w:r>
            <w:proofErr w:type="spellEnd"/>
            <w:r w:rsidRPr="00DC75A7">
              <w:rPr>
                <w:lang w:bidi="he-IL"/>
              </w:rPr>
              <w:t>, kuriuose pažymima, jog neturi reikšmės, kokią teiseną (baudžiamąją, administracinę, civilinę ar kt.) valstybės - Konvencijos dalyvės taiko pareiškėjų atžvilgiu.</w:t>
            </w:r>
          </w:p>
        </w:tc>
        <w:tc>
          <w:tcPr>
            <w:tcW w:w="6661" w:type="dxa"/>
            <w:gridSpan w:val="2"/>
            <w:shd w:val="clear" w:color="auto" w:fill="auto"/>
          </w:tcPr>
          <w:p w:rsidR="00CC1352" w:rsidRPr="00DC75A7" w:rsidRDefault="003E349F" w:rsidP="00DC75A7">
            <w:pPr>
              <w:pStyle w:val="kopija"/>
              <w:spacing w:before="0" w:beforeAutospacing="0" w:after="0" w:afterAutospacing="0"/>
              <w:ind w:left="33"/>
              <w:jc w:val="both"/>
              <w:rPr>
                <w:b/>
              </w:rPr>
            </w:pPr>
            <w:r w:rsidRPr="00DC75A7">
              <w:rPr>
                <w:b/>
              </w:rPr>
              <w:lastRenderedPageBreak/>
              <w:t>Neatsižvelgta</w:t>
            </w:r>
          </w:p>
          <w:p w:rsidR="003E349F" w:rsidRPr="00DC75A7" w:rsidRDefault="00814CD1" w:rsidP="00DC75A7">
            <w:pPr>
              <w:pStyle w:val="kopija"/>
              <w:spacing w:before="0" w:beforeAutospacing="0" w:after="0" w:afterAutospacing="0"/>
              <w:ind w:left="33"/>
              <w:jc w:val="both"/>
            </w:pPr>
            <w:r w:rsidRPr="00DC75A7">
              <w:t xml:space="preserve">Pažymėtina, kad Antstolių įstatymo pakeitimo įstatymu projektu galiojančias Antstolių įstatymo 13 straipsnio 5 dalies nuostatas siūloma keisti tik redakcinio pobūdžio aspektu, nekeičiant galiojančio teisinio reguliavimo esmės, t. y. pareiga pranešti ikiteisminio tyrimo institucijoms apie galimai nusikalstamą antstolio veiką įstatyme buvo įtvirtinta dar 2003 metais ir jokių teisinių ginčų ar abejonių dėl šios nuostatos reikalingumo ar neatitikimo Europos Sąjungos teisei iki šiol neiškilo. </w:t>
            </w:r>
            <w:r w:rsidR="00FB1C55" w:rsidRPr="00DC75A7">
              <w:t>P</w:t>
            </w:r>
            <w:r w:rsidRPr="00DC75A7">
              <w:t xml:space="preserve">anaikinus šią įstatyminę nuostatą, nusikalstamą veiką padaręs antstolis turėtų galimybę išvengti baudžiamosios atsakomybės, nes </w:t>
            </w:r>
            <w:r w:rsidR="00FB1C55" w:rsidRPr="00DC75A7">
              <w:t>neteisėtą antstolio veiklą patvirtinančius duomenis ir dokumentus teisingumo ministras ar Lietuvos antstolių rūmų prezidiumas galėtų vertinti tik drausminės atsakomybės taikymo aspektu, bet negalėtų šių duomenų ir dokumentų perduoti pagal kompetenciją įvertinti ikiteisminio tyrimo institucijai.</w:t>
            </w:r>
          </w:p>
          <w:p w:rsidR="001E04AA" w:rsidRPr="00DC75A7" w:rsidRDefault="00FB1C55" w:rsidP="00DC75A7">
            <w:pPr>
              <w:pStyle w:val="kopija"/>
              <w:spacing w:before="0" w:beforeAutospacing="0" w:after="0" w:afterAutospacing="0"/>
              <w:ind w:left="34"/>
              <w:jc w:val="both"/>
            </w:pPr>
            <w:r w:rsidRPr="00DC75A7">
              <w:t>Taip pat pažymėtina, kad už įstatymų ar kitų teisės aktų pažeidimus, padarytus atliekant antstolio funkcijas, už kurias taikoma baudžiamoji ar administracinė atsakomybė, antstolis atsako kaip valstybės pareigūnas (Antstolių įstatymo 16 </w:t>
            </w:r>
            <w:r w:rsidR="001E04AA" w:rsidRPr="00DC75A7">
              <w:t>straipsnio 2 dalis), o Valstybės tarnybos įstatymo 34 straipsnio 4 dalyje nustatytas iš esmės identiškas teisinis reguliavimas – kai valstybės tarnautojo veika turi savarankiško tarnybinio nusižengimo požymių, pagal kuriuos akivaizdžiai galima šį tarnybinį nusižengimą atriboti nuo nusikalstamos veikos ar administracinio nusižengimo, tarnybinio nusižengimo tyrimas tęsiamas neatsižvelgiant į baudžiamojo proceso ar administracinio nusižengimo teisenos eigą.</w:t>
            </w:r>
          </w:p>
          <w:p w:rsidR="0044435D" w:rsidRPr="00DC75A7" w:rsidRDefault="001E04AA" w:rsidP="00DC75A7">
            <w:pPr>
              <w:pStyle w:val="kopija"/>
              <w:spacing w:before="0" w:beforeAutospacing="0" w:after="0" w:afterAutospacing="0"/>
              <w:ind w:left="34"/>
              <w:jc w:val="both"/>
            </w:pPr>
            <w:r w:rsidRPr="00DC75A7">
              <w:lastRenderedPageBreak/>
              <w:t xml:space="preserve"> </w:t>
            </w:r>
            <w:r w:rsidR="0044435D" w:rsidRPr="00DC75A7">
              <w:t xml:space="preserve">Nagrinėjamu klausimu Konstitucinis Teismas ne kartą </w:t>
            </w:r>
            <w:r w:rsidR="007B61D9" w:rsidRPr="00DC75A7">
              <w:t>yra išaiškinęs</w:t>
            </w:r>
            <w:r w:rsidR="0044435D" w:rsidRPr="00DC75A7">
              <w:t>, kad Konstitucijos 31 straipsnio 5 dalies nuostata, kad asmuo negali būti baudžiamas antrą kartą už tą patį teisės pažeidimą (</w:t>
            </w:r>
            <w:r w:rsidR="007B61D9" w:rsidRPr="00DC75A7">
              <w:t xml:space="preserve">principas </w:t>
            </w:r>
            <w:proofErr w:type="spellStart"/>
            <w:r w:rsidR="007B61D9" w:rsidRPr="00DC75A7">
              <w:rPr>
                <w:i/>
              </w:rPr>
              <w:t>non</w:t>
            </w:r>
            <w:proofErr w:type="spellEnd"/>
            <w:r w:rsidR="007B61D9" w:rsidRPr="00DC75A7">
              <w:rPr>
                <w:i/>
              </w:rPr>
              <w:t xml:space="preserve"> bis </w:t>
            </w:r>
            <w:proofErr w:type="spellStart"/>
            <w:r w:rsidR="007B61D9" w:rsidRPr="00DC75A7">
              <w:rPr>
                <w:i/>
              </w:rPr>
              <w:t>in</w:t>
            </w:r>
            <w:proofErr w:type="spellEnd"/>
            <w:r w:rsidR="007B61D9" w:rsidRPr="00DC75A7">
              <w:rPr>
                <w:i/>
              </w:rPr>
              <w:t xml:space="preserve"> </w:t>
            </w:r>
            <w:proofErr w:type="spellStart"/>
            <w:r w:rsidR="007B61D9" w:rsidRPr="00DC75A7">
              <w:rPr>
                <w:i/>
              </w:rPr>
              <w:t>idem</w:t>
            </w:r>
            <w:proofErr w:type="spellEnd"/>
            <w:r w:rsidR="0044435D" w:rsidRPr="00DC75A7">
              <w:t xml:space="preserve">) taikytina teisingumo principų įgyvendinimui baudžiamojoje teisenoje, tačiau nereiškia, kad už teisės pažeidimą asmuo apskritai negali būti traukiamas skirtingų rūšių </w:t>
            </w:r>
            <w:proofErr w:type="spellStart"/>
            <w:r w:rsidR="0044435D" w:rsidRPr="00DC75A7">
              <w:t>teisinėn</w:t>
            </w:r>
            <w:proofErr w:type="spellEnd"/>
            <w:r w:rsidR="0044435D" w:rsidRPr="00DC75A7">
              <w:t xml:space="preserve"> atsakomybėn (Konstitucinio Teismo 2001 m. gegužės 7 d., 2005 m. lapkričio 10 d., 2008 m. sausio 21 d., 2010 m. gegužės mėn. 28 d. nutarimai).</w:t>
            </w:r>
          </w:p>
          <w:p w:rsidR="0044435D" w:rsidRPr="00DC75A7" w:rsidRDefault="0044435D" w:rsidP="00DC75A7">
            <w:pPr>
              <w:pBdr>
                <w:left w:val="single" w:sz="18" w:space="8" w:color="BCBCBC"/>
              </w:pBdr>
              <w:shd w:val="clear" w:color="auto" w:fill="FFFFFF"/>
              <w:jc w:val="both"/>
              <w:rPr>
                <w:noProof w:val="0"/>
              </w:rPr>
            </w:pPr>
            <w:r w:rsidRPr="00DC75A7">
              <w:rPr>
                <w:noProof w:val="0"/>
              </w:rPr>
              <w:t>Priešingai, nei nurodyta pastaboje, šiuo klausimu yra pasisakęs ir Europos Žmogaus Teisių Teismas</w:t>
            </w:r>
            <w:r w:rsidR="007B61D9" w:rsidRPr="00DC75A7">
              <w:rPr>
                <w:noProof w:val="0"/>
              </w:rPr>
              <w:t>,</w:t>
            </w:r>
            <w:r w:rsidRPr="00DC75A7">
              <w:rPr>
                <w:noProof w:val="0"/>
              </w:rPr>
              <w:t xml:space="preserve"> 2009 m. vasario 10 d. sprendime byloje S. Z. prieš Rusiją (pareiškimo Nr. 14939/03) suvienodinęs poziciją dėl tapataus pažeidimo aiškinimo Žmogaus teisių ir pagrindinių laisvių apsaugos konvencijos 7 protokolo 4 straipsnio prasme, kurios šiuo metu ir laikomasi Teismo jurisprudencijoje (žr., pvz., Teismo 2009 m. rugsėjo 16 d. sprendimą byloje </w:t>
            </w:r>
            <w:proofErr w:type="spellStart"/>
            <w:r w:rsidRPr="00DC75A7">
              <w:rPr>
                <w:noProof w:val="0"/>
              </w:rPr>
              <w:t>Routsalainen</w:t>
            </w:r>
            <w:proofErr w:type="spellEnd"/>
            <w:r w:rsidRPr="00DC75A7">
              <w:rPr>
                <w:noProof w:val="0"/>
              </w:rPr>
              <w:t xml:space="preserve"> prieš Suomiją, pareiškimo Nr. 13079/03). Naujausioje Teismo praktikoje, aiškinant pažeidimo sąvoką, įtvirtintą Konvencijos 7 protokolo 4 straipsnio 1 dalyje, akcentuojamas materialusis pažeidimo aspektas, veikos teisiniam įvertinimui (kvalifikavimui) teikiant mažesnę reikšmę. </w:t>
            </w:r>
            <w:proofErr w:type="spellStart"/>
            <w:r w:rsidRPr="00DC75A7">
              <w:rPr>
                <w:i/>
                <w:noProof w:val="0"/>
              </w:rPr>
              <w:t>Non</w:t>
            </w:r>
            <w:proofErr w:type="spellEnd"/>
            <w:r w:rsidRPr="00DC75A7">
              <w:rPr>
                <w:i/>
                <w:noProof w:val="0"/>
              </w:rPr>
              <w:t xml:space="preserve"> bis </w:t>
            </w:r>
            <w:proofErr w:type="spellStart"/>
            <w:r w:rsidRPr="00DC75A7">
              <w:rPr>
                <w:i/>
                <w:noProof w:val="0"/>
              </w:rPr>
              <w:t>in</w:t>
            </w:r>
            <w:proofErr w:type="spellEnd"/>
            <w:r w:rsidRPr="00DC75A7">
              <w:rPr>
                <w:i/>
                <w:noProof w:val="0"/>
              </w:rPr>
              <w:t xml:space="preserve"> </w:t>
            </w:r>
            <w:proofErr w:type="spellStart"/>
            <w:r w:rsidRPr="00DC75A7">
              <w:rPr>
                <w:i/>
                <w:noProof w:val="0"/>
              </w:rPr>
              <w:t>idem</w:t>
            </w:r>
            <w:proofErr w:type="spellEnd"/>
            <w:r w:rsidRPr="00DC75A7">
              <w:rPr>
                <w:noProof w:val="0"/>
              </w:rPr>
              <w:t xml:space="preserve"> principas pažeidžiamas tada, kai nustatoma, kad asmuo antrą kartą baudžiamas (traukiamas baudžiamojon atsakomybėn) už identiškus arba iš esmės tokius pat teisiškai reikšmingus faktus (tą patį poelgį). Konstatuota, kad Konvencijos 7 protokolo 4 straipsnis turi būti suprantamas ir aiškinamas taip, kad principu </w:t>
            </w:r>
            <w:proofErr w:type="spellStart"/>
            <w:r w:rsidRPr="00DC75A7">
              <w:rPr>
                <w:i/>
                <w:noProof w:val="0"/>
              </w:rPr>
              <w:t>non</w:t>
            </w:r>
            <w:proofErr w:type="spellEnd"/>
            <w:r w:rsidRPr="00DC75A7">
              <w:rPr>
                <w:i/>
                <w:noProof w:val="0"/>
              </w:rPr>
              <w:t xml:space="preserve"> bis </w:t>
            </w:r>
            <w:proofErr w:type="spellStart"/>
            <w:r w:rsidRPr="00DC75A7">
              <w:rPr>
                <w:i/>
                <w:noProof w:val="0"/>
              </w:rPr>
              <w:t>in</w:t>
            </w:r>
            <w:proofErr w:type="spellEnd"/>
            <w:r w:rsidRPr="00DC75A7">
              <w:rPr>
                <w:i/>
                <w:noProof w:val="0"/>
              </w:rPr>
              <w:t xml:space="preserve"> </w:t>
            </w:r>
            <w:proofErr w:type="spellStart"/>
            <w:r w:rsidRPr="00DC75A7">
              <w:rPr>
                <w:i/>
                <w:noProof w:val="0"/>
              </w:rPr>
              <w:t>idem</w:t>
            </w:r>
            <w:proofErr w:type="spellEnd"/>
            <w:r w:rsidRPr="00DC75A7">
              <w:rPr>
                <w:noProof w:val="0"/>
              </w:rPr>
              <w:t xml:space="preserve"> būtų draudžiama persekioti ir/arba bausti asmenį antrą kartą už pažeidimą, jeigu jis kyla iš identiškų arba iš esmės tokių pat faktų (įvykių), dėl kurių asmuo jau buvo nubaustas.</w:t>
            </w:r>
          </w:p>
          <w:p w:rsidR="0044435D" w:rsidRPr="00DC75A7" w:rsidRDefault="007B61D9" w:rsidP="00DC75A7">
            <w:pPr>
              <w:pBdr>
                <w:left w:val="single" w:sz="18" w:space="8" w:color="BCBCBC"/>
              </w:pBdr>
              <w:shd w:val="clear" w:color="auto" w:fill="FFFFFF"/>
              <w:jc w:val="both"/>
            </w:pPr>
            <w:r w:rsidRPr="00DC75A7">
              <w:rPr>
                <w:noProof w:val="0"/>
              </w:rPr>
              <w:t xml:space="preserve">Paminėtos Konstitucinio Teismo ir Europos Žmogaus Teisių Teismo pozicijos nagrinėdami bylas laikosi ir nacionaliniai teismai, konstatuodami kad greta administracinės ar baudžiamosios atsakomybės asmeniui taip pat gali būti taikoma ir su padarytu pažeidimu ar nusikalstama veika susijusi drausminė atsakomybė, </w:t>
            </w:r>
            <w:r w:rsidRPr="00DC75A7">
              <w:rPr>
                <w:noProof w:val="0"/>
              </w:rPr>
              <w:lastRenderedPageBreak/>
              <w:t xml:space="preserve">pvz., Lietuvos vyriausiojo administracinio teismo 2012 m. rugsėjo 17 d. nutartis administracinėje byloje Nr. </w:t>
            </w:r>
            <w:bookmarkStart w:id="2" w:name="nTP1_9000002"/>
            <w:r w:rsidRPr="00DC75A7">
              <w:rPr>
                <w:iCs/>
                <w:shd w:val="clear" w:color="auto" w:fill="FFFFFF"/>
              </w:rPr>
              <w:t>A</w:t>
            </w:r>
            <w:r w:rsidRPr="00DC75A7">
              <w:rPr>
                <w:iCs/>
                <w:shd w:val="clear" w:color="auto" w:fill="FFFFFF"/>
                <w:vertAlign w:val="superscript"/>
              </w:rPr>
              <w:t>520</w:t>
            </w:r>
            <w:r w:rsidRPr="00DC75A7">
              <w:rPr>
                <w:iCs/>
                <w:shd w:val="clear" w:color="auto" w:fill="FFFFFF"/>
              </w:rPr>
              <w:t>–2823/2012</w:t>
            </w:r>
            <w:bookmarkEnd w:id="2"/>
            <w:r w:rsidRPr="00DC75A7">
              <w:rPr>
                <w:iCs/>
                <w:shd w:val="clear" w:color="auto" w:fill="FFFFFF"/>
              </w:rPr>
              <w:t>.</w:t>
            </w:r>
          </w:p>
        </w:tc>
      </w:tr>
      <w:tr w:rsidR="00A62599" w:rsidRPr="00DC75A7" w:rsidTr="001A3AA4">
        <w:tblPrEx>
          <w:tblLook w:val="0000" w:firstRow="0" w:lastRow="0" w:firstColumn="0" w:lastColumn="0" w:noHBand="0" w:noVBand="0"/>
        </w:tblPrEx>
        <w:trPr>
          <w:trHeight w:val="699"/>
        </w:trPr>
        <w:tc>
          <w:tcPr>
            <w:tcW w:w="1413" w:type="dxa"/>
          </w:tcPr>
          <w:p w:rsidR="00A62599" w:rsidRPr="00DC75A7" w:rsidRDefault="00A62599" w:rsidP="00DC75A7">
            <w:pPr>
              <w:jc w:val="both"/>
              <w:rPr>
                <w:noProof w:val="0"/>
              </w:rPr>
            </w:pPr>
            <w:r w:rsidRPr="00DC75A7">
              <w:rPr>
                <w:noProof w:val="0"/>
              </w:rPr>
              <w:lastRenderedPageBreak/>
              <w:t xml:space="preserve">Lietuvos notarų rūmų 2019-07-19 raštas Nr. </w:t>
            </w:r>
            <w:r w:rsidRPr="00DC75A7">
              <w:t>S-387</w:t>
            </w:r>
          </w:p>
        </w:tc>
        <w:tc>
          <w:tcPr>
            <w:tcW w:w="7371" w:type="dxa"/>
            <w:shd w:val="clear" w:color="auto" w:fill="auto"/>
          </w:tcPr>
          <w:p w:rsidR="00A62599" w:rsidRPr="00DC75A7" w:rsidRDefault="00A62599" w:rsidP="00DC75A7">
            <w:pPr>
              <w:pStyle w:val="Bodytext40"/>
              <w:shd w:val="clear" w:color="auto" w:fill="auto"/>
              <w:spacing w:before="0" w:line="240" w:lineRule="auto"/>
              <w:rPr>
                <w:sz w:val="24"/>
                <w:szCs w:val="24"/>
              </w:rPr>
            </w:pPr>
            <w:r w:rsidRPr="00DC75A7">
              <w:rPr>
                <w:sz w:val="24"/>
                <w:szCs w:val="24"/>
              </w:rPr>
              <w:t>Dėl Projekto tikslingumo ir numatomo teisinio reguliavimo poveikio vertinimo atlikimo</w:t>
            </w:r>
          </w:p>
          <w:p w:rsidR="00A62599" w:rsidRPr="00DC75A7" w:rsidRDefault="00A62599" w:rsidP="00DC75A7">
            <w:pPr>
              <w:pStyle w:val="Bodytext20"/>
              <w:shd w:val="clear" w:color="auto" w:fill="auto"/>
              <w:spacing w:before="0" w:after="0" w:line="240" w:lineRule="auto"/>
              <w:ind w:firstLine="600"/>
              <w:rPr>
                <w:sz w:val="24"/>
                <w:szCs w:val="24"/>
              </w:rPr>
            </w:pPr>
            <w:r w:rsidRPr="00DC75A7">
              <w:rPr>
                <w:sz w:val="24"/>
                <w:szCs w:val="24"/>
              </w:rPr>
              <w:t>Projekto aiškinamajame rašte nurodoma, kad siekiant stiprinti visuomenės pasitikėjimą valstybės teisine sistema, įskaitant advokatų, notarų ir antstolių veiklą, šioje sistemoje turėtų dalyvauti ir nepriklausomi visuomenės atstovai. Taip pat nurodoma, kad Projektas parengtas atsižvelgiant į pasiteisinusį visuomenės atstovų dalyvavimą Teisėjų garbės teisme. Projekto rengėjai nepateikia objektyvių duomenų, patvirtinančių, kaip visuomenės atstovų dalyvavimas Teisėjų garbės teisme pasiteisino didinant visuomenės pasitikėjimą teismų sistema.</w:t>
            </w:r>
          </w:p>
          <w:p w:rsidR="00A62599" w:rsidRPr="00DC75A7" w:rsidRDefault="00A62599" w:rsidP="00DC75A7">
            <w:pPr>
              <w:pStyle w:val="Bodytext20"/>
              <w:shd w:val="clear" w:color="auto" w:fill="auto"/>
              <w:spacing w:before="0" w:after="0" w:line="240" w:lineRule="auto"/>
              <w:ind w:firstLine="600"/>
              <w:rPr>
                <w:sz w:val="24"/>
                <w:szCs w:val="24"/>
              </w:rPr>
            </w:pPr>
            <w:r w:rsidRPr="00DC75A7">
              <w:rPr>
                <w:sz w:val="24"/>
                <w:szCs w:val="24"/>
              </w:rPr>
              <w:t>Lietuvos notarų rūmų turimais duomenimis, nuo 2014 metų lapkričio mėnesio, t. y. nuo tada, kai įsigaliojus 2013 m. priimtoms Lietuvos Respublikos teismų įstatymo nuostatoms, pareigas pradėjo eiti nauja Teisėjų garbės teismo kadencija, kurioje nariais jau buvo skirti visuomenės atstovai, visuomenės pasitikėjimo teisėjais rodikliai ženkliai nepakito - Lietuvos notarų rūmų užsakymu visuomenės nuomonės ir rinkos tyrimų centro „</w:t>
            </w:r>
            <w:proofErr w:type="spellStart"/>
            <w:r w:rsidRPr="00DC75A7">
              <w:rPr>
                <w:sz w:val="24"/>
                <w:szCs w:val="24"/>
              </w:rPr>
              <w:t>Vilmorus</w:t>
            </w:r>
            <w:proofErr w:type="spellEnd"/>
            <w:r w:rsidRPr="00DC75A7">
              <w:rPr>
                <w:sz w:val="24"/>
                <w:szCs w:val="24"/>
              </w:rPr>
              <w:t>“ atliktos sociologinės apklausos duomenimis, teisėjais 2014 m. pasitikėjo 26 proc. apklaustųjų, 2015 m. - 26 proc., 2016 m. - 29 proc. 2017 m. - 32 proc., 2018 m - 26 proc. apklaustųjų. Tuo tarpu, pasitikėjimas notarais tuo pačiu laikotarpiu tarp visų Lietuvos Respublikos teisinių institucijų buvo didžiausias ir daugiau nei du kartus viršijo pasitikėjimą teisėjais: 2014 m. notarais pasitikėjo 61 proc. apklaustųjų, 2015 m. - 67 proc., 2016 m. - 63 proc., 2017 m. - 69 proc., 2018 m. - 67 proc. apklaustųjų. Atsižvelgiant į pateiktus duomenis, nėra pagrindo teigti, kad visuomenėje vyrauja nepasitikėjimas notarų vykdoma veikla, taip pat abejotina prielaida, kad visuomenės atstovų įtraukimas yra tinkama priemonė, kurios pagalba turėtų būti stiprinamas visuomenės pasitikėjimas valstybės teisine sistema.</w:t>
            </w:r>
          </w:p>
          <w:p w:rsidR="00A62599" w:rsidRPr="00DC75A7" w:rsidRDefault="00A62599" w:rsidP="00DC75A7">
            <w:pPr>
              <w:pStyle w:val="Bodytext20"/>
              <w:shd w:val="clear" w:color="auto" w:fill="auto"/>
              <w:spacing w:before="0" w:after="0" w:line="240" w:lineRule="auto"/>
              <w:rPr>
                <w:sz w:val="24"/>
                <w:szCs w:val="24"/>
              </w:rPr>
            </w:pPr>
            <w:r w:rsidRPr="00DC75A7">
              <w:rPr>
                <w:sz w:val="24"/>
                <w:szCs w:val="24"/>
              </w:rPr>
              <w:t xml:space="preserve">Taip pat atkreipiame Jūsų dėmesį, kad kaip numatyta Lietuvos Respublikos teisėkūros pagrindų įstatymo 15 straipsnio 1 dalyje bei Numatomo teisinio reguliavimo poveikio vertinimo metodikos, patvirtintos Lietuvos Respublikos Vyriausybės 2003 m. vasario 26 d. nutarimu Nr. 276, 4 punkte, rengiant teisės akto, kuriuo iš esmės keičiamas teisinis reguliavimas, </w:t>
            </w:r>
            <w:r w:rsidRPr="00DC75A7">
              <w:rPr>
                <w:sz w:val="24"/>
                <w:szCs w:val="24"/>
              </w:rPr>
              <w:lastRenderedPageBreak/>
              <w:t>projektą, privalo būti atliekamas numatomo teisinio reguliavimo poveikio vertinimas, kurio išsamumas turi būti proporcingas galimoms numatomo teisinio reguliavimo pasekmėms. Vertintina, kad Projekte įtvirtintas siūlymas skirti visuomenės atstovus į Notarų garbės teismą yra esminis teisinio reguliavimo pakeitimas, kurio galimas poveikis privalo būti įvertintas. Šiuo atveju Įstatymų projektų aiškinamajame rašte apsiribojama fraze, kad Projektais iš esmės nėra keičiamas esamas teisinis reguliavimas ar reglamentuojami iki šiol nereglamentuoti santykiai, todėl numatomo teisinio reguliavimo poveikio vertinimas neatliekamas.</w:t>
            </w:r>
          </w:p>
          <w:p w:rsidR="00A62599" w:rsidRPr="00DC75A7" w:rsidRDefault="00A62599" w:rsidP="00DC75A7">
            <w:pPr>
              <w:pStyle w:val="x"/>
              <w:jc w:val="both"/>
            </w:pPr>
            <w:r w:rsidRPr="00DC75A7">
              <w:t>Atsižvelgiant į tai, kas išdėstyta, matyti, jog Projekto rengėjai nenurodo objektyvių priežasčių, dėl kurių turi būti atliekami teisės aktų pakeitimai, nepateikia argumentų, kodėl šiuo metu galiojantis teisinis reguliavimas yra ydingas ir privalo būti keičiamas. Darytina išvada, kad Projekto tikslingumas turi būti nustatomas ir numatomo teisinio reguliavimo poveikio vertinimas turi būti atliekamas visapusiškai ir išsamiai, o ne formaliai nurodant šablonines frazes.</w:t>
            </w:r>
          </w:p>
        </w:tc>
        <w:tc>
          <w:tcPr>
            <w:tcW w:w="6661" w:type="dxa"/>
            <w:gridSpan w:val="2"/>
            <w:shd w:val="clear" w:color="auto" w:fill="auto"/>
          </w:tcPr>
          <w:p w:rsidR="00A62599" w:rsidRPr="00DC75A7" w:rsidRDefault="00A62599" w:rsidP="00DC75A7">
            <w:pPr>
              <w:pStyle w:val="kopija"/>
              <w:spacing w:before="0" w:beforeAutospacing="0" w:after="0" w:afterAutospacing="0"/>
              <w:ind w:left="33"/>
              <w:jc w:val="both"/>
              <w:rPr>
                <w:b/>
              </w:rPr>
            </w:pPr>
            <w:r w:rsidRPr="00DC75A7">
              <w:rPr>
                <w:b/>
              </w:rPr>
              <w:lastRenderedPageBreak/>
              <w:t>Neatsižvelgta</w:t>
            </w:r>
          </w:p>
          <w:p w:rsidR="00A62599" w:rsidRPr="00DC75A7" w:rsidRDefault="00A62599" w:rsidP="00DC75A7">
            <w:pPr>
              <w:pStyle w:val="kopija"/>
              <w:spacing w:before="0" w:beforeAutospacing="0" w:after="0" w:afterAutospacing="0"/>
              <w:ind w:left="33"/>
              <w:jc w:val="both"/>
              <w:rPr>
                <w:b/>
              </w:rPr>
            </w:pPr>
            <w:r w:rsidRPr="00DC75A7">
              <w:t>Argumentai, dėl kurių į pastabą neatsižvelgta, pateikti vertinant analogišką Lietuvos advokatūros pastabą.</w:t>
            </w:r>
          </w:p>
        </w:tc>
      </w:tr>
      <w:tr w:rsidR="00A62599" w:rsidRPr="00DC75A7" w:rsidTr="001A3AA4">
        <w:tblPrEx>
          <w:tblLook w:val="0000" w:firstRow="0" w:lastRow="0" w:firstColumn="0" w:lastColumn="0" w:noHBand="0" w:noVBand="0"/>
        </w:tblPrEx>
        <w:trPr>
          <w:trHeight w:val="699"/>
        </w:trPr>
        <w:tc>
          <w:tcPr>
            <w:tcW w:w="1413" w:type="dxa"/>
          </w:tcPr>
          <w:p w:rsidR="00A62599" w:rsidRPr="00DC75A7" w:rsidRDefault="00A62599" w:rsidP="00DC75A7">
            <w:pPr>
              <w:jc w:val="both"/>
              <w:rPr>
                <w:noProof w:val="0"/>
              </w:rPr>
            </w:pPr>
          </w:p>
        </w:tc>
        <w:tc>
          <w:tcPr>
            <w:tcW w:w="7371" w:type="dxa"/>
            <w:shd w:val="clear" w:color="auto" w:fill="auto"/>
          </w:tcPr>
          <w:p w:rsidR="00A62599" w:rsidRPr="00DC75A7" w:rsidRDefault="00A62599" w:rsidP="00DC75A7">
            <w:pPr>
              <w:pStyle w:val="Bodytext40"/>
              <w:shd w:val="clear" w:color="auto" w:fill="auto"/>
              <w:spacing w:before="0" w:line="240" w:lineRule="auto"/>
              <w:rPr>
                <w:sz w:val="24"/>
                <w:szCs w:val="24"/>
              </w:rPr>
            </w:pPr>
            <w:r w:rsidRPr="00DC75A7">
              <w:rPr>
                <w:sz w:val="24"/>
                <w:szCs w:val="24"/>
              </w:rPr>
              <w:t>Dėl notarų savivaldos institucijos statuso</w:t>
            </w:r>
          </w:p>
          <w:p w:rsidR="00A62599" w:rsidRPr="00DC75A7" w:rsidRDefault="00A62599" w:rsidP="00DC75A7">
            <w:pPr>
              <w:pStyle w:val="Bodytext20"/>
              <w:shd w:val="clear" w:color="auto" w:fill="auto"/>
              <w:spacing w:before="0" w:after="0" w:line="240" w:lineRule="auto"/>
              <w:ind w:firstLine="600"/>
              <w:rPr>
                <w:sz w:val="24"/>
                <w:szCs w:val="24"/>
              </w:rPr>
            </w:pPr>
            <w:r w:rsidRPr="00DC75A7">
              <w:rPr>
                <w:sz w:val="24"/>
                <w:szCs w:val="24"/>
              </w:rPr>
              <w:t>Lietuvos Respublikos Konstitucinis Teismas (toliau - LR KT) yra konstatavęs</w:t>
            </w:r>
            <w:r w:rsidRPr="00DC75A7">
              <w:rPr>
                <w:sz w:val="24"/>
                <w:szCs w:val="24"/>
                <w:vertAlign w:val="superscript"/>
              </w:rPr>
              <w:footnoteReference w:id="2"/>
            </w:r>
            <w:r w:rsidRPr="00DC75A7">
              <w:rPr>
                <w:sz w:val="24"/>
                <w:szCs w:val="24"/>
              </w:rPr>
              <w:t xml:space="preserve">, kad įstatymų leidėjas pagal Konstituciją turi įgaliojimus įstatymu nustatyti tokį teisinį reguliavimą, kad asmenys, besiverčiantys tam tikra valstybės kontroliuojama profesija, </w:t>
            </w:r>
            <w:proofErr w:type="spellStart"/>
            <w:r w:rsidRPr="00DC75A7">
              <w:rPr>
                <w:sz w:val="24"/>
                <w:szCs w:val="24"/>
              </w:rPr>
              <w:t>ex</w:t>
            </w:r>
            <w:proofErr w:type="spellEnd"/>
            <w:r w:rsidRPr="00DC75A7">
              <w:rPr>
                <w:sz w:val="24"/>
                <w:szCs w:val="24"/>
              </w:rPr>
              <w:t xml:space="preserve"> </w:t>
            </w:r>
            <w:proofErr w:type="spellStart"/>
            <w:r w:rsidRPr="00DC75A7">
              <w:rPr>
                <w:rStyle w:val="Bodytext2Italic"/>
              </w:rPr>
              <w:t>lege</w:t>
            </w:r>
            <w:proofErr w:type="spellEnd"/>
            <w:r w:rsidRPr="00DC75A7">
              <w:rPr>
                <w:sz w:val="24"/>
                <w:szCs w:val="24"/>
              </w:rPr>
              <w:t xml:space="preserve"> priklausytų tam tikrai asociacijai, užtikrinančiai šios profesijos savivaldą, </w:t>
            </w:r>
            <w:proofErr w:type="spellStart"/>
            <w:r w:rsidRPr="00DC75A7">
              <w:rPr>
                <w:rStyle w:val="Bodytext2Italic"/>
              </w:rPr>
              <w:t>inter</w:t>
            </w:r>
            <w:proofErr w:type="spellEnd"/>
            <w:r w:rsidRPr="00DC75A7">
              <w:rPr>
                <w:rStyle w:val="Bodytext2Italic"/>
              </w:rPr>
              <w:t xml:space="preserve"> alia</w:t>
            </w:r>
            <w:r w:rsidRPr="00DC75A7">
              <w:rPr>
                <w:sz w:val="24"/>
                <w:szCs w:val="24"/>
              </w:rPr>
              <w:t xml:space="preserve"> vienodus profesinės etikos standartus ir jų laikymosi priežiūrą. Vadovaujantis LR KT </w:t>
            </w:r>
            <w:proofErr w:type="spellStart"/>
            <w:r w:rsidRPr="00DC75A7">
              <w:rPr>
                <w:sz w:val="24"/>
                <w:szCs w:val="24"/>
              </w:rPr>
              <w:t>išaiškinimais</w:t>
            </w:r>
            <w:proofErr w:type="spellEnd"/>
            <w:r w:rsidRPr="00DC75A7">
              <w:rPr>
                <w:sz w:val="24"/>
                <w:szCs w:val="24"/>
              </w:rPr>
              <w:t xml:space="preserve">, visuotinai - ne tik Lietuvoje - pripažįstama, kad tokios valstybės kontroliuojamos profesijos kaip antstolio ir kt. (beje, ne vien teisinės profesijos) suponuoja atitinkamos profesijos savireguliaciją ir atitinkamą savivaldos sistemą, kuri apima visą šią profesiją (visus ja besiverčiančius asmenis) ir užtikrina </w:t>
            </w:r>
            <w:proofErr w:type="spellStart"/>
            <w:r w:rsidRPr="00DC75A7">
              <w:rPr>
                <w:rStyle w:val="Bodytext2Italic"/>
              </w:rPr>
              <w:t>inter</w:t>
            </w:r>
            <w:proofErr w:type="spellEnd"/>
            <w:r w:rsidRPr="00DC75A7">
              <w:rPr>
                <w:rStyle w:val="Bodytext2Italic"/>
              </w:rPr>
              <w:t xml:space="preserve"> alia</w:t>
            </w:r>
            <w:r w:rsidRPr="00DC75A7">
              <w:rPr>
                <w:sz w:val="24"/>
                <w:szCs w:val="24"/>
              </w:rPr>
              <w:t xml:space="preserve"> atstovavimą tai profesijai (ja besiverčiantiems asmenims) esant santykiams su valstybės ir savivaldos institucijomis bei tarptautiniu lygiu, kvalifikacijos tobulinimo organizavimą, vienodus profesinės etikos standartus ir jų laikymosi kontrolę, taip pat kitokią įstatymų reikalaujamą tos profesijos asmenų veiklos kontrolę. Jeigu tokios savireguliacijos ir savivaldos sistemos nebūtų, atitinkamų funkcijų, kurių vykdymą valstybė privalo užtikrinti, </w:t>
            </w:r>
            <w:r w:rsidRPr="00DC75A7">
              <w:rPr>
                <w:sz w:val="24"/>
                <w:szCs w:val="24"/>
              </w:rPr>
              <w:lastRenderedPageBreak/>
              <w:t>perdavimas į privačias rankas ne tik būtų nepagrįstas tikslingumo atžvilgiu, bet ir galėtų būti konstituciškai nepateisinamas</w:t>
            </w:r>
            <w:r w:rsidRPr="00DC75A7">
              <w:rPr>
                <w:sz w:val="24"/>
                <w:szCs w:val="24"/>
                <w:vertAlign w:val="superscript"/>
              </w:rPr>
              <w:footnoteReference w:id="3"/>
            </w:r>
            <w:r w:rsidRPr="00DC75A7">
              <w:rPr>
                <w:sz w:val="24"/>
                <w:szCs w:val="24"/>
              </w:rPr>
              <w:t>.</w:t>
            </w:r>
          </w:p>
          <w:p w:rsidR="00A62599" w:rsidRPr="00DC75A7" w:rsidRDefault="00A62599" w:rsidP="00DC75A7">
            <w:pPr>
              <w:pStyle w:val="Bodytext20"/>
              <w:shd w:val="clear" w:color="auto" w:fill="auto"/>
              <w:spacing w:before="0" w:after="0" w:line="240" w:lineRule="auto"/>
              <w:ind w:firstLine="600"/>
              <w:rPr>
                <w:sz w:val="24"/>
                <w:szCs w:val="24"/>
              </w:rPr>
            </w:pPr>
            <w:r w:rsidRPr="00DC75A7">
              <w:rPr>
                <w:sz w:val="24"/>
                <w:szCs w:val="24"/>
              </w:rPr>
              <w:t>Lietuvoje, kaip ir kitose lotyniškojo notariato valstybėse, notaro profesija pasižymi savireguliacija, vykdoma per nustatytą savivaldos sistemą - Lietuvos notarų rūmus, kurių teisinė forma - asociacija. Pagal Lietuvos notarų rūmų statuto 3 straipsnį Notarų rūmų veikla grindžiama savivaldos, viešumo ir teisėtumo principais, o savo veikloje Lietuvos notarų rūmai vadovaujasi Lietuvos Respublikos Konstitucija, Lietuvos Respublikos civiliniu kodeksu, Notariato įstatymu, Asociacijų įstatymu, kiek tai neprieštarauja Notariato įstatymui, kitais įstatymais ir Lietuvos Respublikos Vyriausybės nutarimais, potvarkiais bei kitais teisės aktais ir šiuo Statutu.</w:t>
            </w:r>
          </w:p>
          <w:p w:rsidR="00A62599" w:rsidRPr="00DC75A7" w:rsidRDefault="00A62599" w:rsidP="00B44510">
            <w:pPr>
              <w:pStyle w:val="Bodytext20"/>
              <w:shd w:val="clear" w:color="auto" w:fill="auto"/>
              <w:spacing w:before="0" w:after="0" w:line="240" w:lineRule="auto"/>
              <w:ind w:firstLine="600"/>
              <w:rPr>
                <w:sz w:val="24"/>
                <w:szCs w:val="24"/>
              </w:rPr>
            </w:pPr>
          </w:p>
        </w:tc>
        <w:tc>
          <w:tcPr>
            <w:tcW w:w="6661" w:type="dxa"/>
            <w:gridSpan w:val="2"/>
            <w:shd w:val="clear" w:color="auto" w:fill="auto"/>
          </w:tcPr>
          <w:p w:rsidR="001831EC" w:rsidRPr="00DC75A7" w:rsidRDefault="001831EC" w:rsidP="00DC75A7">
            <w:pPr>
              <w:pStyle w:val="kopija"/>
              <w:spacing w:before="0" w:beforeAutospacing="0" w:after="0" w:afterAutospacing="0"/>
              <w:ind w:left="33"/>
              <w:jc w:val="both"/>
              <w:rPr>
                <w:b/>
              </w:rPr>
            </w:pPr>
            <w:r w:rsidRPr="00DC75A7">
              <w:rPr>
                <w:b/>
              </w:rPr>
              <w:lastRenderedPageBreak/>
              <w:t>Neatsižvelgta</w:t>
            </w:r>
          </w:p>
          <w:p w:rsidR="00643E84" w:rsidRDefault="00643E84" w:rsidP="00643E84">
            <w:pPr>
              <w:widowControl w:val="0"/>
              <w:ind w:firstLine="629"/>
              <w:jc w:val="both"/>
              <w:rPr>
                <w:noProof w:val="0"/>
              </w:rPr>
            </w:pPr>
            <w:r w:rsidRPr="00643E84">
              <w:rPr>
                <w:noProof w:val="0"/>
              </w:rPr>
              <w:t>Notariato įstatymo pakeitimo įstatymu projektu (toliau – Projektas) nėra mažinamos Lietuvos notarų rūmų, kaip notarų savivaldos institucijos, įgaliojimai, uždaviniai ir (ar) funkcijos savivaldos narių kontrolės ar kitose srityse. Taip pat lieka galioti iki šiol įtvirtintas subjektų ratas, kuris turi teisę inicijuoti notarui drausmės bylą.</w:t>
            </w:r>
            <w:r>
              <w:rPr>
                <w:noProof w:val="0"/>
              </w:rPr>
              <w:t xml:space="preserve"> </w:t>
            </w:r>
          </w:p>
          <w:p w:rsidR="00643E84" w:rsidRDefault="00643E84" w:rsidP="00643E84">
            <w:pPr>
              <w:widowControl w:val="0"/>
              <w:ind w:firstLine="629"/>
              <w:jc w:val="both"/>
              <w:rPr>
                <w:bCs/>
                <w:noProof w:val="0"/>
              </w:rPr>
            </w:pPr>
            <w:r w:rsidRPr="00643E84">
              <w:rPr>
                <w:noProof w:val="0"/>
              </w:rPr>
              <w:t>Pagal siūlomą teisinį reguliavimą, visuomenės atstovai sudarytų Notarų garbės teismo mažumą (2 nariai iš 5), o Notarų garbės teismo pirmininkas visada būtų skiriamas notaras. Taip pat pastebėtina, kad t</w:t>
            </w:r>
            <w:r w:rsidRPr="00643E84">
              <w:rPr>
                <w:bCs/>
                <w:noProof w:val="0"/>
              </w:rPr>
              <w:t>ais atvejais, kai balsai pasiskirsto po lygiai, priimtu būtų laikomas sprendimas, už kurį balsavo Notarų garbės teismo pirmininkas.</w:t>
            </w:r>
            <w:r>
              <w:rPr>
                <w:bCs/>
                <w:noProof w:val="0"/>
              </w:rPr>
              <w:t xml:space="preserve"> </w:t>
            </w:r>
          </w:p>
          <w:p w:rsidR="00643E84" w:rsidRPr="00643E84" w:rsidRDefault="00643E84" w:rsidP="00643E84">
            <w:pPr>
              <w:widowControl w:val="0"/>
              <w:ind w:firstLine="629"/>
              <w:jc w:val="both"/>
              <w:rPr>
                <w:noProof w:val="0"/>
              </w:rPr>
            </w:pPr>
            <w:r w:rsidRPr="00643E84">
              <w:rPr>
                <w:bCs/>
                <w:noProof w:val="0"/>
              </w:rPr>
              <w:t xml:space="preserve">Atsižvelgiant į tai, abejotina, kad </w:t>
            </w:r>
            <w:r w:rsidRPr="00643E84">
              <w:rPr>
                <w:noProof w:val="0"/>
              </w:rPr>
              <w:t xml:space="preserve">Projekto siūlomi pakeitimai dėl visuomenės atstovų įtraukimo į Notarų garbės teismo sudėtį, galėtų būti priskiriami prie asociacijų laisvės ir nepriklausomumo principo įgyvendinimo suvaržymo. </w:t>
            </w:r>
          </w:p>
          <w:p w:rsidR="00643E84" w:rsidRPr="00643E84" w:rsidRDefault="00643E84" w:rsidP="00643E84">
            <w:pPr>
              <w:widowControl w:val="0"/>
              <w:ind w:firstLine="629"/>
              <w:jc w:val="both"/>
              <w:rPr>
                <w:bCs/>
                <w:noProof w:val="0"/>
              </w:rPr>
            </w:pPr>
            <w:r w:rsidRPr="00643E84">
              <w:rPr>
                <w:noProof w:val="0"/>
              </w:rPr>
              <w:t xml:space="preserve">Aptariamo klausimo kontekste taip pat </w:t>
            </w:r>
            <w:r w:rsidRPr="00643E84">
              <w:rPr>
                <w:bCs/>
                <w:noProof w:val="0"/>
              </w:rPr>
              <w:t xml:space="preserve">pažymėtina, kad </w:t>
            </w:r>
            <w:r w:rsidRPr="00643E84">
              <w:rPr>
                <w:noProof w:val="0"/>
              </w:rPr>
              <w:lastRenderedPageBreak/>
              <w:t xml:space="preserve">Lietuvos notarų rūmų, kaip asociacijos, statusas yra ypatingas, nes valstybė per Lietuvos notarų rūmus vykdo valstybės pavestas funkcijas. Taip pat Europos Žmogaus Teisių Teismo jurisprudencijoje konstatuota, kad laisvas profesijas reguliuojančios institucijos tikslas yra reguliuoti ir remti šias profesijas, vykdant svarbias viešosios teisės funkcijas visuomenės apsaugos tikslais, todėl </w:t>
            </w:r>
            <w:r w:rsidRPr="00643E84">
              <w:rPr>
                <w:i/>
                <w:noProof w:val="0"/>
              </w:rPr>
              <w:t xml:space="preserve">jų negalima prilyginti privatinės teisės asociacijoms </w:t>
            </w:r>
            <w:r w:rsidRPr="00643E84">
              <w:rPr>
                <w:noProof w:val="0"/>
              </w:rPr>
              <w:t xml:space="preserve">arba profsąjungoms ir </w:t>
            </w:r>
            <w:r w:rsidRPr="00643E84">
              <w:rPr>
                <w:i/>
                <w:noProof w:val="0"/>
              </w:rPr>
              <w:t>jos turi likti integruotos į valstybės struktūras</w:t>
            </w:r>
            <w:r w:rsidRPr="00643E84">
              <w:rPr>
                <w:noProof w:val="0"/>
                <w:vertAlign w:val="superscript"/>
              </w:rPr>
              <w:footnoteReference w:id="4"/>
            </w:r>
            <w:r w:rsidRPr="00643E84">
              <w:rPr>
                <w:noProof w:val="0"/>
              </w:rPr>
              <w:t>.</w:t>
            </w:r>
          </w:p>
          <w:p w:rsidR="00643E84" w:rsidRPr="00643E84" w:rsidRDefault="00643E84" w:rsidP="00643E84">
            <w:pPr>
              <w:widowControl w:val="0"/>
              <w:ind w:firstLine="629"/>
              <w:jc w:val="both"/>
              <w:rPr>
                <w:noProof w:val="0"/>
              </w:rPr>
            </w:pPr>
            <w:r w:rsidRPr="00643E84">
              <w:rPr>
                <w:noProof w:val="0"/>
              </w:rPr>
              <w:t>Lietuvos Respublikos Konstitucinis Teismas 2010 m. kovo 22 d. nutarime pažymėjo, kad valstybė savo funkcijas gali vykdyti ne tik per atitinkamų institucijų sistemą, apimančią valstybės ir savivaldybių institucijas (kaip ji paprastai daro), bet ir – tam tikra apimtimi – per kitas (ne valstybės) institucijas, kurioms pagal įstatymus</w:t>
            </w:r>
            <w:r w:rsidRPr="00643E84">
              <w:rPr>
                <w:i/>
                <w:noProof w:val="0"/>
              </w:rPr>
              <w:t xml:space="preserve"> yra pavesta (patikėta) vykdyti tam tikras valstybės funkcijas</w:t>
            </w:r>
            <w:r w:rsidRPr="00643E84">
              <w:rPr>
                <w:noProof w:val="0"/>
              </w:rPr>
              <w:t xml:space="preserve"> arba kurios tam tikromis įstatymuose apibrėžtomis formomis ir būdais </w:t>
            </w:r>
            <w:r w:rsidRPr="00643E84">
              <w:rPr>
                <w:i/>
                <w:noProof w:val="0"/>
              </w:rPr>
              <w:t>dalyvauja vykdant valstybės funkcijas</w:t>
            </w:r>
            <w:r w:rsidRPr="00643E84">
              <w:rPr>
                <w:noProof w:val="0"/>
              </w:rPr>
              <w:t xml:space="preserve">. </w:t>
            </w:r>
          </w:p>
          <w:p w:rsidR="00E57A92" w:rsidRPr="00DC75A7" w:rsidRDefault="00E57A92" w:rsidP="00DC75A7">
            <w:pPr>
              <w:pStyle w:val="Bodytext20"/>
              <w:shd w:val="clear" w:color="auto" w:fill="auto"/>
              <w:spacing w:before="0" w:after="0" w:line="240" w:lineRule="auto"/>
              <w:ind w:firstLine="629"/>
              <w:rPr>
                <w:b/>
                <w:sz w:val="24"/>
                <w:szCs w:val="24"/>
              </w:rPr>
            </w:pPr>
          </w:p>
        </w:tc>
      </w:tr>
      <w:tr w:rsidR="00964D57" w:rsidRPr="00DC75A7" w:rsidTr="001A3AA4">
        <w:tblPrEx>
          <w:tblLook w:val="0000" w:firstRow="0" w:lastRow="0" w:firstColumn="0" w:lastColumn="0" w:noHBand="0" w:noVBand="0"/>
        </w:tblPrEx>
        <w:trPr>
          <w:trHeight w:val="699"/>
        </w:trPr>
        <w:tc>
          <w:tcPr>
            <w:tcW w:w="1413" w:type="dxa"/>
          </w:tcPr>
          <w:p w:rsidR="00964D57" w:rsidRPr="00DC75A7" w:rsidRDefault="00964D57" w:rsidP="00DC75A7">
            <w:pPr>
              <w:jc w:val="both"/>
              <w:rPr>
                <w:noProof w:val="0"/>
              </w:rPr>
            </w:pPr>
          </w:p>
        </w:tc>
        <w:tc>
          <w:tcPr>
            <w:tcW w:w="7371" w:type="dxa"/>
            <w:shd w:val="clear" w:color="auto" w:fill="auto"/>
          </w:tcPr>
          <w:p w:rsidR="00964D57" w:rsidRPr="00DC75A7" w:rsidRDefault="00964D57" w:rsidP="00DC75A7">
            <w:pPr>
              <w:pStyle w:val="Bodytext40"/>
              <w:shd w:val="clear" w:color="auto" w:fill="auto"/>
              <w:spacing w:before="0" w:line="240" w:lineRule="auto"/>
              <w:rPr>
                <w:sz w:val="24"/>
                <w:szCs w:val="24"/>
              </w:rPr>
            </w:pPr>
            <w:r w:rsidRPr="00DC75A7">
              <w:rPr>
                <w:sz w:val="24"/>
                <w:szCs w:val="24"/>
              </w:rPr>
              <w:t>Dėl notarinės paslapties principo įgyvendinimo</w:t>
            </w:r>
          </w:p>
          <w:p w:rsidR="00964D57" w:rsidRPr="00DC75A7" w:rsidRDefault="00964D57" w:rsidP="00DC75A7">
            <w:pPr>
              <w:pStyle w:val="Bodytext20"/>
              <w:shd w:val="clear" w:color="auto" w:fill="auto"/>
              <w:spacing w:before="0" w:after="0" w:line="240" w:lineRule="auto"/>
              <w:ind w:firstLine="600"/>
              <w:rPr>
                <w:sz w:val="24"/>
                <w:szCs w:val="24"/>
                <w:highlight w:val="yellow"/>
              </w:rPr>
            </w:pPr>
            <w:r w:rsidRPr="00DC75A7">
              <w:rPr>
                <w:sz w:val="24"/>
                <w:szCs w:val="24"/>
              </w:rPr>
              <w:t xml:space="preserve">Notaro profesinės paslapties principas, įtvirtinantis notaro pareigą saugoti notarinę paslaptį ir be kliento valios jokiomis aplinkybėmis neatskleisti tretiesiems asmenims notarinio veiksmo fakto ir su juo susijusių aplinkybių, nepriklausomai nuo jų suinteresuotumo, yra įtvirtintas Lietuvos Respublikos notariato įstatymo 14 straipsnyje. Šio straipsnio 1 dalyje įtvirtinta, jog notarai privalo užtikrinti notarinių veiksmų slaptumą. Taip pat Notarų garbės (etikos) kodekso 3 str. 1 dalyje nustatyta, kad notaras užtikrina notarinių veiksmų slaptumą ir saugo notarinius dokumentus bei jam pateiktą informaciją. Lietuvos Respublikos civilinio kodekso 1.116 str. 5 d. numato, kad informacija pripažįstama profesine paslaptimi, jeigu ją pagal įstatymus arba sutartį privalo saugoti tam tikros profesijos asmenys. Šią informaciją asmenys gauna atlikdami jiems įstatymų ar sutarčių numatytas pareigas. Notarų garbės teismo nariams - notarams - vykdant savo profesinę veiklą bei svarstant notarų drausmės </w:t>
            </w:r>
            <w:r w:rsidRPr="00DC75A7">
              <w:rPr>
                <w:sz w:val="24"/>
                <w:szCs w:val="24"/>
              </w:rPr>
              <w:lastRenderedPageBreak/>
              <w:t>bylas privaloma laikytis Notariato įstatymo, Notarų garbės (etikos) kodekso, Notarų garbės teismo nuostatų reikalavimų, kurios įpareigoja saugoti notarinio veiksmo notarinio veiksmo paslaptį, neviešinti informacijos apie atliktą notarinį veiksmą, išskyrus įstatyme numatytas išimtis. Vertintina, kad visuomenės atstovų įtraukimas į Notarų garbės teismo sudėtį pažeistų notarinės paslapties principą. Notarų drausmės bylų nagrinėjimo metu atskleidžiama informacija apie atliktus notarinius veiksmus, jų atlikimo aplinkybes, pateikiami notariniai dokumentai ir kitokio pobūdžio informacija - visa tai sudaro notarinę paslaptį, kuri gali būti atskleidžiama tik įstatyme apibrėžtam subjektų ratui. Darytina išvada, jog pritarus siūlomam Projektui, notaras, dėl kurio veiksmų bus kreiptasi į Notarų garbės teismą, negalės užtikrinti savo klientų diskretiškumo ir su tuo susijusios jų apsaugos, nes informacija Notarų garbės teismo posėdžio metu bus atskleidžiama paskirtiems visuomenės atstovams, neturintiems teisės sužinoti notarinių veiksmų atlikimo faktų ir kitų susijusių aplinkybių.</w:t>
            </w:r>
          </w:p>
        </w:tc>
        <w:tc>
          <w:tcPr>
            <w:tcW w:w="6661" w:type="dxa"/>
            <w:gridSpan w:val="2"/>
            <w:shd w:val="clear" w:color="auto" w:fill="auto"/>
          </w:tcPr>
          <w:p w:rsidR="00964D57" w:rsidRPr="00DC75A7" w:rsidRDefault="00964D57" w:rsidP="00DC75A7">
            <w:pPr>
              <w:pStyle w:val="kopija"/>
              <w:spacing w:before="0" w:beforeAutospacing="0" w:after="0" w:afterAutospacing="0"/>
              <w:ind w:left="33"/>
              <w:jc w:val="both"/>
              <w:rPr>
                <w:b/>
              </w:rPr>
            </w:pPr>
            <w:r w:rsidRPr="00DC75A7">
              <w:rPr>
                <w:b/>
              </w:rPr>
              <w:lastRenderedPageBreak/>
              <w:t>Neatsižvelgta</w:t>
            </w:r>
          </w:p>
          <w:p w:rsidR="00964D57" w:rsidRPr="00DC75A7" w:rsidRDefault="00BC0835" w:rsidP="00DC75A7">
            <w:pPr>
              <w:jc w:val="both"/>
            </w:pPr>
            <w:r w:rsidRPr="00DC75A7">
              <w:t>Lietuvos Respublikos n</w:t>
            </w:r>
            <w:r w:rsidR="00964D57" w:rsidRPr="00DC75A7">
              <w:t xml:space="preserve">otariato įstatymo 14 straipsnio 5 dalyje nurodyta, kad notarinių veiksmų slaptumo taisyklės taikomos ir asmenims, nustojusiems dirbti notaru, taip pat asmenims, kurie apie notarinius veiksmus sužinojo, </w:t>
            </w:r>
            <w:r w:rsidR="00964D57" w:rsidRPr="00DC75A7">
              <w:rPr>
                <w:i/>
              </w:rPr>
              <w:t>eidami tarnybines pareigas</w:t>
            </w:r>
            <w:r w:rsidR="00964D57" w:rsidRPr="00DC75A7">
              <w:t>.</w:t>
            </w:r>
          </w:p>
          <w:p w:rsidR="00964D57" w:rsidRPr="00DC75A7" w:rsidRDefault="00964D57" w:rsidP="00DC75A7">
            <w:pPr>
              <w:jc w:val="both"/>
            </w:pPr>
            <w:r w:rsidRPr="00DC75A7">
              <w:t>Atsižvelgiant į tai, kad visuomenės atstovų institutas bus įtvirtintas Notariato įstatyme, sistemiškai taikant Notariato įstatymo nuostatas</w:t>
            </w:r>
            <w:r w:rsidR="00BC0835" w:rsidRPr="00DC75A7">
              <w:t>, notarinės paslapties saugojimo principas turėtų būti privalomas ir</w:t>
            </w:r>
            <w:r w:rsidRPr="00DC75A7">
              <w:t xml:space="preserve"> visuomenės atstovams.</w:t>
            </w:r>
          </w:p>
          <w:p w:rsidR="00964D57" w:rsidRPr="00DC75A7" w:rsidRDefault="00964D57" w:rsidP="00DC75A7">
            <w:pPr>
              <w:jc w:val="both"/>
              <w:rPr>
                <w:b/>
              </w:rPr>
            </w:pPr>
            <w:r w:rsidRPr="00DC75A7">
              <w:t>Be to, Notarų garbės teismo nuostatuose bus įtvirtinta, kad Notarų garbės teismo nariai ir Notaro garbės teismo posėdžio dalyviai privalo saugoti notarinio veiksmo paslaptį</w:t>
            </w:r>
            <w:r w:rsidR="00BC0835" w:rsidRPr="00DC75A7">
              <w:t>. Taip pat,</w:t>
            </w:r>
            <w:r w:rsidRPr="00DC75A7">
              <w:t xml:space="preserve"> prieš einant Notarų garbės teismo nario pareigas, visuomenės atstovams bus privaloma pasirašytinai supažinti su pareiga užtikrinti notarinių veiksmų slaptumą.</w:t>
            </w:r>
          </w:p>
        </w:tc>
      </w:tr>
    </w:tbl>
    <w:p w:rsidR="00A23448" w:rsidRPr="00DC75A7" w:rsidRDefault="00A23448" w:rsidP="00B44510">
      <w:pPr>
        <w:jc w:val="both"/>
        <w:rPr>
          <w:noProof w:val="0"/>
          <w:lang w:eastAsia="en-US"/>
        </w:rPr>
      </w:pPr>
    </w:p>
    <w:sectPr w:rsidR="00A23448" w:rsidRPr="00DC75A7" w:rsidSect="00030FA2">
      <w:headerReference w:type="even" r:id="rId8"/>
      <w:headerReference w:type="default" r:id="rId9"/>
      <w:pgSz w:w="16838" w:h="11906" w:orient="landscape"/>
      <w:pgMar w:top="851" w:right="1134" w:bottom="1134" w:left="85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F7F" w:rsidRDefault="00867F7F">
      <w:r>
        <w:separator/>
      </w:r>
    </w:p>
  </w:endnote>
  <w:endnote w:type="continuationSeparator" w:id="0">
    <w:p w:rsidR="00867F7F" w:rsidRDefault="00867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LT">
    <w:altName w:val="Times New Roman"/>
    <w:charset w:val="00"/>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Roman">
    <w:altName w:val="Times New Roman"/>
    <w:charset w:val="00"/>
    <w:family w:val="auto"/>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F7F" w:rsidRDefault="00867F7F">
      <w:r>
        <w:separator/>
      </w:r>
    </w:p>
  </w:footnote>
  <w:footnote w:type="continuationSeparator" w:id="0">
    <w:p w:rsidR="00867F7F" w:rsidRDefault="00867F7F">
      <w:r>
        <w:continuationSeparator/>
      </w:r>
    </w:p>
  </w:footnote>
  <w:footnote w:id="1">
    <w:p w:rsidR="00E35252" w:rsidRDefault="00E35252" w:rsidP="00E35252">
      <w:pPr>
        <w:pStyle w:val="Puslapioinaostekstas"/>
      </w:pPr>
      <w:r>
        <w:rPr>
          <w:rStyle w:val="Puslapioinaosnuoroda"/>
        </w:rPr>
        <w:footnoteRef/>
      </w:r>
      <w:r>
        <w:t xml:space="preserve"> </w:t>
      </w:r>
      <w:hyperlink r:id="rId1" w:history="1">
        <w:r w:rsidRPr="00B12259">
          <w:rPr>
            <w:rStyle w:val="Hipersaitas"/>
            <w:sz w:val="18"/>
            <w:szCs w:val="18"/>
          </w:rPr>
          <w:t>https://www.notarurumai.lt/naujienos/naujienos/lietuvos-gyventojai-2018-metais-labiausiai-pasitikjo-notarais-ir-policininkais</w:t>
        </w:r>
      </w:hyperlink>
      <w:r>
        <w:t xml:space="preserve"> </w:t>
      </w:r>
    </w:p>
  </w:footnote>
  <w:footnote w:id="2">
    <w:p w:rsidR="00A62599" w:rsidRDefault="00A62599" w:rsidP="00A62599">
      <w:pPr>
        <w:pStyle w:val="Footnote0"/>
        <w:shd w:val="clear" w:color="auto" w:fill="auto"/>
        <w:tabs>
          <w:tab w:val="left" w:pos="108"/>
        </w:tabs>
      </w:pPr>
      <w:r>
        <w:rPr>
          <w:vertAlign w:val="superscript"/>
        </w:rPr>
        <w:footnoteRef/>
      </w:r>
      <w:r>
        <w:tab/>
        <w:t>Lietuvos Respublikos Konstitucinio Teismo 2008 m. sausio 7 d. nutarimas „Dėl Lietuvos Respublikos antstolių įstatymo 45 straipsnio 3, 5 dalių atitikties Lietuvos Respublikos Konstitucijai“.</w:t>
      </w:r>
    </w:p>
  </w:footnote>
  <w:footnote w:id="3">
    <w:p w:rsidR="00A62599" w:rsidRDefault="00A62599" w:rsidP="00A62599">
      <w:pPr>
        <w:pStyle w:val="Footnote20"/>
        <w:shd w:val="clear" w:color="auto" w:fill="auto"/>
        <w:tabs>
          <w:tab w:val="left" w:pos="108"/>
        </w:tabs>
      </w:pPr>
      <w:r>
        <w:rPr>
          <w:rStyle w:val="Footnote2NotItalic"/>
          <w:vertAlign w:val="superscript"/>
        </w:rPr>
        <w:footnoteRef/>
      </w:r>
      <w:r>
        <w:rPr>
          <w:rStyle w:val="Footnote2NotItalic"/>
        </w:rPr>
        <w:tab/>
      </w:r>
      <w:proofErr w:type="spellStart"/>
      <w:r w:rsidR="006716FD">
        <w:t>Ibid</w:t>
      </w:r>
      <w:proofErr w:type="spellEnd"/>
      <w:r w:rsidR="006716FD">
        <w:t>.</w:t>
      </w:r>
    </w:p>
  </w:footnote>
  <w:footnote w:id="4">
    <w:p w:rsidR="00643E84" w:rsidRPr="00E8457D" w:rsidRDefault="00643E84" w:rsidP="00643E84">
      <w:pPr>
        <w:pStyle w:val="Puslapioinaostekstas"/>
        <w:spacing w:before="60" w:after="60"/>
        <w:ind w:left="567" w:hanging="567"/>
        <w:jc w:val="both"/>
      </w:pPr>
      <w:r w:rsidRPr="00E8457D">
        <w:rPr>
          <w:rStyle w:val="Puslapioinaosnuoroda"/>
        </w:rPr>
        <w:footnoteRef/>
      </w:r>
      <w:r w:rsidRPr="00E8457D">
        <w:t xml:space="preserve"> EŽTT 2001-04-03 nutarimas dėl priimtinumo byloje </w:t>
      </w:r>
      <w:r w:rsidRPr="00E8457D">
        <w:rPr>
          <w:i/>
        </w:rPr>
        <w:t>O.V.R.</w:t>
      </w:r>
      <w:r w:rsidRPr="00E8457D">
        <w:t xml:space="preserve"> prieš </w:t>
      </w:r>
      <w:r w:rsidRPr="00E8457D">
        <w:rPr>
          <w:i/>
        </w:rPr>
        <w:t>Rusiją</w:t>
      </w:r>
      <w:r w:rsidRPr="00E8457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876F5" w:rsidRDefault="00D876F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76F5" w:rsidRDefault="00D876F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815E6">
      <w:rPr>
        <w:rStyle w:val="Puslapionumeris"/>
      </w:rPr>
      <w:t>11</w:t>
    </w:r>
    <w:r>
      <w:rPr>
        <w:rStyle w:val="Puslapionumeris"/>
      </w:rPr>
      <w:fldChar w:fldCharType="end"/>
    </w:r>
  </w:p>
  <w:p w:rsidR="00D876F5" w:rsidRDefault="00D876F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2C2188E"/>
    <w:lvl w:ilvl="0">
      <w:numFmt w:val="bullet"/>
      <w:lvlText w:val="*"/>
      <w:lvlJc w:val="left"/>
    </w:lvl>
  </w:abstractNum>
  <w:abstractNum w:abstractNumId="1" w15:restartNumberingAfterBreak="0">
    <w:nsid w:val="03242B9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C07A51"/>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3" w15:restartNumberingAfterBreak="0">
    <w:nsid w:val="0A785CF7"/>
    <w:multiLevelType w:val="hybridMultilevel"/>
    <w:tmpl w:val="A39AD5A0"/>
    <w:lvl w:ilvl="0" w:tplc="D09EDCB2">
      <w:start w:val="1"/>
      <w:numFmt w:val="decimal"/>
      <w:lvlText w:val="%1."/>
      <w:lvlJc w:val="left"/>
      <w:pPr>
        <w:ind w:left="720" w:hanging="360"/>
      </w:pPr>
      <w:rPr>
        <w:sz w:val="20"/>
        <w:szCs w:val="20"/>
      </w:rPr>
    </w:lvl>
    <w:lvl w:ilvl="1" w:tplc="0427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FF384C"/>
    <w:multiLevelType w:val="multilevel"/>
    <w:tmpl w:val="81F4E726"/>
    <w:lvl w:ilvl="0">
      <w:start w:val="1"/>
      <w:numFmt w:val="decimal"/>
      <w:lvlText w:val="%1."/>
      <w:lvlJc w:val="left"/>
      <w:pPr>
        <w:ind w:left="1658"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018" w:hanging="72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378" w:hanging="1080"/>
      </w:pPr>
      <w:rPr>
        <w:rFonts w:hint="default"/>
      </w:rPr>
    </w:lvl>
    <w:lvl w:ilvl="6">
      <w:start w:val="1"/>
      <w:numFmt w:val="decimal"/>
      <w:isLgl/>
      <w:lvlText w:val="%1.%2.%3.%4.%5.%6.%7."/>
      <w:lvlJc w:val="left"/>
      <w:pPr>
        <w:ind w:left="2738" w:hanging="1440"/>
      </w:pPr>
      <w:rPr>
        <w:rFonts w:hint="default"/>
      </w:rPr>
    </w:lvl>
    <w:lvl w:ilvl="7">
      <w:start w:val="1"/>
      <w:numFmt w:val="decimal"/>
      <w:isLgl/>
      <w:lvlText w:val="%1.%2.%3.%4.%5.%6.%7.%8."/>
      <w:lvlJc w:val="left"/>
      <w:pPr>
        <w:ind w:left="2738" w:hanging="1440"/>
      </w:pPr>
      <w:rPr>
        <w:rFonts w:hint="default"/>
      </w:rPr>
    </w:lvl>
    <w:lvl w:ilvl="8">
      <w:start w:val="1"/>
      <w:numFmt w:val="decimal"/>
      <w:isLgl/>
      <w:lvlText w:val="%1.%2.%3.%4.%5.%6.%7.%8.%9."/>
      <w:lvlJc w:val="left"/>
      <w:pPr>
        <w:ind w:left="3098" w:hanging="1800"/>
      </w:pPr>
      <w:rPr>
        <w:rFonts w:hint="default"/>
      </w:rPr>
    </w:lvl>
  </w:abstractNum>
  <w:abstractNum w:abstractNumId="5" w15:restartNumberingAfterBreak="0">
    <w:nsid w:val="12172A25"/>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6054D6"/>
    <w:multiLevelType w:val="hybridMultilevel"/>
    <w:tmpl w:val="AE28A102"/>
    <w:lvl w:ilvl="0" w:tplc="402C45C2">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9587DDB"/>
    <w:multiLevelType w:val="hybridMultilevel"/>
    <w:tmpl w:val="02DCFE56"/>
    <w:lvl w:ilvl="0" w:tplc="F3A6E54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F31967"/>
    <w:multiLevelType w:val="hybridMultilevel"/>
    <w:tmpl w:val="B09265F0"/>
    <w:lvl w:ilvl="0" w:tplc="199E22C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CB4689F"/>
    <w:multiLevelType w:val="hybridMultilevel"/>
    <w:tmpl w:val="A238B53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0" w15:restartNumberingAfterBreak="0">
    <w:nsid w:val="1D4C1416"/>
    <w:multiLevelType w:val="hybridMultilevel"/>
    <w:tmpl w:val="E5E2CB0C"/>
    <w:lvl w:ilvl="0" w:tplc="5A1EC4FE">
      <w:start w:val="1"/>
      <w:numFmt w:val="decimal"/>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11" w15:restartNumberingAfterBreak="0">
    <w:nsid w:val="288C33CE"/>
    <w:multiLevelType w:val="hybridMultilevel"/>
    <w:tmpl w:val="C5BEB37C"/>
    <w:lvl w:ilvl="0" w:tplc="17CE963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51403C"/>
    <w:multiLevelType w:val="hybridMultilevel"/>
    <w:tmpl w:val="55C262A0"/>
    <w:lvl w:ilvl="0" w:tplc="41D4B358">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A47F49"/>
    <w:multiLevelType w:val="hybridMultilevel"/>
    <w:tmpl w:val="D75CA2FC"/>
    <w:lvl w:ilvl="0" w:tplc="6A2A3A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4415175"/>
    <w:multiLevelType w:val="hybridMultilevel"/>
    <w:tmpl w:val="71F6895A"/>
    <w:lvl w:ilvl="0" w:tplc="D79863D6">
      <w:start w:val="1"/>
      <w:numFmt w:val="decimal"/>
      <w:lvlText w:val="%1."/>
      <w:lvlJc w:val="left"/>
      <w:pPr>
        <w:tabs>
          <w:tab w:val="num" w:pos="2179"/>
        </w:tabs>
        <w:ind w:left="2179" w:hanging="1215"/>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15" w15:restartNumberingAfterBreak="0">
    <w:nsid w:val="34B67884"/>
    <w:multiLevelType w:val="hybridMultilevel"/>
    <w:tmpl w:val="3F0ABA5C"/>
    <w:lvl w:ilvl="0" w:tplc="EA986CA8">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076A63"/>
    <w:multiLevelType w:val="hybridMultilevel"/>
    <w:tmpl w:val="B6AC8AF2"/>
    <w:lvl w:ilvl="0" w:tplc="FF96E226">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383EB6"/>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B86EA0"/>
    <w:multiLevelType w:val="hybridMultilevel"/>
    <w:tmpl w:val="ED9C07AE"/>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9" w15:restartNumberingAfterBreak="0">
    <w:nsid w:val="3FF30B29"/>
    <w:multiLevelType w:val="hybridMultilevel"/>
    <w:tmpl w:val="E5D80D1E"/>
    <w:lvl w:ilvl="0" w:tplc="B19AFB72">
      <w:start w:val="1"/>
      <w:numFmt w:val="decimal"/>
      <w:lvlText w:val="%1."/>
      <w:lvlJc w:val="left"/>
      <w:pPr>
        <w:tabs>
          <w:tab w:val="num" w:pos="1759"/>
        </w:tabs>
        <w:ind w:left="1759" w:hanging="105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20" w15:restartNumberingAfterBreak="0">
    <w:nsid w:val="42642D2C"/>
    <w:multiLevelType w:val="singleLevel"/>
    <w:tmpl w:val="6DACEA64"/>
    <w:lvl w:ilvl="0">
      <w:start w:val="1"/>
      <w:numFmt w:val="decimal"/>
      <w:lvlText w:val="%1."/>
      <w:legacy w:legacy="1" w:legacySpace="0" w:legacyIndent="244"/>
      <w:lvlJc w:val="left"/>
      <w:rPr>
        <w:rFonts w:ascii="Times New Roman" w:hAnsi="Times New Roman" w:cs="Times New Roman" w:hint="default"/>
      </w:rPr>
    </w:lvl>
  </w:abstractNum>
  <w:abstractNum w:abstractNumId="21" w15:restartNumberingAfterBreak="0">
    <w:nsid w:val="460B5C31"/>
    <w:multiLevelType w:val="hybridMultilevel"/>
    <w:tmpl w:val="FF921488"/>
    <w:lvl w:ilvl="0" w:tplc="0427000F">
      <w:start w:val="1"/>
      <w:numFmt w:val="decimal"/>
      <w:lvlText w:val="%1."/>
      <w:lvlJc w:val="left"/>
      <w:pPr>
        <w:tabs>
          <w:tab w:val="num" w:pos="840"/>
        </w:tabs>
        <w:ind w:left="84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471B0B2C"/>
    <w:multiLevelType w:val="hybridMultilevel"/>
    <w:tmpl w:val="BC2686BE"/>
    <w:lvl w:ilvl="0" w:tplc="AE64CCA4">
      <w:start w:val="1"/>
      <w:numFmt w:val="decimal"/>
      <w:lvlText w:val="%1."/>
      <w:lvlJc w:val="left"/>
      <w:pPr>
        <w:tabs>
          <w:tab w:val="num" w:pos="2179"/>
        </w:tabs>
        <w:ind w:left="2179" w:hanging="1215"/>
      </w:pPr>
      <w:rPr>
        <w:rFonts w:hint="default"/>
        <w:i w:val="0"/>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3" w15:restartNumberingAfterBreak="0">
    <w:nsid w:val="47AD064B"/>
    <w:multiLevelType w:val="hybridMultilevel"/>
    <w:tmpl w:val="DB84D5FC"/>
    <w:lvl w:ilvl="0" w:tplc="B87A969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3C13B3"/>
    <w:multiLevelType w:val="hybridMultilevel"/>
    <w:tmpl w:val="521C7BE0"/>
    <w:lvl w:ilvl="0" w:tplc="E1840FAC">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5" w15:restartNumberingAfterBreak="0">
    <w:nsid w:val="4C9B2D34"/>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4A3E90"/>
    <w:multiLevelType w:val="hybridMultilevel"/>
    <w:tmpl w:val="74101A08"/>
    <w:lvl w:ilvl="0" w:tplc="46DCD10C">
      <w:start w:val="47"/>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8A508F7"/>
    <w:multiLevelType w:val="hybridMultilevel"/>
    <w:tmpl w:val="A4D283F0"/>
    <w:lvl w:ilvl="0" w:tplc="E4BCBA52">
      <w:start w:val="1"/>
      <w:numFmt w:val="decimal"/>
      <w:lvlText w:val="%1)"/>
      <w:lvlJc w:val="left"/>
      <w:pPr>
        <w:tabs>
          <w:tab w:val="num" w:pos="1637"/>
        </w:tabs>
        <w:ind w:left="1637" w:hanging="360"/>
      </w:pPr>
      <w:rPr>
        <w:rFonts w:hint="default"/>
        <w:b w:val="0"/>
      </w:rPr>
    </w:lvl>
    <w:lvl w:ilvl="1" w:tplc="04270019" w:tentative="1">
      <w:start w:val="1"/>
      <w:numFmt w:val="lowerLetter"/>
      <w:lvlText w:val="%2."/>
      <w:lvlJc w:val="left"/>
      <w:pPr>
        <w:tabs>
          <w:tab w:val="num" w:pos="2357"/>
        </w:tabs>
        <w:ind w:left="2357" w:hanging="360"/>
      </w:pPr>
    </w:lvl>
    <w:lvl w:ilvl="2" w:tplc="0427001B" w:tentative="1">
      <w:start w:val="1"/>
      <w:numFmt w:val="lowerRoman"/>
      <w:lvlText w:val="%3."/>
      <w:lvlJc w:val="right"/>
      <w:pPr>
        <w:tabs>
          <w:tab w:val="num" w:pos="3077"/>
        </w:tabs>
        <w:ind w:left="3077" w:hanging="180"/>
      </w:pPr>
    </w:lvl>
    <w:lvl w:ilvl="3" w:tplc="0427000F" w:tentative="1">
      <w:start w:val="1"/>
      <w:numFmt w:val="decimal"/>
      <w:lvlText w:val="%4."/>
      <w:lvlJc w:val="left"/>
      <w:pPr>
        <w:tabs>
          <w:tab w:val="num" w:pos="3797"/>
        </w:tabs>
        <w:ind w:left="3797" w:hanging="360"/>
      </w:pPr>
    </w:lvl>
    <w:lvl w:ilvl="4" w:tplc="04270019" w:tentative="1">
      <w:start w:val="1"/>
      <w:numFmt w:val="lowerLetter"/>
      <w:lvlText w:val="%5."/>
      <w:lvlJc w:val="left"/>
      <w:pPr>
        <w:tabs>
          <w:tab w:val="num" w:pos="4517"/>
        </w:tabs>
        <w:ind w:left="4517" w:hanging="360"/>
      </w:pPr>
    </w:lvl>
    <w:lvl w:ilvl="5" w:tplc="0427001B" w:tentative="1">
      <w:start w:val="1"/>
      <w:numFmt w:val="lowerRoman"/>
      <w:lvlText w:val="%6."/>
      <w:lvlJc w:val="right"/>
      <w:pPr>
        <w:tabs>
          <w:tab w:val="num" w:pos="5237"/>
        </w:tabs>
        <w:ind w:left="5237" w:hanging="180"/>
      </w:pPr>
    </w:lvl>
    <w:lvl w:ilvl="6" w:tplc="0427000F" w:tentative="1">
      <w:start w:val="1"/>
      <w:numFmt w:val="decimal"/>
      <w:lvlText w:val="%7."/>
      <w:lvlJc w:val="left"/>
      <w:pPr>
        <w:tabs>
          <w:tab w:val="num" w:pos="5957"/>
        </w:tabs>
        <w:ind w:left="5957" w:hanging="360"/>
      </w:pPr>
    </w:lvl>
    <w:lvl w:ilvl="7" w:tplc="04270019" w:tentative="1">
      <w:start w:val="1"/>
      <w:numFmt w:val="lowerLetter"/>
      <w:lvlText w:val="%8."/>
      <w:lvlJc w:val="left"/>
      <w:pPr>
        <w:tabs>
          <w:tab w:val="num" w:pos="6677"/>
        </w:tabs>
        <w:ind w:left="6677" w:hanging="360"/>
      </w:pPr>
    </w:lvl>
    <w:lvl w:ilvl="8" w:tplc="0427001B" w:tentative="1">
      <w:start w:val="1"/>
      <w:numFmt w:val="lowerRoman"/>
      <w:lvlText w:val="%9."/>
      <w:lvlJc w:val="right"/>
      <w:pPr>
        <w:tabs>
          <w:tab w:val="num" w:pos="7397"/>
        </w:tabs>
        <w:ind w:left="7397" w:hanging="180"/>
      </w:pPr>
    </w:lvl>
  </w:abstractNum>
  <w:abstractNum w:abstractNumId="28" w15:restartNumberingAfterBreak="0">
    <w:nsid w:val="5AA700F0"/>
    <w:multiLevelType w:val="hybridMultilevel"/>
    <w:tmpl w:val="8B6AF2C0"/>
    <w:lvl w:ilvl="0" w:tplc="AC48D51E">
      <w:start w:val="1"/>
      <w:numFmt w:val="decimal"/>
      <w:lvlText w:val="%1."/>
      <w:lvlJc w:val="left"/>
      <w:pPr>
        <w:tabs>
          <w:tab w:val="num" w:pos="2254"/>
        </w:tabs>
        <w:ind w:left="2254" w:hanging="1290"/>
      </w:pPr>
      <w:rPr>
        <w:rFonts w:hint="default"/>
      </w:rPr>
    </w:lvl>
    <w:lvl w:ilvl="1" w:tplc="04270019" w:tentative="1">
      <w:start w:val="1"/>
      <w:numFmt w:val="lowerLetter"/>
      <w:lvlText w:val="%2."/>
      <w:lvlJc w:val="left"/>
      <w:pPr>
        <w:tabs>
          <w:tab w:val="num" w:pos="2044"/>
        </w:tabs>
        <w:ind w:left="2044" w:hanging="360"/>
      </w:pPr>
    </w:lvl>
    <w:lvl w:ilvl="2" w:tplc="0427001B" w:tentative="1">
      <w:start w:val="1"/>
      <w:numFmt w:val="lowerRoman"/>
      <w:lvlText w:val="%3."/>
      <w:lvlJc w:val="right"/>
      <w:pPr>
        <w:tabs>
          <w:tab w:val="num" w:pos="2764"/>
        </w:tabs>
        <w:ind w:left="2764" w:hanging="180"/>
      </w:pPr>
    </w:lvl>
    <w:lvl w:ilvl="3" w:tplc="0427000F" w:tentative="1">
      <w:start w:val="1"/>
      <w:numFmt w:val="decimal"/>
      <w:lvlText w:val="%4."/>
      <w:lvlJc w:val="left"/>
      <w:pPr>
        <w:tabs>
          <w:tab w:val="num" w:pos="3484"/>
        </w:tabs>
        <w:ind w:left="3484" w:hanging="360"/>
      </w:pPr>
    </w:lvl>
    <w:lvl w:ilvl="4" w:tplc="04270019" w:tentative="1">
      <w:start w:val="1"/>
      <w:numFmt w:val="lowerLetter"/>
      <w:lvlText w:val="%5."/>
      <w:lvlJc w:val="left"/>
      <w:pPr>
        <w:tabs>
          <w:tab w:val="num" w:pos="4204"/>
        </w:tabs>
        <w:ind w:left="4204" w:hanging="360"/>
      </w:pPr>
    </w:lvl>
    <w:lvl w:ilvl="5" w:tplc="0427001B" w:tentative="1">
      <w:start w:val="1"/>
      <w:numFmt w:val="lowerRoman"/>
      <w:lvlText w:val="%6."/>
      <w:lvlJc w:val="right"/>
      <w:pPr>
        <w:tabs>
          <w:tab w:val="num" w:pos="4924"/>
        </w:tabs>
        <w:ind w:left="4924" w:hanging="180"/>
      </w:pPr>
    </w:lvl>
    <w:lvl w:ilvl="6" w:tplc="0427000F" w:tentative="1">
      <w:start w:val="1"/>
      <w:numFmt w:val="decimal"/>
      <w:lvlText w:val="%7."/>
      <w:lvlJc w:val="left"/>
      <w:pPr>
        <w:tabs>
          <w:tab w:val="num" w:pos="5644"/>
        </w:tabs>
        <w:ind w:left="5644" w:hanging="360"/>
      </w:pPr>
    </w:lvl>
    <w:lvl w:ilvl="7" w:tplc="04270019" w:tentative="1">
      <w:start w:val="1"/>
      <w:numFmt w:val="lowerLetter"/>
      <w:lvlText w:val="%8."/>
      <w:lvlJc w:val="left"/>
      <w:pPr>
        <w:tabs>
          <w:tab w:val="num" w:pos="6364"/>
        </w:tabs>
        <w:ind w:left="6364" w:hanging="360"/>
      </w:pPr>
    </w:lvl>
    <w:lvl w:ilvl="8" w:tplc="0427001B" w:tentative="1">
      <w:start w:val="1"/>
      <w:numFmt w:val="lowerRoman"/>
      <w:lvlText w:val="%9."/>
      <w:lvlJc w:val="right"/>
      <w:pPr>
        <w:tabs>
          <w:tab w:val="num" w:pos="7084"/>
        </w:tabs>
        <w:ind w:left="7084" w:hanging="180"/>
      </w:pPr>
    </w:lvl>
  </w:abstractNum>
  <w:abstractNum w:abstractNumId="29" w15:restartNumberingAfterBreak="0">
    <w:nsid w:val="5BA92E62"/>
    <w:multiLevelType w:val="singleLevel"/>
    <w:tmpl w:val="3364E6D2"/>
    <w:lvl w:ilvl="0">
      <w:start w:val="5"/>
      <w:numFmt w:val="decimal"/>
      <w:lvlText w:val="%1."/>
      <w:legacy w:legacy="1" w:legacySpace="0" w:legacyIndent="238"/>
      <w:lvlJc w:val="left"/>
      <w:rPr>
        <w:rFonts w:ascii="Times New Roman" w:hAnsi="Times New Roman" w:cs="Times New Roman" w:hint="default"/>
      </w:rPr>
    </w:lvl>
  </w:abstractNum>
  <w:abstractNum w:abstractNumId="30" w15:restartNumberingAfterBreak="0">
    <w:nsid w:val="60C54233"/>
    <w:multiLevelType w:val="singleLevel"/>
    <w:tmpl w:val="AE8E16BE"/>
    <w:lvl w:ilvl="0">
      <w:start w:val="1"/>
      <w:numFmt w:val="decimal"/>
      <w:lvlText w:val="%1."/>
      <w:legacy w:legacy="1" w:legacySpace="0" w:legacyIndent="360"/>
      <w:lvlJc w:val="left"/>
      <w:rPr>
        <w:rFonts w:ascii="Times New Roman" w:hAnsi="Times New Roman" w:cs="Times New Roman" w:hint="default"/>
      </w:rPr>
    </w:lvl>
  </w:abstractNum>
  <w:abstractNum w:abstractNumId="31" w15:restartNumberingAfterBreak="0">
    <w:nsid w:val="62080827"/>
    <w:multiLevelType w:val="hybridMultilevel"/>
    <w:tmpl w:val="5830A9CC"/>
    <w:lvl w:ilvl="0" w:tplc="71C054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A9472D"/>
    <w:multiLevelType w:val="hybridMultilevel"/>
    <w:tmpl w:val="7AE633F2"/>
    <w:lvl w:ilvl="0" w:tplc="2146C79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5802A5B"/>
    <w:multiLevelType w:val="singleLevel"/>
    <w:tmpl w:val="34F023C8"/>
    <w:lvl w:ilvl="0">
      <w:start w:val="1"/>
      <w:numFmt w:val="decimal"/>
      <w:lvlText w:val="%1."/>
      <w:legacy w:legacy="1" w:legacySpace="0" w:legacyIndent="287"/>
      <w:lvlJc w:val="left"/>
      <w:rPr>
        <w:rFonts w:ascii="Times New Roman" w:hAnsi="Times New Roman" w:cs="Times New Roman" w:hint="default"/>
      </w:rPr>
    </w:lvl>
  </w:abstractNum>
  <w:abstractNum w:abstractNumId="34" w15:restartNumberingAfterBreak="0">
    <w:nsid w:val="667A25DF"/>
    <w:multiLevelType w:val="hybridMultilevel"/>
    <w:tmpl w:val="0900BA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5" w15:restartNumberingAfterBreak="0">
    <w:nsid w:val="66EE123E"/>
    <w:multiLevelType w:val="singleLevel"/>
    <w:tmpl w:val="EC4A8088"/>
    <w:lvl w:ilvl="0">
      <w:start w:val="2"/>
      <w:numFmt w:val="decimal"/>
      <w:lvlText w:val="2.%1."/>
      <w:legacy w:legacy="1" w:legacySpace="0" w:legacyIndent="490"/>
      <w:lvlJc w:val="left"/>
      <w:rPr>
        <w:rFonts w:ascii="Times New Roman" w:hAnsi="Times New Roman" w:cs="Times New Roman" w:hint="default"/>
      </w:rPr>
    </w:lvl>
  </w:abstractNum>
  <w:abstractNum w:abstractNumId="36" w15:restartNumberingAfterBreak="0">
    <w:nsid w:val="683165BD"/>
    <w:multiLevelType w:val="singleLevel"/>
    <w:tmpl w:val="9DA2B596"/>
    <w:lvl w:ilvl="0">
      <w:start w:val="1"/>
      <w:numFmt w:val="decimal"/>
      <w:lvlText w:val="%1."/>
      <w:legacy w:legacy="1" w:legacySpace="0" w:legacyIndent="295"/>
      <w:lvlJc w:val="left"/>
      <w:rPr>
        <w:rFonts w:ascii="Times New Roman" w:hAnsi="Times New Roman" w:cs="Times New Roman" w:hint="default"/>
      </w:rPr>
    </w:lvl>
  </w:abstractNum>
  <w:abstractNum w:abstractNumId="37" w15:restartNumberingAfterBreak="0">
    <w:nsid w:val="68D15E2E"/>
    <w:multiLevelType w:val="singleLevel"/>
    <w:tmpl w:val="CBC0022C"/>
    <w:lvl w:ilvl="0">
      <w:start w:val="1"/>
      <w:numFmt w:val="decimal"/>
      <w:lvlText w:val="%1."/>
      <w:legacy w:legacy="1" w:legacySpace="0" w:legacyIndent="259"/>
      <w:lvlJc w:val="left"/>
      <w:rPr>
        <w:rFonts w:ascii="Times New Roman" w:hAnsi="Times New Roman" w:cs="Times New Roman" w:hint="default"/>
      </w:rPr>
    </w:lvl>
  </w:abstractNum>
  <w:abstractNum w:abstractNumId="38" w15:restartNumberingAfterBreak="0">
    <w:nsid w:val="696461AA"/>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011C0"/>
    <w:multiLevelType w:val="hybridMultilevel"/>
    <w:tmpl w:val="F21E0D18"/>
    <w:lvl w:ilvl="0" w:tplc="CF8A9F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7F073F9"/>
    <w:multiLevelType w:val="singleLevel"/>
    <w:tmpl w:val="C9101EF4"/>
    <w:lvl w:ilvl="0">
      <w:start w:val="1"/>
      <w:numFmt w:val="decimal"/>
      <w:lvlText w:val="1.%1."/>
      <w:legacy w:legacy="1" w:legacySpace="0" w:legacyIndent="504"/>
      <w:lvlJc w:val="left"/>
      <w:rPr>
        <w:rFonts w:ascii="Times New Roman" w:hAnsi="Times New Roman" w:cs="Times New Roman" w:hint="default"/>
      </w:rPr>
    </w:lvl>
  </w:abstractNum>
  <w:abstractNum w:abstractNumId="41" w15:restartNumberingAfterBreak="0">
    <w:nsid w:val="79CC5B87"/>
    <w:multiLevelType w:val="singleLevel"/>
    <w:tmpl w:val="1A4ACFC2"/>
    <w:lvl w:ilvl="0">
      <w:start w:val="5"/>
      <w:numFmt w:val="decimal"/>
      <w:lvlText w:val="%1,"/>
      <w:legacy w:legacy="1" w:legacySpace="0" w:legacyIndent="33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367"/>
        <w:lvlJc w:val="left"/>
        <w:rPr>
          <w:rFonts w:ascii="Times New Roman" w:hAnsi="Times New Roman" w:cs="Times New Roman" w:hint="default"/>
        </w:rPr>
      </w:lvl>
    </w:lvlOverride>
  </w:num>
  <w:num w:numId="2">
    <w:abstractNumId w:val="26"/>
  </w:num>
  <w:num w:numId="3">
    <w:abstractNumId w:val="21"/>
  </w:num>
  <w:num w:numId="4">
    <w:abstractNumId w:val="40"/>
  </w:num>
  <w:num w:numId="5">
    <w:abstractNumId w:val="35"/>
  </w:num>
  <w:num w:numId="6">
    <w:abstractNumId w:val="20"/>
  </w:num>
  <w:num w:numId="7">
    <w:abstractNumId w:val="37"/>
  </w:num>
  <w:num w:numId="8">
    <w:abstractNumId w:val="33"/>
  </w:num>
  <w:num w:numId="9">
    <w:abstractNumId w:val="41"/>
  </w:num>
  <w:num w:numId="10">
    <w:abstractNumId w:val="36"/>
  </w:num>
  <w:num w:numId="11">
    <w:abstractNumId w:val="29"/>
  </w:num>
  <w:num w:numId="12">
    <w:abstractNumId w:val="30"/>
  </w:num>
  <w:num w:numId="13">
    <w:abstractNumId w:val="13"/>
  </w:num>
  <w:num w:numId="14">
    <w:abstractNumId w:val="19"/>
  </w:num>
  <w:num w:numId="15">
    <w:abstractNumId w:val="10"/>
  </w:num>
  <w:num w:numId="16">
    <w:abstractNumId w:val="14"/>
  </w:num>
  <w:num w:numId="17">
    <w:abstractNumId w:val="22"/>
  </w:num>
  <w:num w:numId="18">
    <w:abstractNumId w:val="28"/>
  </w:num>
  <w:num w:numId="19">
    <w:abstractNumId w:val="4"/>
  </w:num>
  <w:num w:numId="20">
    <w:abstractNumId w:val="12"/>
  </w:num>
  <w:num w:numId="21">
    <w:abstractNumId w:val="2"/>
  </w:num>
  <w:num w:numId="22">
    <w:abstractNumId w:val="5"/>
  </w:num>
  <w:num w:numId="23">
    <w:abstractNumId w:val="17"/>
  </w:num>
  <w:num w:numId="24">
    <w:abstractNumId w:val="8"/>
  </w:num>
  <w:num w:numId="25">
    <w:abstractNumId w:val="23"/>
  </w:num>
  <w:num w:numId="26">
    <w:abstractNumId w:val="11"/>
  </w:num>
  <w:num w:numId="27">
    <w:abstractNumId w:val="25"/>
  </w:num>
  <w:num w:numId="28">
    <w:abstractNumId w:val="34"/>
  </w:num>
  <w:num w:numId="29">
    <w:abstractNumId w:val="38"/>
  </w:num>
  <w:num w:numId="30">
    <w:abstractNumId w:val="39"/>
  </w:num>
  <w:num w:numId="31">
    <w:abstractNumId w:val="1"/>
  </w:num>
  <w:num w:numId="32">
    <w:abstractNumId w:val="7"/>
  </w:num>
  <w:num w:numId="33">
    <w:abstractNumId w:val="31"/>
  </w:num>
  <w:num w:numId="34">
    <w:abstractNumId w:val="27"/>
  </w:num>
  <w:num w:numId="35">
    <w:abstractNumId w:val="6"/>
  </w:num>
  <w:num w:numId="36">
    <w:abstractNumId w:val="24"/>
  </w:num>
  <w:num w:numId="37">
    <w:abstractNumId w:val="15"/>
  </w:num>
  <w:num w:numId="38">
    <w:abstractNumId w:val="16"/>
  </w:num>
  <w:num w:numId="39">
    <w:abstractNumId w:val="32"/>
  </w:num>
  <w:num w:numId="40">
    <w:abstractNumId w:val="9"/>
  </w:num>
  <w:num w:numId="41">
    <w:abstractNumId w:val="18"/>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6A5"/>
    <w:rsid w:val="000000A8"/>
    <w:rsid w:val="0000025E"/>
    <w:rsid w:val="0000069E"/>
    <w:rsid w:val="00000BD5"/>
    <w:rsid w:val="00001620"/>
    <w:rsid w:val="0000356D"/>
    <w:rsid w:val="00003DCA"/>
    <w:rsid w:val="00006999"/>
    <w:rsid w:val="00007003"/>
    <w:rsid w:val="00007495"/>
    <w:rsid w:val="00007DA5"/>
    <w:rsid w:val="00010BF1"/>
    <w:rsid w:val="000118DD"/>
    <w:rsid w:val="000136A5"/>
    <w:rsid w:val="00014189"/>
    <w:rsid w:val="00014190"/>
    <w:rsid w:val="000144B5"/>
    <w:rsid w:val="000147C5"/>
    <w:rsid w:val="00017F15"/>
    <w:rsid w:val="00020A7D"/>
    <w:rsid w:val="000246FB"/>
    <w:rsid w:val="0002607B"/>
    <w:rsid w:val="00026F41"/>
    <w:rsid w:val="00027FBB"/>
    <w:rsid w:val="00030FA2"/>
    <w:rsid w:val="0003103F"/>
    <w:rsid w:val="00033CAB"/>
    <w:rsid w:val="00033D2E"/>
    <w:rsid w:val="00034242"/>
    <w:rsid w:val="0003521C"/>
    <w:rsid w:val="00036485"/>
    <w:rsid w:val="00037161"/>
    <w:rsid w:val="00037B3F"/>
    <w:rsid w:val="00040ABE"/>
    <w:rsid w:val="00042F8D"/>
    <w:rsid w:val="000431F3"/>
    <w:rsid w:val="00044269"/>
    <w:rsid w:val="00045582"/>
    <w:rsid w:val="00045851"/>
    <w:rsid w:val="0004600B"/>
    <w:rsid w:val="0004796D"/>
    <w:rsid w:val="00051BF3"/>
    <w:rsid w:val="00052E90"/>
    <w:rsid w:val="00053554"/>
    <w:rsid w:val="000535FB"/>
    <w:rsid w:val="000563A8"/>
    <w:rsid w:val="00057247"/>
    <w:rsid w:val="0005745B"/>
    <w:rsid w:val="0005784A"/>
    <w:rsid w:val="00060049"/>
    <w:rsid w:val="00060F3E"/>
    <w:rsid w:val="00062B6B"/>
    <w:rsid w:val="00062F49"/>
    <w:rsid w:val="000631EC"/>
    <w:rsid w:val="00065090"/>
    <w:rsid w:val="00065670"/>
    <w:rsid w:val="000656A5"/>
    <w:rsid w:val="000659D9"/>
    <w:rsid w:val="00065EE2"/>
    <w:rsid w:val="00066DAE"/>
    <w:rsid w:val="00071428"/>
    <w:rsid w:val="00072FE3"/>
    <w:rsid w:val="00077097"/>
    <w:rsid w:val="00083BCE"/>
    <w:rsid w:val="000848CC"/>
    <w:rsid w:val="0008520A"/>
    <w:rsid w:val="0008583F"/>
    <w:rsid w:val="0008585D"/>
    <w:rsid w:val="00087049"/>
    <w:rsid w:val="000875D6"/>
    <w:rsid w:val="00091148"/>
    <w:rsid w:val="00092170"/>
    <w:rsid w:val="00094CC3"/>
    <w:rsid w:val="00094D22"/>
    <w:rsid w:val="00095AC0"/>
    <w:rsid w:val="000A034F"/>
    <w:rsid w:val="000A18CE"/>
    <w:rsid w:val="000A4797"/>
    <w:rsid w:val="000A4A1A"/>
    <w:rsid w:val="000B0949"/>
    <w:rsid w:val="000B2487"/>
    <w:rsid w:val="000B40EA"/>
    <w:rsid w:val="000B4B34"/>
    <w:rsid w:val="000B5386"/>
    <w:rsid w:val="000B711A"/>
    <w:rsid w:val="000B71BF"/>
    <w:rsid w:val="000B7712"/>
    <w:rsid w:val="000C1474"/>
    <w:rsid w:val="000C2D65"/>
    <w:rsid w:val="000C2DD1"/>
    <w:rsid w:val="000C34E2"/>
    <w:rsid w:val="000C5E31"/>
    <w:rsid w:val="000C6192"/>
    <w:rsid w:val="000C65CE"/>
    <w:rsid w:val="000C783D"/>
    <w:rsid w:val="000D1D9D"/>
    <w:rsid w:val="000D795A"/>
    <w:rsid w:val="000E1E56"/>
    <w:rsid w:val="000E2694"/>
    <w:rsid w:val="000E4CE8"/>
    <w:rsid w:val="000E5128"/>
    <w:rsid w:val="000E5774"/>
    <w:rsid w:val="000E58B4"/>
    <w:rsid w:val="000E59C0"/>
    <w:rsid w:val="000E6FF7"/>
    <w:rsid w:val="000E76AB"/>
    <w:rsid w:val="000F0001"/>
    <w:rsid w:val="000F2FE9"/>
    <w:rsid w:val="000F4F9C"/>
    <w:rsid w:val="001005C8"/>
    <w:rsid w:val="001013B6"/>
    <w:rsid w:val="00101503"/>
    <w:rsid w:val="001016B3"/>
    <w:rsid w:val="00101BF2"/>
    <w:rsid w:val="00102F78"/>
    <w:rsid w:val="0010572B"/>
    <w:rsid w:val="00105D92"/>
    <w:rsid w:val="0010672A"/>
    <w:rsid w:val="00107690"/>
    <w:rsid w:val="001077BB"/>
    <w:rsid w:val="0011017C"/>
    <w:rsid w:val="00112520"/>
    <w:rsid w:val="00112D74"/>
    <w:rsid w:val="0011321E"/>
    <w:rsid w:val="00113799"/>
    <w:rsid w:val="00113E74"/>
    <w:rsid w:val="0011439F"/>
    <w:rsid w:val="00114BA5"/>
    <w:rsid w:val="00116E2A"/>
    <w:rsid w:val="00117EAE"/>
    <w:rsid w:val="00120274"/>
    <w:rsid w:val="001247A0"/>
    <w:rsid w:val="00124812"/>
    <w:rsid w:val="00130F26"/>
    <w:rsid w:val="00131F09"/>
    <w:rsid w:val="00135139"/>
    <w:rsid w:val="0013577E"/>
    <w:rsid w:val="0014078B"/>
    <w:rsid w:val="0014295D"/>
    <w:rsid w:val="00142C48"/>
    <w:rsid w:val="00144F0F"/>
    <w:rsid w:val="001452E5"/>
    <w:rsid w:val="001524DC"/>
    <w:rsid w:val="00153628"/>
    <w:rsid w:val="001537F1"/>
    <w:rsid w:val="00153A06"/>
    <w:rsid w:val="0015423C"/>
    <w:rsid w:val="00155450"/>
    <w:rsid w:val="001562E3"/>
    <w:rsid w:val="00157152"/>
    <w:rsid w:val="00161D5F"/>
    <w:rsid w:val="00163BE9"/>
    <w:rsid w:val="00166B6A"/>
    <w:rsid w:val="00167CC2"/>
    <w:rsid w:val="001704D0"/>
    <w:rsid w:val="0017488E"/>
    <w:rsid w:val="001776F0"/>
    <w:rsid w:val="00182669"/>
    <w:rsid w:val="001831EC"/>
    <w:rsid w:val="00183E86"/>
    <w:rsid w:val="00191215"/>
    <w:rsid w:val="00192C12"/>
    <w:rsid w:val="00194327"/>
    <w:rsid w:val="001950D8"/>
    <w:rsid w:val="001A0282"/>
    <w:rsid w:val="001A1AAA"/>
    <w:rsid w:val="001A3937"/>
    <w:rsid w:val="001A3A0B"/>
    <w:rsid w:val="001A3AA4"/>
    <w:rsid w:val="001A5C37"/>
    <w:rsid w:val="001B00B4"/>
    <w:rsid w:val="001B122F"/>
    <w:rsid w:val="001B235D"/>
    <w:rsid w:val="001B5CDA"/>
    <w:rsid w:val="001B6BAE"/>
    <w:rsid w:val="001C26E5"/>
    <w:rsid w:val="001C313B"/>
    <w:rsid w:val="001C40C8"/>
    <w:rsid w:val="001C682F"/>
    <w:rsid w:val="001D02A4"/>
    <w:rsid w:val="001D1901"/>
    <w:rsid w:val="001D1B33"/>
    <w:rsid w:val="001D5876"/>
    <w:rsid w:val="001D6E56"/>
    <w:rsid w:val="001E04AA"/>
    <w:rsid w:val="001E1DCA"/>
    <w:rsid w:val="001E79BC"/>
    <w:rsid w:val="001E7B97"/>
    <w:rsid w:val="001F0F1E"/>
    <w:rsid w:val="001F3BE6"/>
    <w:rsid w:val="001F43B7"/>
    <w:rsid w:val="001F4561"/>
    <w:rsid w:val="001F5799"/>
    <w:rsid w:val="001F7059"/>
    <w:rsid w:val="00200262"/>
    <w:rsid w:val="00200883"/>
    <w:rsid w:val="00202236"/>
    <w:rsid w:val="00202EA2"/>
    <w:rsid w:val="00204193"/>
    <w:rsid w:val="00204A4A"/>
    <w:rsid w:val="00205752"/>
    <w:rsid w:val="0020703D"/>
    <w:rsid w:val="0021005C"/>
    <w:rsid w:val="00213390"/>
    <w:rsid w:val="00214303"/>
    <w:rsid w:val="002159C7"/>
    <w:rsid w:val="00215ED0"/>
    <w:rsid w:val="00215EFA"/>
    <w:rsid w:val="002161A1"/>
    <w:rsid w:val="00217C30"/>
    <w:rsid w:val="00217D2A"/>
    <w:rsid w:val="00221F22"/>
    <w:rsid w:val="00224B00"/>
    <w:rsid w:val="00225BAE"/>
    <w:rsid w:val="00226542"/>
    <w:rsid w:val="00227979"/>
    <w:rsid w:val="00231B96"/>
    <w:rsid w:val="00232518"/>
    <w:rsid w:val="002329CC"/>
    <w:rsid w:val="00234224"/>
    <w:rsid w:val="002352DA"/>
    <w:rsid w:val="00236497"/>
    <w:rsid w:val="002365F1"/>
    <w:rsid w:val="002370D6"/>
    <w:rsid w:val="00245D19"/>
    <w:rsid w:val="00246823"/>
    <w:rsid w:val="00246A3D"/>
    <w:rsid w:val="002474F6"/>
    <w:rsid w:val="0025288A"/>
    <w:rsid w:val="00254394"/>
    <w:rsid w:val="0025520A"/>
    <w:rsid w:val="00255372"/>
    <w:rsid w:val="002560C1"/>
    <w:rsid w:val="0025611F"/>
    <w:rsid w:val="00257893"/>
    <w:rsid w:val="00260100"/>
    <w:rsid w:val="0026045A"/>
    <w:rsid w:val="002622C0"/>
    <w:rsid w:val="00262D46"/>
    <w:rsid w:val="002632DC"/>
    <w:rsid w:val="00263C13"/>
    <w:rsid w:val="00263D06"/>
    <w:rsid w:val="00266321"/>
    <w:rsid w:val="00267826"/>
    <w:rsid w:val="0027157C"/>
    <w:rsid w:val="002718C5"/>
    <w:rsid w:val="00271D37"/>
    <w:rsid w:val="00272AEB"/>
    <w:rsid w:val="00276FB1"/>
    <w:rsid w:val="00277C47"/>
    <w:rsid w:val="00277F58"/>
    <w:rsid w:val="0028095C"/>
    <w:rsid w:val="00282E03"/>
    <w:rsid w:val="00286348"/>
    <w:rsid w:val="00286B0F"/>
    <w:rsid w:val="00287669"/>
    <w:rsid w:val="00287770"/>
    <w:rsid w:val="00290969"/>
    <w:rsid w:val="00297764"/>
    <w:rsid w:val="0029793F"/>
    <w:rsid w:val="00297E8A"/>
    <w:rsid w:val="002A0074"/>
    <w:rsid w:val="002A057D"/>
    <w:rsid w:val="002A1865"/>
    <w:rsid w:val="002A2125"/>
    <w:rsid w:val="002A26C4"/>
    <w:rsid w:val="002A571C"/>
    <w:rsid w:val="002B0A67"/>
    <w:rsid w:val="002B131E"/>
    <w:rsid w:val="002B25DA"/>
    <w:rsid w:val="002B26CC"/>
    <w:rsid w:val="002B40B8"/>
    <w:rsid w:val="002B4549"/>
    <w:rsid w:val="002B514B"/>
    <w:rsid w:val="002C0C62"/>
    <w:rsid w:val="002C1CA0"/>
    <w:rsid w:val="002C2E29"/>
    <w:rsid w:val="002C6331"/>
    <w:rsid w:val="002C6F4B"/>
    <w:rsid w:val="002C7FDF"/>
    <w:rsid w:val="002D1AC5"/>
    <w:rsid w:val="002D1B58"/>
    <w:rsid w:val="002D356B"/>
    <w:rsid w:val="002D3F6D"/>
    <w:rsid w:val="002D4F3E"/>
    <w:rsid w:val="002D566F"/>
    <w:rsid w:val="002D7B82"/>
    <w:rsid w:val="002E3925"/>
    <w:rsid w:val="002E48EA"/>
    <w:rsid w:val="002E5320"/>
    <w:rsid w:val="002E6BFA"/>
    <w:rsid w:val="002E6EC4"/>
    <w:rsid w:val="002F1F9C"/>
    <w:rsid w:val="002F2847"/>
    <w:rsid w:val="002F2DF8"/>
    <w:rsid w:val="002F2E65"/>
    <w:rsid w:val="002F3693"/>
    <w:rsid w:val="002F4DD3"/>
    <w:rsid w:val="002F5F24"/>
    <w:rsid w:val="002F60D1"/>
    <w:rsid w:val="002F6EF0"/>
    <w:rsid w:val="003015D1"/>
    <w:rsid w:val="003015E8"/>
    <w:rsid w:val="00302021"/>
    <w:rsid w:val="003047EC"/>
    <w:rsid w:val="003066DB"/>
    <w:rsid w:val="00311358"/>
    <w:rsid w:val="00312A35"/>
    <w:rsid w:val="00313D1A"/>
    <w:rsid w:val="00315186"/>
    <w:rsid w:val="00320057"/>
    <w:rsid w:val="00320C77"/>
    <w:rsid w:val="0032521F"/>
    <w:rsid w:val="00325DCD"/>
    <w:rsid w:val="00326501"/>
    <w:rsid w:val="00330CF1"/>
    <w:rsid w:val="00331DBB"/>
    <w:rsid w:val="00333541"/>
    <w:rsid w:val="00334E46"/>
    <w:rsid w:val="00335117"/>
    <w:rsid w:val="0033683B"/>
    <w:rsid w:val="00337612"/>
    <w:rsid w:val="00337950"/>
    <w:rsid w:val="00337BCC"/>
    <w:rsid w:val="00342A9F"/>
    <w:rsid w:val="003451BA"/>
    <w:rsid w:val="00346F03"/>
    <w:rsid w:val="00347480"/>
    <w:rsid w:val="00352C51"/>
    <w:rsid w:val="00353787"/>
    <w:rsid w:val="00357A97"/>
    <w:rsid w:val="00360741"/>
    <w:rsid w:val="00363A34"/>
    <w:rsid w:val="00370847"/>
    <w:rsid w:val="00371004"/>
    <w:rsid w:val="003721A0"/>
    <w:rsid w:val="00373BE8"/>
    <w:rsid w:val="0037466C"/>
    <w:rsid w:val="003746C2"/>
    <w:rsid w:val="00375C3E"/>
    <w:rsid w:val="00376579"/>
    <w:rsid w:val="0037661B"/>
    <w:rsid w:val="003776A3"/>
    <w:rsid w:val="003809DC"/>
    <w:rsid w:val="00381117"/>
    <w:rsid w:val="003812C4"/>
    <w:rsid w:val="0038706E"/>
    <w:rsid w:val="0039091C"/>
    <w:rsid w:val="00390FFB"/>
    <w:rsid w:val="00392778"/>
    <w:rsid w:val="00393151"/>
    <w:rsid w:val="00396774"/>
    <w:rsid w:val="0039743A"/>
    <w:rsid w:val="003A04FD"/>
    <w:rsid w:val="003A0DD7"/>
    <w:rsid w:val="003A243E"/>
    <w:rsid w:val="003A384B"/>
    <w:rsid w:val="003A5A97"/>
    <w:rsid w:val="003A643A"/>
    <w:rsid w:val="003A7270"/>
    <w:rsid w:val="003B1718"/>
    <w:rsid w:val="003B3878"/>
    <w:rsid w:val="003B47F0"/>
    <w:rsid w:val="003B5A30"/>
    <w:rsid w:val="003B5E0D"/>
    <w:rsid w:val="003C0190"/>
    <w:rsid w:val="003C18B1"/>
    <w:rsid w:val="003C2C98"/>
    <w:rsid w:val="003C7AF0"/>
    <w:rsid w:val="003D0B0B"/>
    <w:rsid w:val="003D213C"/>
    <w:rsid w:val="003D4E3C"/>
    <w:rsid w:val="003D7A6F"/>
    <w:rsid w:val="003D7C58"/>
    <w:rsid w:val="003D7DF0"/>
    <w:rsid w:val="003E1AE4"/>
    <w:rsid w:val="003E2E17"/>
    <w:rsid w:val="003E349F"/>
    <w:rsid w:val="003E6FD5"/>
    <w:rsid w:val="003F1EF0"/>
    <w:rsid w:val="003F2117"/>
    <w:rsid w:val="003F2C64"/>
    <w:rsid w:val="0040327E"/>
    <w:rsid w:val="00403DE8"/>
    <w:rsid w:val="004041C5"/>
    <w:rsid w:val="00412FDA"/>
    <w:rsid w:val="004202A3"/>
    <w:rsid w:val="00422FB7"/>
    <w:rsid w:val="00424A4A"/>
    <w:rsid w:val="00424C10"/>
    <w:rsid w:val="00425D2C"/>
    <w:rsid w:val="00425F08"/>
    <w:rsid w:val="00432E5E"/>
    <w:rsid w:val="00432FDF"/>
    <w:rsid w:val="004348F3"/>
    <w:rsid w:val="00435052"/>
    <w:rsid w:val="00435C75"/>
    <w:rsid w:val="0043649F"/>
    <w:rsid w:val="0044435D"/>
    <w:rsid w:val="00444544"/>
    <w:rsid w:val="00445C95"/>
    <w:rsid w:val="00446DE2"/>
    <w:rsid w:val="00446DFB"/>
    <w:rsid w:val="00446E34"/>
    <w:rsid w:val="00446ED2"/>
    <w:rsid w:val="00447DF4"/>
    <w:rsid w:val="00450C1F"/>
    <w:rsid w:val="00452C77"/>
    <w:rsid w:val="00454CAC"/>
    <w:rsid w:val="004557AE"/>
    <w:rsid w:val="0045670A"/>
    <w:rsid w:val="00460A16"/>
    <w:rsid w:val="00462FE0"/>
    <w:rsid w:val="004640AE"/>
    <w:rsid w:val="0046418B"/>
    <w:rsid w:val="0046474F"/>
    <w:rsid w:val="00466EFE"/>
    <w:rsid w:val="00467B02"/>
    <w:rsid w:val="00471BD1"/>
    <w:rsid w:val="00474511"/>
    <w:rsid w:val="0047533D"/>
    <w:rsid w:val="00476D22"/>
    <w:rsid w:val="004801C3"/>
    <w:rsid w:val="00484657"/>
    <w:rsid w:val="00485006"/>
    <w:rsid w:val="004864B4"/>
    <w:rsid w:val="00490365"/>
    <w:rsid w:val="00491FBB"/>
    <w:rsid w:val="00492AA6"/>
    <w:rsid w:val="004A046B"/>
    <w:rsid w:val="004A06D6"/>
    <w:rsid w:val="004A1D95"/>
    <w:rsid w:val="004A4220"/>
    <w:rsid w:val="004A6D86"/>
    <w:rsid w:val="004A7489"/>
    <w:rsid w:val="004B0D8C"/>
    <w:rsid w:val="004B1102"/>
    <w:rsid w:val="004B190C"/>
    <w:rsid w:val="004B237A"/>
    <w:rsid w:val="004B3C58"/>
    <w:rsid w:val="004B4381"/>
    <w:rsid w:val="004B66E7"/>
    <w:rsid w:val="004B7A4A"/>
    <w:rsid w:val="004C0679"/>
    <w:rsid w:val="004C6C46"/>
    <w:rsid w:val="004D1B53"/>
    <w:rsid w:val="004D2B34"/>
    <w:rsid w:val="004D305D"/>
    <w:rsid w:val="004D5DE9"/>
    <w:rsid w:val="004D79EB"/>
    <w:rsid w:val="004D7F4D"/>
    <w:rsid w:val="004E03F0"/>
    <w:rsid w:val="004E15CA"/>
    <w:rsid w:val="004E19D8"/>
    <w:rsid w:val="004E1EF0"/>
    <w:rsid w:val="004E2E6B"/>
    <w:rsid w:val="004E2F8C"/>
    <w:rsid w:val="004E3579"/>
    <w:rsid w:val="004E3751"/>
    <w:rsid w:val="004E4A47"/>
    <w:rsid w:val="004F007C"/>
    <w:rsid w:val="004F27C6"/>
    <w:rsid w:val="004F3006"/>
    <w:rsid w:val="004F375D"/>
    <w:rsid w:val="004F4617"/>
    <w:rsid w:val="004F5055"/>
    <w:rsid w:val="004F6987"/>
    <w:rsid w:val="004F7D42"/>
    <w:rsid w:val="004F7D46"/>
    <w:rsid w:val="00500946"/>
    <w:rsid w:val="0050591F"/>
    <w:rsid w:val="00510964"/>
    <w:rsid w:val="00512355"/>
    <w:rsid w:val="005124CE"/>
    <w:rsid w:val="005134C4"/>
    <w:rsid w:val="00513BF2"/>
    <w:rsid w:val="00513F5E"/>
    <w:rsid w:val="005155A7"/>
    <w:rsid w:val="00515E7F"/>
    <w:rsid w:val="00516071"/>
    <w:rsid w:val="0052058B"/>
    <w:rsid w:val="0052176B"/>
    <w:rsid w:val="005235D9"/>
    <w:rsid w:val="005268B9"/>
    <w:rsid w:val="00526A53"/>
    <w:rsid w:val="00532901"/>
    <w:rsid w:val="00534A1D"/>
    <w:rsid w:val="00535AAC"/>
    <w:rsid w:val="0053682B"/>
    <w:rsid w:val="00540FEC"/>
    <w:rsid w:val="00544010"/>
    <w:rsid w:val="00547CBC"/>
    <w:rsid w:val="00554002"/>
    <w:rsid w:val="0055450E"/>
    <w:rsid w:val="0055600C"/>
    <w:rsid w:val="00556908"/>
    <w:rsid w:val="00556C5D"/>
    <w:rsid w:val="0055759F"/>
    <w:rsid w:val="00557CD2"/>
    <w:rsid w:val="005617EA"/>
    <w:rsid w:val="005621D2"/>
    <w:rsid w:val="005622C6"/>
    <w:rsid w:val="00563B13"/>
    <w:rsid w:val="00564A92"/>
    <w:rsid w:val="005663B1"/>
    <w:rsid w:val="0057050E"/>
    <w:rsid w:val="00571213"/>
    <w:rsid w:val="00574B17"/>
    <w:rsid w:val="005765F4"/>
    <w:rsid w:val="00576E6F"/>
    <w:rsid w:val="00577CC1"/>
    <w:rsid w:val="005814F2"/>
    <w:rsid w:val="0058154E"/>
    <w:rsid w:val="0058309A"/>
    <w:rsid w:val="00583B56"/>
    <w:rsid w:val="00586E7F"/>
    <w:rsid w:val="00587DFB"/>
    <w:rsid w:val="00591846"/>
    <w:rsid w:val="00592122"/>
    <w:rsid w:val="005929F4"/>
    <w:rsid w:val="005965C7"/>
    <w:rsid w:val="005A0466"/>
    <w:rsid w:val="005A0D40"/>
    <w:rsid w:val="005A34E6"/>
    <w:rsid w:val="005A4A1D"/>
    <w:rsid w:val="005A4AF7"/>
    <w:rsid w:val="005A4C70"/>
    <w:rsid w:val="005A639B"/>
    <w:rsid w:val="005A7165"/>
    <w:rsid w:val="005A7B9E"/>
    <w:rsid w:val="005B112D"/>
    <w:rsid w:val="005B388F"/>
    <w:rsid w:val="005B4EC8"/>
    <w:rsid w:val="005B554D"/>
    <w:rsid w:val="005B740B"/>
    <w:rsid w:val="005C0884"/>
    <w:rsid w:val="005C1273"/>
    <w:rsid w:val="005C12C1"/>
    <w:rsid w:val="005C1A0E"/>
    <w:rsid w:val="005C2078"/>
    <w:rsid w:val="005C352B"/>
    <w:rsid w:val="005C36A8"/>
    <w:rsid w:val="005C7F0E"/>
    <w:rsid w:val="005D0755"/>
    <w:rsid w:val="005D21B9"/>
    <w:rsid w:val="005D4769"/>
    <w:rsid w:val="005D4D62"/>
    <w:rsid w:val="005E061C"/>
    <w:rsid w:val="005E1E5F"/>
    <w:rsid w:val="005E2CCF"/>
    <w:rsid w:val="005E38B6"/>
    <w:rsid w:val="005E3929"/>
    <w:rsid w:val="005E4F27"/>
    <w:rsid w:val="005E55BB"/>
    <w:rsid w:val="005E7FE3"/>
    <w:rsid w:val="005F08DA"/>
    <w:rsid w:val="005F0A5A"/>
    <w:rsid w:val="005F132C"/>
    <w:rsid w:val="005F5A57"/>
    <w:rsid w:val="005F6D09"/>
    <w:rsid w:val="00605326"/>
    <w:rsid w:val="006053B9"/>
    <w:rsid w:val="006108EE"/>
    <w:rsid w:val="00612434"/>
    <w:rsid w:val="00612C29"/>
    <w:rsid w:val="0061463D"/>
    <w:rsid w:val="00614B73"/>
    <w:rsid w:val="00617E18"/>
    <w:rsid w:val="00621099"/>
    <w:rsid w:val="006222AB"/>
    <w:rsid w:val="00622B1E"/>
    <w:rsid w:val="006256CD"/>
    <w:rsid w:val="0062770C"/>
    <w:rsid w:val="0063092E"/>
    <w:rsid w:val="006310EF"/>
    <w:rsid w:val="00631897"/>
    <w:rsid w:val="00632238"/>
    <w:rsid w:val="0063315A"/>
    <w:rsid w:val="00635E02"/>
    <w:rsid w:val="006365CC"/>
    <w:rsid w:val="00641645"/>
    <w:rsid w:val="006419A3"/>
    <w:rsid w:val="0064252D"/>
    <w:rsid w:val="006426EE"/>
    <w:rsid w:val="00643E84"/>
    <w:rsid w:val="0064452E"/>
    <w:rsid w:val="00646455"/>
    <w:rsid w:val="00646731"/>
    <w:rsid w:val="006501F9"/>
    <w:rsid w:val="00650705"/>
    <w:rsid w:val="00652B48"/>
    <w:rsid w:val="006531D5"/>
    <w:rsid w:val="00653C4E"/>
    <w:rsid w:val="006547D3"/>
    <w:rsid w:val="00654E80"/>
    <w:rsid w:val="006610D4"/>
    <w:rsid w:val="00661E1C"/>
    <w:rsid w:val="0066563E"/>
    <w:rsid w:val="006716FD"/>
    <w:rsid w:val="006720B8"/>
    <w:rsid w:val="006726F0"/>
    <w:rsid w:val="00672D7C"/>
    <w:rsid w:val="00673204"/>
    <w:rsid w:val="0067376A"/>
    <w:rsid w:val="00673F22"/>
    <w:rsid w:val="00674740"/>
    <w:rsid w:val="0067758F"/>
    <w:rsid w:val="006808DD"/>
    <w:rsid w:val="00682B06"/>
    <w:rsid w:val="00683D4F"/>
    <w:rsid w:val="00686649"/>
    <w:rsid w:val="006924B0"/>
    <w:rsid w:val="00693DD4"/>
    <w:rsid w:val="00696194"/>
    <w:rsid w:val="00697E50"/>
    <w:rsid w:val="006A5C69"/>
    <w:rsid w:val="006A5E6A"/>
    <w:rsid w:val="006B055D"/>
    <w:rsid w:val="006B06AB"/>
    <w:rsid w:val="006B176A"/>
    <w:rsid w:val="006B273E"/>
    <w:rsid w:val="006B3A98"/>
    <w:rsid w:val="006B51E5"/>
    <w:rsid w:val="006B6C79"/>
    <w:rsid w:val="006B6E78"/>
    <w:rsid w:val="006C02EE"/>
    <w:rsid w:val="006C1621"/>
    <w:rsid w:val="006C2462"/>
    <w:rsid w:val="006C2B03"/>
    <w:rsid w:val="006D2A62"/>
    <w:rsid w:val="006D2A69"/>
    <w:rsid w:val="006D2B11"/>
    <w:rsid w:val="006D4C90"/>
    <w:rsid w:val="006D4FE9"/>
    <w:rsid w:val="006D56A0"/>
    <w:rsid w:val="006E083F"/>
    <w:rsid w:val="006E12A2"/>
    <w:rsid w:val="006E1834"/>
    <w:rsid w:val="006E5A23"/>
    <w:rsid w:val="006E64B2"/>
    <w:rsid w:val="006E68BC"/>
    <w:rsid w:val="006E6C36"/>
    <w:rsid w:val="006F1652"/>
    <w:rsid w:val="006F1ED5"/>
    <w:rsid w:val="0070037E"/>
    <w:rsid w:val="00702CBA"/>
    <w:rsid w:val="00705980"/>
    <w:rsid w:val="00713DCE"/>
    <w:rsid w:val="0071586E"/>
    <w:rsid w:val="00721BA0"/>
    <w:rsid w:val="007241E4"/>
    <w:rsid w:val="0072496F"/>
    <w:rsid w:val="007253C8"/>
    <w:rsid w:val="00725C1F"/>
    <w:rsid w:val="00725E63"/>
    <w:rsid w:val="00726D01"/>
    <w:rsid w:val="00727480"/>
    <w:rsid w:val="00731AC2"/>
    <w:rsid w:val="0073234B"/>
    <w:rsid w:val="00736602"/>
    <w:rsid w:val="00737884"/>
    <w:rsid w:val="00737CFB"/>
    <w:rsid w:val="0074088C"/>
    <w:rsid w:val="00743744"/>
    <w:rsid w:val="0074459E"/>
    <w:rsid w:val="007467EF"/>
    <w:rsid w:val="00747C83"/>
    <w:rsid w:val="007505CD"/>
    <w:rsid w:val="00752445"/>
    <w:rsid w:val="00753C52"/>
    <w:rsid w:val="0076067D"/>
    <w:rsid w:val="00761B76"/>
    <w:rsid w:val="0076212E"/>
    <w:rsid w:val="00762423"/>
    <w:rsid w:val="007624AB"/>
    <w:rsid w:val="007634FE"/>
    <w:rsid w:val="0077329E"/>
    <w:rsid w:val="00773756"/>
    <w:rsid w:val="00773854"/>
    <w:rsid w:val="00774CC2"/>
    <w:rsid w:val="00783C31"/>
    <w:rsid w:val="00783DFC"/>
    <w:rsid w:val="00784D11"/>
    <w:rsid w:val="00786DDC"/>
    <w:rsid w:val="00787B36"/>
    <w:rsid w:val="0079099F"/>
    <w:rsid w:val="00790FC8"/>
    <w:rsid w:val="00791B1F"/>
    <w:rsid w:val="00791E6E"/>
    <w:rsid w:val="00792CF5"/>
    <w:rsid w:val="00793734"/>
    <w:rsid w:val="007A00FB"/>
    <w:rsid w:val="007A0665"/>
    <w:rsid w:val="007A0AE6"/>
    <w:rsid w:val="007A4BC7"/>
    <w:rsid w:val="007A5C83"/>
    <w:rsid w:val="007B4E79"/>
    <w:rsid w:val="007B61D9"/>
    <w:rsid w:val="007C048E"/>
    <w:rsid w:val="007C08C3"/>
    <w:rsid w:val="007C2D31"/>
    <w:rsid w:val="007C4B8F"/>
    <w:rsid w:val="007C7BB1"/>
    <w:rsid w:val="007D0E65"/>
    <w:rsid w:val="007D109F"/>
    <w:rsid w:val="007D40E6"/>
    <w:rsid w:val="007D5773"/>
    <w:rsid w:val="007D6375"/>
    <w:rsid w:val="007D6488"/>
    <w:rsid w:val="007D6B9D"/>
    <w:rsid w:val="007D6DDD"/>
    <w:rsid w:val="007D78B4"/>
    <w:rsid w:val="007D78BB"/>
    <w:rsid w:val="007D7B2E"/>
    <w:rsid w:val="007E14E6"/>
    <w:rsid w:val="007E697F"/>
    <w:rsid w:val="007E6A59"/>
    <w:rsid w:val="007F05AF"/>
    <w:rsid w:val="007F0F19"/>
    <w:rsid w:val="007F1B7B"/>
    <w:rsid w:val="007F1F43"/>
    <w:rsid w:val="007F632E"/>
    <w:rsid w:val="007F65C5"/>
    <w:rsid w:val="008000FE"/>
    <w:rsid w:val="008005E9"/>
    <w:rsid w:val="00801EE5"/>
    <w:rsid w:val="00804F49"/>
    <w:rsid w:val="0080725B"/>
    <w:rsid w:val="008114E7"/>
    <w:rsid w:val="00811A71"/>
    <w:rsid w:val="00811FD4"/>
    <w:rsid w:val="00814CD1"/>
    <w:rsid w:val="0081553C"/>
    <w:rsid w:val="00815CCB"/>
    <w:rsid w:val="00816426"/>
    <w:rsid w:val="008175D4"/>
    <w:rsid w:val="0081760C"/>
    <w:rsid w:val="00820569"/>
    <w:rsid w:val="00820E34"/>
    <w:rsid w:val="00821402"/>
    <w:rsid w:val="00821D1F"/>
    <w:rsid w:val="0082217C"/>
    <w:rsid w:val="00822FA9"/>
    <w:rsid w:val="00824946"/>
    <w:rsid w:val="008264A2"/>
    <w:rsid w:val="00826E7C"/>
    <w:rsid w:val="00827AD8"/>
    <w:rsid w:val="00831704"/>
    <w:rsid w:val="008317EB"/>
    <w:rsid w:val="00831B33"/>
    <w:rsid w:val="00831FA1"/>
    <w:rsid w:val="0083317D"/>
    <w:rsid w:val="00833336"/>
    <w:rsid w:val="00833E45"/>
    <w:rsid w:val="00834438"/>
    <w:rsid w:val="00835F0D"/>
    <w:rsid w:val="0083630C"/>
    <w:rsid w:val="00836338"/>
    <w:rsid w:val="00836795"/>
    <w:rsid w:val="00837615"/>
    <w:rsid w:val="00837E49"/>
    <w:rsid w:val="00841FB1"/>
    <w:rsid w:val="00842DFE"/>
    <w:rsid w:val="0084514E"/>
    <w:rsid w:val="00851684"/>
    <w:rsid w:val="00854EF6"/>
    <w:rsid w:val="00855037"/>
    <w:rsid w:val="008603AD"/>
    <w:rsid w:val="008605AC"/>
    <w:rsid w:val="00860892"/>
    <w:rsid w:val="0086261F"/>
    <w:rsid w:val="008663B4"/>
    <w:rsid w:val="00866D08"/>
    <w:rsid w:val="008670B5"/>
    <w:rsid w:val="00867A31"/>
    <w:rsid w:val="00867F7F"/>
    <w:rsid w:val="00873565"/>
    <w:rsid w:val="00877B71"/>
    <w:rsid w:val="008812F7"/>
    <w:rsid w:val="00881619"/>
    <w:rsid w:val="00881FF9"/>
    <w:rsid w:val="00882368"/>
    <w:rsid w:val="00886D69"/>
    <w:rsid w:val="00891125"/>
    <w:rsid w:val="00891BDA"/>
    <w:rsid w:val="00892DED"/>
    <w:rsid w:val="008932BF"/>
    <w:rsid w:val="00893439"/>
    <w:rsid w:val="00895681"/>
    <w:rsid w:val="008A05A5"/>
    <w:rsid w:val="008A0CC5"/>
    <w:rsid w:val="008A0D25"/>
    <w:rsid w:val="008A1D24"/>
    <w:rsid w:val="008A41C7"/>
    <w:rsid w:val="008A5A2B"/>
    <w:rsid w:val="008A5C00"/>
    <w:rsid w:val="008A5EDB"/>
    <w:rsid w:val="008A6DD7"/>
    <w:rsid w:val="008B0395"/>
    <w:rsid w:val="008B06AE"/>
    <w:rsid w:val="008B0C73"/>
    <w:rsid w:val="008B272B"/>
    <w:rsid w:val="008B2E85"/>
    <w:rsid w:val="008B3886"/>
    <w:rsid w:val="008B5B28"/>
    <w:rsid w:val="008B5D6E"/>
    <w:rsid w:val="008B7D16"/>
    <w:rsid w:val="008C052C"/>
    <w:rsid w:val="008C17E8"/>
    <w:rsid w:val="008C310B"/>
    <w:rsid w:val="008C3AA5"/>
    <w:rsid w:val="008C43B7"/>
    <w:rsid w:val="008C7E36"/>
    <w:rsid w:val="008D2388"/>
    <w:rsid w:val="008D2E81"/>
    <w:rsid w:val="008D3815"/>
    <w:rsid w:val="008D44D5"/>
    <w:rsid w:val="008D47AA"/>
    <w:rsid w:val="008D508E"/>
    <w:rsid w:val="008D5268"/>
    <w:rsid w:val="008D6373"/>
    <w:rsid w:val="008E0F80"/>
    <w:rsid w:val="008E34A3"/>
    <w:rsid w:val="008E4600"/>
    <w:rsid w:val="008E475B"/>
    <w:rsid w:val="008E7656"/>
    <w:rsid w:val="008F0CEC"/>
    <w:rsid w:val="008F3134"/>
    <w:rsid w:val="008F3CC5"/>
    <w:rsid w:val="0090216B"/>
    <w:rsid w:val="009028C7"/>
    <w:rsid w:val="0090308E"/>
    <w:rsid w:val="00904D70"/>
    <w:rsid w:val="00905D26"/>
    <w:rsid w:val="00906C25"/>
    <w:rsid w:val="00906D1D"/>
    <w:rsid w:val="009072E1"/>
    <w:rsid w:val="009101D2"/>
    <w:rsid w:val="00910A24"/>
    <w:rsid w:val="00911865"/>
    <w:rsid w:val="00912448"/>
    <w:rsid w:val="0091418D"/>
    <w:rsid w:val="00916CAA"/>
    <w:rsid w:val="009202D4"/>
    <w:rsid w:val="00920EB6"/>
    <w:rsid w:val="00921549"/>
    <w:rsid w:val="00921B4E"/>
    <w:rsid w:val="0092510A"/>
    <w:rsid w:val="0092789C"/>
    <w:rsid w:val="00927BC9"/>
    <w:rsid w:val="00930EF4"/>
    <w:rsid w:val="00933E31"/>
    <w:rsid w:val="00934D94"/>
    <w:rsid w:val="00936226"/>
    <w:rsid w:val="00936A7C"/>
    <w:rsid w:val="00937672"/>
    <w:rsid w:val="0093779D"/>
    <w:rsid w:val="00941F19"/>
    <w:rsid w:val="00943CC9"/>
    <w:rsid w:val="00944B33"/>
    <w:rsid w:val="009469F7"/>
    <w:rsid w:val="00950C61"/>
    <w:rsid w:val="0095364F"/>
    <w:rsid w:val="009555CA"/>
    <w:rsid w:val="00955E2C"/>
    <w:rsid w:val="00960551"/>
    <w:rsid w:val="009616A5"/>
    <w:rsid w:val="009634A0"/>
    <w:rsid w:val="00964457"/>
    <w:rsid w:val="00964D57"/>
    <w:rsid w:val="009669DF"/>
    <w:rsid w:val="00970083"/>
    <w:rsid w:val="009713A0"/>
    <w:rsid w:val="00972542"/>
    <w:rsid w:val="00972E97"/>
    <w:rsid w:val="009745BB"/>
    <w:rsid w:val="009769E2"/>
    <w:rsid w:val="00977C69"/>
    <w:rsid w:val="00980B81"/>
    <w:rsid w:val="00980DFC"/>
    <w:rsid w:val="009815E6"/>
    <w:rsid w:val="00982F0D"/>
    <w:rsid w:val="00984ECF"/>
    <w:rsid w:val="0098572C"/>
    <w:rsid w:val="009A0B64"/>
    <w:rsid w:val="009A137B"/>
    <w:rsid w:val="009A546E"/>
    <w:rsid w:val="009B027C"/>
    <w:rsid w:val="009B0519"/>
    <w:rsid w:val="009C0294"/>
    <w:rsid w:val="009C16C3"/>
    <w:rsid w:val="009C1914"/>
    <w:rsid w:val="009C1BC7"/>
    <w:rsid w:val="009C2700"/>
    <w:rsid w:val="009C3510"/>
    <w:rsid w:val="009C3517"/>
    <w:rsid w:val="009C3B97"/>
    <w:rsid w:val="009C4036"/>
    <w:rsid w:val="009C490C"/>
    <w:rsid w:val="009C5654"/>
    <w:rsid w:val="009C61F2"/>
    <w:rsid w:val="009C660B"/>
    <w:rsid w:val="009C7346"/>
    <w:rsid w:val="009D0C9E"/>
    <w:rsid w:val="009D1CE4"/>
    <w:rsid w:val="009D2A9A"/>
    <w:rsid w:val="009D4D0A"/>
    <w:rsid w:val="009E2E35"/>
    <w:rsid w:val="009E2E95"/>
    <w:rsid w:val="009E6754"/>
    <w:rsid w:val="009E69CE"/>
    <w:rsid w:val="009E716F"/>
    <w:rsid w:val="009E7335"/>
    <w:rsid w:val="009E7953"/>
    <w:rsid w:val="009F2772"/>
    <w:rsid w:val="009F4645"/>
    <w:rsid w:val="009F4969"/>
    <w:rsid w:val="009F4F8C"/>
    <w:rsid w:val="00A01A90"/>
    <w:rsid w:val="00A02CE7"/>
    <w:rsid w:val="00A02E74"/>
    <w:rsid w:val="00A03583"/>
    <w:rsid w:val="00A048C2"/>
    <w:rsid w:val="00A05080"/>
    <w:rsid w:val="00A053AD"/>
    <w:rsid w:val="00A058FA"/>
    <w:rsid w:val="00A05FB7"/>
    <w:rsid w:val="00A06351"/>
    <w:rsid w:val="00A10F70"/>
    <w:rsid w:val="00A111FB"/>
    <w:rsid w:val="00A1144D"/>
    <w:rsid w:val="00A11A94"/>
    <w:rsid w:val="00A12285"/>
    <w:rsid w:val="00A125FA"/>
    <w:rsid w:val="00A13863"/>
    <w:rsid w:val="00A16DD2"/>
    <w:rsid w:val="00A2092A"/>
    <w:rsid w:val="00A220EA"/>
    <w:rsid w:val="00A23448"/>
    <w:rsid w:val="00A23F42"/>
    <w:rsid w:val="00A24236"/>
    <w:rsid w:val="00A24BF3"/>
    <w:rsid w:val="00A27190"/>
    <w:rsid w:val="00A30B87"/>
    <w:rsid w:val="00A30C57"/>
    <w:rsid w:val="00A3251D"/>
    <w:rsid w:val="00A327E2"/>
    <w:rsid w:val="00A3379C"/>
    <w:rsid w:val="00A35091"/>
    <w:rsid w:val="00A365E3"/>
    <w:rsid w:val="00A415FF"/>
    <w:rsid w:val="00A41880"/>
    <w:rsid w:val="00A424ED"/>
    <w:rsid w:val="00A42FED"/>
    <w:rsid w:val="00A43011"/>
    <w:rsid w:val="00A44271"/>
    <w:rsid w:val="00A44C95"/>
    <w:rsid w:val="00A47F9D"/>
    <w:rsid w:val="00A54408"/>
    <w:rsid w:val="00A55DF1"/>
    <w:rsid w:val="00A563C7"/>
    <w:rsid w:val="00A62599"/>
    <w:rsid w:val="00A64F3D"/>
    <w:rsid w:val="00A66267"/>
    <w:rsid w:val="00A66F43"/>
    <w:rsid w:val="00A6761B"/>
    <w:rsid w:val="00A67EBA"/>
    <w:rsid w:val="00A67EC5"/>
    <w:rsid w:val="00A71592"/>
    <w:rsid w:val="00A73D1B"/>
    <w:rsid w:val="00A75E06"/>
    <w:rsid w:val="00A75E1B"/>
    <w:rsid w:val="00A805A3"/>
    <w:rsid w:val="00A828BA"/>
    <w:rsid w:val="00A82A5C"/>
    <w:rsid w:val="00A831FA"/>
    <w:rsid w:val="00A8453C"/>
    <w:rsid w:val="00A84C72"/>
    <w:rsid w:val="00A86047"/>
    <w:rsid w:val="00A969DA"/>
    <w:rsid w:val="00A97A3F"/>
    <w:rsid w:val="00AA138D"/>
    <w:rsid w:val="00AA2FA5"/>
    <w:rsid w:val="00AA64BD"/>
    <w:rsid w:val="00AA683D"/>
    <w:rsid w:val="00AB1116"/>
    <w:rsid w:val="00AB3975"/>
    <w:rsid w:val="00AB3B75"/>
    <w:rsid w:val="00AB54CF"/>
    <w:rsid w:val="00AC0A54"/>
    <w:rsid w:val="00AC0BA7"/>
    <w:rsid w:val="00AC1A6C"/>
    <w:rsid w:val="00AC2301"/>
    <w:rsid w:val="00AC3656"/>
    <w:rsid w:val="00AC4193"/>
    <w:rsid w:val="00AC4F67"/>
    <w:rsid w:val="00AC6806"/>
    <w:rsid w:val="00AC7411"/>
    <w:rsid w:val="00AD08EB"/>
    <w:rsid w:val="00AD2646"/>
    <w:rsid w:val="00AD66D2"/>
    <w:rsid w:val="00AE0689"/>
    <w:rsid w:val="00AE12BA"/>
    <w:rsid w:val="00AE12C1"/>
    <w:rsid w:val="00AE4258"/>
    <w:rsid w:val="00AE4D3C"/>
    <w:rsid w:val="00AE609A"/>
    <w:rsid w:val="00AE63D4"/>
    <w:rsid w:val="00AE6A8D"/>
    <w:rsid w:val="00AE74DD"/>
    <w:rsid w:val="00AF266D"/>
    <w:rsid w:val="00AF3871"/>
    <w:rsid w:val="00AF672C"/>
    <w:rsid w:val="00AF76A6"/>
    <w:rsid w:val="00AF7D12"/>
    <w:rsid w:val="00B011D7"/>
    <w:rsid w:val="00B02A54"/>
    <w:rsid w:val="00B03E09"/>
    <w:rsid w:val="00B043AA"/>
    <w:rsid w:val="00B051FB"/>
    <w:rsid w:val="00B103C3"/>
    <w:rsid w:val="00B10796"/>
    <w:rsid w:val="00B11D47"/>
    <w:rsid w:val="00B15EEA"/>
    <w:rsid w:val="00B21284"/>
    <w:rsid w:val="00B2307C"/>
    <w:rsid w:val="00B2499A"/>
    <w:rsid w:val="00B26174"/>
    <w:rsid w:val="00B2668D"/>
    <w:rsid w:val="00B27FA6"/>
    <w:rsid w:val="00B31677"/>
    <w:rsid w:val="00B31E0E"/>
    <w:rsid w:val="00B327B4"/>
    <w:rsid w:val="00B33F58"/>
    <w:rsid w:val="00B34B46"/>
    <w:rsid w:val="00B34CB8"/>
    <w:rsid w:val="00B35454"/>
    <w:rsid w:val="00B3665F"/>
    <w:rsid w:val="00B36DBA"/>
    <w:rsid w:val="00B4107D"/>
    <w:rsid w:val="00B4376B"/>
    <w:rsid w:val="00B44510"/>
    <w:rsid w:val="00B459C2"/>
    <w:rsid w:val="00B45CA3"/>
    <w:rsid w:val="00B46035"/>
    <w:rsid w:val="00B5412D"/>
    <w:rsid w:val="00B551BC"/>
    <w:rsid w:val="00B55535"/>
    <w:rsid w:val="00B57156"/>
    <w:rsid w:val="00B6113E"/>
    <w:rsid w:val="00B612D1"/>
    <w:rsid w:val="00B61469"/>
    <w:rsid w:val="00B61AD4"/>
    <w:rsid w:val="00B64857"/>
    <w:rsid w:val="00B66F9C"/>
    <w:rsid w:val="00B67088"/>
    <w:rsid w:val="00B674D4"/>
    <w:rsid w:val="00B7148F"/>
    <w:rsid w:val="00B74277"/>
    <w:rsid w:val="00B77B52"/>
    <w:rsid w:val="00B808AF"/>
    <w:rsid w:val="00B84D4F"/>
    <w:rsid w:val="00B86811"/>
    <w:rsid w:val="00B86A66"/>
    <w:rsid w:val="00B87B3A"/>
    <w:rsid w:val="00B934F3"/>
    <w:rsid w:val="00B93AC0"/>
    <w:rsid w:val="00B93CA9"/>
    <w:rsid w:val="00B93D9A"/>
    <w:rsid w:val="00B94CB6"/>
    <w:rsid w:val="00B94FA4"/>
    <w:rsid w:val="00BA0807"/>
    <w:rsid w:val="00BA28FF"/>
    <w:rsid w:val="00BA504A"/>
    <w:rsid w:val="00BA5275"/>
    <w:rsid w:val="00BA6F1C"/>
    <w:rsid w:val="00BA74B3"/>
    <w:rsid w:val="00BB09A8"/>
    <w:rsid w:val="00BB1DB1"/>
    <w:rsid w:val="00BB1F86"/>
    <w:rsid w:val="00BB2C7F"/>
    <w:rsid w:val="00BB6871"/>
    <w:rsid w:val="00BB6A3A"/>
    <w:rsid w:val="00BC0835"/>
    <w:rsid w:val="00BC15F8"/>
    <w:rsid w:val="00BC2101"/>
    <w:rsid w:val="00BC22D5"/>
    <w:rsid w:val="00BC39D2"/>
    <w:rsid w:val="00BC5878"/>
    <w:rsid w:val="00BC610C"/>
    <w:rsid w:val="00BC65D9"/>
    <w:rsid w:val="00BC6DF0"/>
    <w:rsid w:val="00BC7415"/>
    <w:rsid w:val="00BD0ABB"/>
    <w:rsid w:val="00BD1AFA"/>
    <w:rsid w:val="00BD38F9"/>
    <w:rsid w:val="00BD4437"/>
    <w:rsid w:val="00BD6044"/>
    <w:rsid w:val="00BD6518"/>
    <w:rsid w:val="00BD6B1F"/>
    <w:rsid w:val="00BE30F2"/>
    <w:rsid w:val="00BE612F"/>
    <w:rsid w:val="00BE628A"/>
    <w:rsid w:val="00BE64F9"/>
    <w:rsid w:val="00BF1C69"/>
    <w:rsid w:val="00BF5AAF"/>
    <w:rsid w:val="00C02F6D"/>
    <w:rsid w:val="00C030B5"/>
    <w:rsid w:val="00C0483B"/>
    <w:rsid w:val="00C12AF6"/>
    <w:rsid w:val="00C14328"/>
    <w:rsid w:val="00C14717"/>
    <w:rsid w:val="00C1478D"/>
    <w:rsid w:val="00C14F8C"/>
    <w:rsid w:val="00C16317"/>
    <w:rsid w:val="00C16EB9"/>
    <w:rsid w:val="00C245EC"/>
    <w:rsid w:val="00C24C13"/>
    <w:rsid w:val="00C24E09"/>
    <w:rsid w:val="00C26894"/>
    <w:rsid w:val="00C27265"/>
    <w:rsid w:val="00C30083"/>
    <w:rsid w:val="00C32807"/>
    <w:rsid w:val="00C34E23"/>
    <w:rsid w:val="00C37A7F"/>
    <w:rsid w:val="00C407C0"/>
    <w:rsid w:val="00C41B49"/>
    <w:rsid w:val="00C43A5E"/>
    <w:rsid w:val="00C43AB6"/>
    <w:rsid w:val="00C47CD8"/>
    <w:rsid w:val="00C5051E"/>
    <w:rsid w:val="00C5070D"/>
    <w:rsid w:val="00C50952"/>
    <w:rsid w:val="00C55BB5"/>
    <w:rsid w:val="00C55C3D"/>
    <w:rsid w:val="00C620B1"/>
    <w:rsid w:val="00C6647B"/>
    <w:rsid w:val="00C66ED2"/>
    <w:rsid w:val="00C72574"/>
    <w:rsid w:val="00C727B3"/>
    <w:rsid w:val="00C73109"/>
    <w:rsid w:val="00C74BFA"/>
    <w:rsid w:val="00C763F7"/>
    <w:rsid w:val="00C82080"/>
    <w:rsid w:val="00C8487D"/>
    <w:rsid w:val="00C8756B"/>
    <w:rsid w:val="00C87642"/>
    <w:rsid w:val="00C87D5A"/>
    <w:rsid w:val="00C90598"/>
    <w:rsid w:val="00C9179B"/>
    <w:rsid w:val="00C920DD"/>
    <w:rsid w:val="00C926F2"/>
    <w:rsid w:val="00C9594B"/>
    <w:rsid w:val="00C965A6"/>
    <w:rsid w:val="00C96C59"/>
    <w:rsid w:val="00C973BC"/>
    <w:rsid w:val="00CA03AC"/>
    <w:rsid w:val="00CA52B1"/>
    <w:rsid w:val="00CA5308"/>
    <w:rsid w:val="00CA5904"/>
    <w:rsid w:val="00CA60CF"/>
    <w:rsid w:val="00CA6BB5"/>
    <w:rsid w:val="00CB6D6B"/>
    <w:rsid w:val="00CB7635"/>
    <w:rsid w:val="00CB7DB7"/>
    <w:rsid w:val="00CC1352"/>
    <w:rsid w:val="00CC3281"/>
    <w:rsid w:val="00CC3C84"/>
    <w:rsid w:val="00CC5EC2"/>
    <w:rsid w:val="00CC683E"/>
    <w:rsid w:val="00CC69D9"/>
    <w:rsid w:val="00CD078E"/>
    <w:rsid w:val="00CD2344"/>
    <w:rsid w:val="00CD617B"/>
    <w:rsid w:val="00CD7C30"/>
    <w:rsid w:val="00CD7E92"/>
    <w:rsid w:val="00CE0DA1"/>
    <w:rsid w:val="00CE1298"/>
    <w:rsid w:val="00CE157A"/>
    <w:rsid w:val="00CE19D9"/>
    <w:rsid w:val="00CE26B0"/>
    <w:rsid w:val="00CE30D4"/>
    <w:rsid w:val="00CE3538"/>
    <w:rsid w:val="00CE4C6E"/>
    <w:rsid w:val="00CE5D45"/>
    <w:rsid w:val="00CE61C4"/>
    <w:rsid w:val="00CF06A2"/>
    <w:rsid w:val="00CF0C97"/>
    <w:rsid w:val="00CF1465"/>
    <w:rsid w:val="00CF2C2D"/>
    <w:rsid w:val="00CF3655"/>
    <w:rsid w:val="00CF509E"/>
    <w:rsid w:val="00CF6628"/>
    <w:rsid w:val="00CF70DA"/>
    <w:rsid w:val="00D00E33"/>
    <w:rsid w:val="00D01316"/>
    <w:rsid w:val="00D01E37"/>
    <w:rsid w:val="00D02296"/>
    <w:rsid w:val="00D0681B"/>
    <w:rsid w:val="00D105E9"/>
    <w:rsid w:val="00D114C1"/>
    <w:rsid w:val="00D119A8"/>
    <w:rsid w:val="00D11C67"/>
    <w:rsid w:val="00D127F3"/>
    <w:rsid w:val="00D133B8"/>
    <w:rsid w:val="00D160F8"/>
    <w:rsid w:val="00D1773B"/>
    <w:rsid w:val="00D20762"/>
    <w:rsid w:val="00D2159E"/>
    <w:rsid w:val="00D230DA"/>
    <w:rsid w:val="00D26A92"/>
    <w:rsid w:val="00D2772A"/>
    <w:rsid w:val="00D30264"/>
    <w:rsid w:val="00D30A8A"/>
    <w:rsid w:val="00D31BB1"/>
    <w:rsid w:val="00D31F42"/>
    <w:rsid w:val="00D334AF"/>
    <w:rsid w:val="00D34724"/>
    <w:rsid w:val="00D37CB4"/>
    <w:rsid w:val="00D37F3C"/>
    <w:rsid w:val="00D435C3"/>
    <w:rsid w:val="00D47CBC"/>
    <w:rsid w:val="00D50C87"/>
    <w:rsid w:val="00D525F4"/>
    <w:rsid w:val="00D56453"/>
    <w:rsid w:val="00D613F7"/>
    <w:rsid w:val="00D61F11"/>
    <w:rsid w:val="00D63728"/>
    <w:rsid w:val="00D63BCD"/>
    <w:rsid w:val="00D63FB7"/>
    <w:rsid w:val="00D64835"/>
    <w:rsid w:val="00D663D4"/>
    <w:rsid w:val="00D66979"/>
    <w:rsid w:val="00D670CD"/>
    <w:rsid w:val="00D70F41"/>
    <w:rsid w:val="00D71320"/>
    <w:rsid w:val="00D71881"/>
    <w:rsid w:val="00D72407"/>
    <w:rsid w:val="00D74179"/>
    <w:rsid w:val="00D75C06"/>
    <w:rsid w:val="00D801E9"/>
    <w:rsid w:val="00D82BA5"/>
    <w:rsid w:val="00D830B0"/>
    <w:rsid w:val="00D83D9F"/>
    <w:rsid w:val="00D84646"/>
    <w:rsid w:val="00D84770"/>
    <w:rsid w:val="00D84B0B"/>
    <w:rsid w:val="00D86325"/>
    <w:rsid w:val="00D86806"/>
    <w:rsid w:val="00D8738E"/>
    <w:rsid w:val="00D876F5"/>
    <w:rsid w:val="00D9018C"/>
    <w:rsid w:val="00D9614E"/>
    <w:rsid w:val="00D9658F"/>
    <w:rsid w:val="00DA0C98"/>
    <w:rsid w:val="00DA3E03"/>
    <w:rsid w:val="00DA4D5F"/>
    <w:rsid w:val="00DA6C37"/>
    <w:rsid w:val="00DA74D6"/>
    <w:rsid w:val="00DB03BD"/>
    <w:rsid w:val="00DB19B7"/>
    <w:rsid w:val="00DB42D0"/>
    <w:rsid w:val="00DB4348"/>
    <w:rsid w:val="00DB4C8E"/>
    <w:rsid w:val="00DB7022"/>
    <w:rsid w:val="00DC2098"/>
    <w:rsid w:val="00DC75A7"/>
    <w:rsid w:val="00DD1CF6"/>
    <w:rsid w:val="00DD755C"/>
    <w:rsid w:val="00DE0C1F"/>
    <w:rsid w:val="00DE25EF"/>
    <w:rsid w:val="00DE423F"/>
    <w:rsid w:val="00DE54D5"/>
    <w:rsid w:val="00DF131F"/>
    <w:rsid w:val="00DF19D0"/>
    <w:rsid w:val="00DF1B36"/>
    <w:rsid w:val="00DF2177"/>
    <w:rsid w:val="00DF2D5F"/>
    <w:rsid w:val="00DF2EA7"/>
    <w:rsid w:val="00DF30F9"/>
    <w:rsid w:val="00DF601C"/>
    <w:rsid w:val="00E000EC"/>
    <w:rsid w:val="00E01038"/>
    <w:rsid w:val="00E01578"/>
    <w:rsid w:val="00E0283C"/>
    <w:rsid w:val="00E074F6"/>
    <w:rsid w:val="00E10127"/>
    <w:rsid w:val="00E14FB7"/>
    <w:rsid w:val="00E1524C"/>
    <w:rsid w:val="00E21DA5"/>
    <w:rsid w:val="00E2223F"/>
    <w:rsid w:val="00E22F42"/>
    <w:rsid w:val="00E239B6"/>
    <w:rsid w:val="00E244AC"/>
    <w:rsid w:val="00E25818"/>
    <w:rsid w:val="00E26598"/>
    <w:rsid w:val="00E268E8"/>
    <w:rsid w:val="00E27867"/>
    <w:rsid w:val="00E2792A"/>
    <w:rsid w:val="00E31F84"/>
    <w:rsid w:val="00E321E5"/>
    <w:rsid w:val="00E323B5"/>
    <w:rsid w:val="00E3298F"/>
    <w:rsid w:val="00E35252"/>
    <w:rsid w:val="00E35AF6"/>
    <w:rsid w:val="00E35EA1"/>
    <w:rsid w:val="00E3672A"/>
    <w:rsid w:val="00E36882"/>
    <w:rsid w:val="00E37559"/>
    <w:rsid w:val="00E403F3"/>
    <w:rsid w:val="00E412D6"/>
    <w:rsid w:val="00E41769"/>
    <w:rsid w:val="00E4457C"/>
    <w:rsid w:val="00E46996"/>
    <w:rsid w:val="00E46ACA"/>
    <w:rsid w:val="00E472DD"/>
    <w:rsid w:val="00E47F56"/>
    <w:rsid w:val="00E501E2"/>
    <w:rsid w:val="00E507E2"/>
    <w:rsid w:val="00E50B51"/>
    <w:rsid w:val="00E51395"/>
    <w:rsid w:val="00E51958"/>
    <w:rsid w:val="00E51FF4"/>
    <w:rsid w:val="00E5245B"/>
    <w:rsid w:val="00E52B6A"/>
    <w:rsid w:val="00E52BD8"/>
    <w:rsid w:val="00E53653"/>
    <w:rsid w:val="00E57705"/>
    <w:rsid w:val="00E57A92"/>
    <w:rsid w:val="00E627A1"/>
    <w:rsid w:val="00E62CD8"/>
    <w:rsid w:val="00E63364"/>
    <w:rsid w:val="00E63B7E"/>
    <w:rsid w:val="00E70EE0"/>
    <w:rsid w:val="00E719DE"/>
    <w:rsid w:val="00E71E16"/>
    <w:rsid w:val="00E72B61"/>
    <w:rsid w:val="00E7504A"/>
    <w:rsid w:val="00E772F8"/>
    <w:rsid w:val="00E7799F"/>
    <w:rsid w:val="00E828F7"/>
    <w:rsid w:val="00E83309"/>
    <w:rsid w:val="00E842B8"/>
    <w:rsid w:val="00E8457D"/>
    <w:rsid w:val="00E850A3"/>
    <w:rsid w:val="00E874FF"/>
    <w:rsid w:val="00E87CEC"/>
    <w:rsid w:val="00E90B9C"/>
    <w:rsid w:val="00E91036"/>
    <w:rsid w:val="00E914A2"/>
    <w:rsid w:val="00E91D22"/>
    <w:rsid w:val="00E91E83"/>
    <w:rsid w:val="00E92B84"/>
    <w:rsid w:val="00E932E3"/>
    <w:rsid w:val="00E94B58"/>
    <w:rsid w:val="00EA0752"/>
    <w:rsid w:val="00EA0977"/>
    <w:rsid w:val="00EA0E12"/>
    <w:rsid w:val="00EA1FAF"/>
    <w:rsid w:val="00EA7059"/>
    <w:rsid w:val="00EA7B05"/>
    <w:rsid w:val="00EB3E37"/>
    <w:rsid w:val="00EB5628"/>
    <w:rsid w:val="00EB6830"/>
    <w:rsid w:val="00EB7623"/>
    <w:rsid w:val="00EC305C"/>
    <w:rsid w:val="00ED0804"/>
    <w:rsid w:val="00ED0883"/>
    <w:rsid w:val="00ED307F"/>
    <w:rsid w:val="00ED35AA"/>
    <w:rsid w:val="00ED3A85"/>
    <w:rsid w:val="00ED4D01"/>
    <w:rsid w:val="00ED73BE"/>
    <w:rsid w:val="00ED7808"/>
    <w:rsid w:val="00ED7E03"/>
    <w:rsid w:val="00EE16B8"/>
    <w:rsid w:val="00EE3215"/>
    <w:rsid w:val="00EE3271"/>
    <w:rsid w:val="00EE3FC3"/>
    <w:rsid w:val="00EE5272"/>
    <w:rsid w:val="00EE7E9A"/>
    <w:rsid w:val="00EF3142"/>
    <w:rsid w:val="00EF6A34"/>
    <w:rsid w:val="00F00599"/>
    <w:rsid w:val="00F005B4"/>
    <w:rsid w:val="00F00B53"/>
    <w:rsid w:val="00F027E2"/>
    <w:rsid w:val="00F0300F"/>
    <w:rsid w:val="00F05330"/>
    <w:rsid w:val="00F05D7F"/>
    <w:rsid w:val="00F05DDC"/>
    <w:rsid w:val="00F06009"/>
    <w:rsid w:val="00F11D95"/>
    <w:rsid w:val="00F12156"/>
    <w:rsid w:val="00F121AB"/>
    <w:rsid w:val="00F12BA9"/>
    <w:rsid w:val="00F140EA"/>
    <w:rsid w:val="00F1485C"/>
    <w:rsid w:val="00F15610"/>
    <w:rsid w:val="00F15D16"/>
    <w:rsid w:val="00F2365F"/>
    <w:rsid w:val="00F258B6"/>
    <w:rsid w:val="00F2618B"/>
    <w:rsid w:val="00F264C8"/>
    <w:rsid w:val="00F26B37"/>
    <w:rsid w:val="00F30F33"/>
    <w:rsid w:val="00F318A4"/>
    <w:rsid w:val="00F32C45"/>
    <w:rsid w:val="00F33EC7"/>
    <w:rsid w:val="00F34C3D"/>
    <w:rsid w:val="00F374C3"/>
    <w:rsid w:val="00F4194A"/>
    <w:rsid w:val="00F41AF0"/>
    <w:rsid w:val="00F44D4C"/>
    <w:rsid w:val="00F44DA8"/>
    <w:rsid w:val="00F45B74"/>
    <w:rsid w:val="00F46419"/>
    <w:rsid w:val="00F51F1A"/>
    <w:rsid w:val="00F5745C"/>
    <w:rsid w:val="00F64195"/>
    <w:rsid w:val="00F65848"/>
    <w:rsid w:val="00F706A0"/>
    <w:rsid w:val="00F70EC3"/>
    <w:rsid w:val="00F71AD2"/>
    <w:rsid w:val="00F71DBC"/>
    <w:rsid w:val="00F735BE"/>
    <w:rsid w:val="00F76137"/>
    <w:rsid w:val="00F76255"/>
    <w:rsid w:val="00F774B3"/>
    <w:rsid w:val="00F77C6C"/>
    <w:rsid w:val="00F83521"/>
    <w:rsid w:val="00F9105D"/>
    <w:rsid w:val="00F91861"/>
    <w:rsid w:val="00F9275B"/>
    <w:rsid w:val="00F94A47"/>
    <w:rsid w:val="00F94FC7"/>
    <w:rsid w:val="00F950AC"/>
    <w:rsid w:val="00FA01A1"/>
    <w:rsid w:val="00FA3441"/>
    <w:rsid w:val="00FB1C55"/>
    <w:rsid w:val="00FB1ED3"/>
    <w:rsid w:val="00FB2911"/>
    <w:rsid w:val="00FB49D0"/>
    <w:rsid w:val="00FC272B"/>
    <w:rsid w:val="00FC31E9"/>
    <w:rsid w:val="00FC37AD"/>
    <w:rsid w:val="00FC3B74"/>
    <w:rsid w:val="00FC3F73"/>
    <w:rsid w:val="00FC4233"/>
    <w:rsid w:val="00FC4CCE"/>
    <w:rsid w:val="00FC73BD"/>
    <w:rsid w:val="00FD01B9"/>
    <w:rsid w:val="00FD0BA8"/>
    <w:rsid w:val="00FD0D1F"/>
    <w:rsid w:val="00FD1247"/>
    <w:rsid w:val="00FD3312"/>
    <w:rsid w:val="00FD4A7F"/>
    <w:rsid w:val="00FD4CB3"/>
    <w:rsid w:val="00FD52F1"/>
    <w:rsid w:val="00FD59DB"/>
    <w:rsid w:val="00FE05C0"/>
    <w:rsid w:val="00FE0AEC"/>
    <w:rsid w:val="00FE0C4D"/>
    <w:rsid w:val="00FE3729"/>
    <w:rsid w:val="00FE3907"/>
    <w:rsid w:val="00FE71E6"/>
    <w:rsid w:val="00FF03DE"/>
    <w:rsid w:val="00FF14BC"/>
    <w:rsid w:val="00FF21A6"/>
    <w:rsid w:val="00FF2A6D"/>
    <w:rsid w:val="00FF3D74"/>
    <w:rsid w:val="00FF52EA"/>
    <w:rsid w:val="00FF76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17ABA8-D305-4D65-BC58-5C9F9BBC9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365E3"/>
    <w:rPr>
      <w:noProof/>
      <w:sz w:val="24"/>
      <w:szCs w:val="24"/>
    </w:rPr>
  </w:style>
  <w:style w:type="paragraph" w:styleId="Antrat1">
    <w:name w:val="heading 1"/>
    <w:basedOn w:val="prastasis"/>
    <w:next w:val="prastasis"/>
    <w:qFormat/>
    <w:rsid w:val="00557CD2"/>
    <w:pPr>
      <w:keepNext/>
      <w:jc w:val="center"/>
      <w:outlineLvl w:val="0"/>
    </w:pPr>
    <w:rPr>
      <w:rFonts w:ascii="HelveticaLT" w:hAnsi="HelveticaLT"/>
      <w:caps/>
      <w:noProof w:val="0"/>
      <w:sz w:val="32"/>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eastAsia="en-US"/>
    </w:rPr>
  </w:style>
  <w:style w:type="paragraph" w:styleId="prastasiniatinklio">
    <w:name w:val="Normal (Web)"/>
    <w:basedOn w:val="prastasis"/>
    <w:uiPriority w:val="99"/>
    <w:pPr>
      <w:spacing w:before="100" w:beforeAutospacing="1" w:after="100" w:afterAutospacing="1"/>
    </w:pPr>
  </w:style>
  <w:style w:type="character" w:customStyle="1" w:styleId="typewriter">
    <w:name w:val="typewriter"/>
    <w:basedOn w:val="Numatytasispastraiposriftas"/>
  </w:style>
  <w:style w:type="paragraph" w:styleId="Antrats">
    <w:name w:val="header"/>
    <w:basedOn w:val="prastasis"/>
    <w:link w:val="AntratsDiagrama"/>
    <w:pPr>
      <w:tabs>
        <w:tab w:val="center" w:pos="4819"/>
        <w:tab w:val="right" w:pos="9638"/>
      </w:tabs>
    </w:pPr>
    <w:rPr>
      <w:lang w:val="x-none" w:eastAsia="x-none"/>
    </w:rPr>
  </w:style>
  <w:style w:type="character" w:styleId="Komentaronuoroda">
    <w:name w:val="annotation reference"/>
    <w:semiHidden/>
    <w:rPr>
      <w:sz w:val="16"/>
      <w:szCs w:val="16"/>
    </w:rPr>
  </w:style>
  <w:style w:type="character" w:styleId="Puslapionumeris">
    <w:name w:val="page number"/>
    <w:basedOn w:val="Numatytasispastraiposriftas"/>
  </w:style>
  <w:style w:type="paragraph" w:styleId="Debesliotekstas">
    <w:name w:val="Balloon Text"/>
    <w:basedOn w:val="prastasis"/>
    <w:semiHidden/>
    <w:rsid w:val="009616A5"/>
    <w:rPr>
      <w:rFonts w:ascii="Tahoma" w:hAnsi="Tahoma" w:cs="Tahoma"/>
      <w:sz w:val="16"/>
      <w:szCs w:val="16"/>
    </w:rPr>
  </w:style>
  <w:style w:type="paragraph" w:styleId="Komentarotekstas">
    <w:name w:val="annotation text"/>
    <w:basedOn w:val="prastasis"/>
    <w:semiHidden/>
    <w:rsid w:val="009616A5"/>
    <w:rPr>
      <w:sz w:val="20"/>
      <w:szCs w:val="20"/>
    </w:rPr>
  </w:style>
  <w:style w:type="paragraph" w:styleId="Komentarotema">
    <w:name w:val="annotation subject"/>
    <w:basedOn w:val="Komentarotekstas"/>
    <w:next w:val="Komentarotekstas"/>
    <w:semiHidden/>
    <w:rsid w:val="009616A5"/>
    <w:rPr>
      <w:b/>
      <w:bCs/>
    </w:rPr>
  </w:style>
  <w:style w:type="character" w:styleId="Hipersaitas">
    <w:name w:val="Hyperlink"/>
    <w:rsid w:val="004F5055"/>
    <w:rPr>
      <w:color w:val="0000FF"/>
      <w:u w:val="single"/>
    </w:rPr>
  </w:style>
  <w:style w:type="table" w:styleId="Lentelstinklelis">
    <w:name w:val="Table Grid"/>
    <w:basedOn w:val="prastojilentel"/>
    <w:rsid w:val="00263C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rsid w:val="002C6F4B"/>
    <w:pPr>
      <w:spacing w:before="100" w:beforeAutospacing="1" w:after="100" w:afterAutospacing="1"/>
    </w:pPr>
  </w:style>
  <w:style w:type="paragraph" w:styleId="Pagrindinistekstas2">
    <w:name w:val="Body Text 2"/>
    <w:basedOn w:val="prastasis"/>
    <w:rsid w:val="002C6F4B"/>
    <w:pPr>
      <w:spacing w:before="100" w:beforeAutospacing="1" w:after="100" w:afterAutospacing="1"/>
    </w:pPr>
  </w:style>
  <w:style w:type="paragraph" w:styleId="Pagrindiniotekstotrauka2">
    <w:name w:val="Body Text Indent 2"/>
    <w:basedOn w:val="prastasis"/>
    <w:rsid w:val="002C6F4B"/>
    <w:pPr>
      <w:spacing w:before="100" w:beforeAutospacing="1" w:after="100" w:afterAutospacing="1"/>
    </w:pPr>
  </w:style>
  <w:style w:type="paragraph" w:styleId="Pagrindinistekstas">
    <w:name w:val="Body Text"/>
    <w:basedOn w:val="prastasis"/>
    <w:rsid w:val="00557CD2"/>
    <w:pPr>
      <w:spacing w:after="120"/>
    </w:pPr>
  </w:style>
  <w:style w:type="paragraph" w:customStyle="1" w:styleId="DiagramaDiagramaCharCharDiagramaDiagramaCharCharDiagramaDiagrama">
    <w:name w:val="Diagrama Diagrama Char Char Diagrama Diagrama Char Char Diagrama Diagrama"/>
    <w:basedOn w:val="prastasis"/>
    <w:rsid w:val="00557CD2"/>
    <w:pPr>
      <w:widowControl w:val="0"/>
      <w:adjustRightInd w:val="0"/>
      <w:spacing w:after="160" w:line="240" w:lineRule="exact"/>
      <w:jc w:val="both"/>
    </w:pPr>
    <w:rPr>
      <w:rFonts w:ascii="Tahoma" w:hAnsi="Tahoma"/>
      <w:noProof w:val="0"/>
      <w:sz w:val="20"/>
      <w:szCs w:val="20"/>
      <w:lang w:val="en-US" w:eastAsia="en-US"/>
    </w:rPr>
  </w:style>
  <w:style w:type="paragraph" w:customStyle="1" w:styleId="Pagrindinistekstas1">
    <w:name w:val="Pagrindinis tekstas1"/>
    <w:rsid w:val="00C26894"/>
    <w:pPr>
      <w:autoSpaceDE w:val="0"/>
      <w:autoSpaceDN w:val="0"/>
      <w:adjustRightInd w:val="0"/>
      <w:ind w:firstLine="312"/>
      <w:jc w:val="both"/>
    </w:pPr>
    <w:rPr>
      <w:rFonts w:ascii="TimesLT" w:hAnsi="TimesLT"/>
      <w:lang w:val="en-US" w:eastAsia="en-US"/>
    </w:rPr>
  </w:style>
  <w:style w:type="character" w:customStyle="1" w:styleId="AntratsDiagrama">
    <w:name w:val="Antraštės Diagrama"/>
    <w:link w:val="Antrats"/>
    <w:rsid w:val="00447DF4"/>
    <w:rPr>
      <w:noProof/>
      <w:sz w:val="24"/>
      <w:szCs w:val="24"/>
    </w:rPr>
  </w:style>
  <w:style w:type="paragraph" w:styleId="Dokumentostruktra">
    <w:name w:val="Document Map"/>
    <w:basedOn w:val="prastasis"/>
    <w:link w:val="DokumentostruktraDiagrama"/>
    <w:rsid w:val="00297764"/>
    <w:rPr>
      <w:rFonts w:ascii="Tahoma" w:hAnsi="Tahoma"/>
      <w:sz w:val="16"/>
      <w:szCs w:val="16"/>
      <w:lang w:val="x-none" w:eastAsia="x-none"/>
    </w:rPr>
  </w:style>
  <w:style w:type="character" w:customStyle="1" w:styleId="DokumentostruktraDiagrama">
    <w:name w:val="Dokumento struktūra Diagrama"/>
    <w:link w:val="Dokumentostruktra"/>
    <w:rsid w:val="00297764"/>
    <w:rPr>
      <w:rFonts w:ascii="Tahoma" w:hAnsi="Tahoma" w:cs="Tahoma"/>
      <w:noProof/>
      <w:sz w:val="16"/>
      <w:szCs w:val="16"/>
    </w:rPr>
  </w:style>
  <w:style w:type="paragraph" w:customStyle="1" w:styleId="Hyperlink1">
    <w:name w:val="Hyperlink1"/>
    <w:basedOn w:val="prastasis"/>
    <w:rsid w:val="0080725B"/>
    <w:pPr>
      <w:suppressAutoHyphens/>
      <w:autoSpaceDE w:val="0"/>
      <w:autoSpaceDN w:val="0"/>
      <w:adjustRightInd w:val="0"/>
      <w:spacing w:line="297" w:lineRule="auto"/>
      <w:ind w:firstLine="312"/>
      <w:jc w:val="both"/>
    </w:pPr>
    <w:rPr>
      <w:noProof w:val="0"/>
      <w:color w:val="000000"/>
      <w:sz w:val="20"/>
      <w:szCs w:val="20"/>
      <w:lang w:val="en-GB" w:eastAsia="en-US"/>
    </w:rPr>
  </w:style>
  <w:style w:type="paragraph" w:styleId="Pagrindiniotekstotrauka">
    <w:name w:val="Body Text Indent"/>
    <w:basedOn w:val="prastasis"/>
    <w:link w:val="PagrindiniotekstotraukaDiagrama"/>
    <w:rsid w:val="00E3672A"/>
    <w:pPr>
      <w:spacing w:after="120"/>
      <w:ind w:left="283"/>
    </w:pPr>
    <w:rPr>
      <w:lang w:val="x-none" w:eastAsia="x-none"/>
    </w:rPr>
  </w:style>
  <w:style w:type="character" w:customStyle="1" w:styleId="PagrindiniotekstotraukaDiagrama">
    <w:name w:val="Pagrindinio teksto įtrauka Diagrama"/>
    <w:link w:val="Pagrindiniotekstotrauka"/>
    <w:rsid w:val="00E3672A"/>
    <w:rPr>
      <w:noProof/>
      <w:sz w:val="24"/>
      <w:szCs w:val="24"/>
    </w:rPr>
  </w:style>
  <w:style w:type="paragraph" w:customStyle="1" w:styleId="CharChar">
    <w:name w:val="Char Char"/>
    <w:basedOn w:val="prastasis"/>
    <w:rsid w:val="006E083F"/>
    <w:pPr>
      <w:widowControl w:val="0"/>
      <w:adjustRightInd w:val="0"/>
      <w:spacing w:after="160" w:line="240" w:lineRule="exact"/>
      <w:jc w:val="both"/>
      <w:textAlignment w:val="baseline"/>
    </w:pPr>
    <w:rPr>
      <w:rFonts w:ascii="Tahoma" w:eastAsia="MS Mincho" w:hAnsi="Tahoma"/>
      <w:noProof w:val="0"/>
      <w:sz w:val="20"/>
      <w:szCs w:val="20"/>
      <w:lang w:val="en-US" w:eastAsia="en-US"/>
    </w:rPr>
  </w:style>
  <w:style w:type="character" w:customStyle="1" w:styleId="HTMLiankstoformatuotasDiagrama">
    <w:name w:val="HTML iš anksto formatuotas Diagrama"/>
    <w:link w:val="HTMLiankstoformatuotas"/>
    <w:uiPriority w:val="99"/>
    <w:rsid w:val="003D7A6F"/>
    <w:rPr>
      <w:rFonts w:ascii="Courier New" w:eastAsia="Courier New" w:hAnsi="Courier New" w:cs="Courier New"/>
      <w:noProof/>
      <w:lang w:val="en-US" w:eastAsia="en-US"/>
    </w:rPr>
  </w:style>
  <w:style w:type="paragraph" w:customStyle="1" w:styleId="tajtip">
    <w:name w:val="tajtip"/>
    <w:basedOn w:val="prastasis"/>
    <w:rsid w:val="00CB6D6B"/>
    <w:pPr>
      <w:spacing w:before="100" w:beforeAutospacing="1" w:after="100" w:afterAutospacing="1"/>
    </w:pPr>
    <w:rPr>
      <w:noProof w:val="0"/>
    </w:rPr>
  </w:style>
  <w:style w:type="character" w:customStyle="1" w:styleId="zinlist1">
    <w:name w:val="zin_list1"/>
    <w:rsid w:val="002C1CA0"/>
    <w:rPr>
      <w:i/>
      <w:iCs/>
      <w:sz w:val="11"/>
      <w:szCs w:val="11"/>
    </w:rPr>
  </w:style>
  <w:style w:type="paragraph" w:customStyle="1" w:styleId="tekstas">
    <w:name w:val="tekstas"/>
    <w:basedOn w:val="prastasis"/>
    <w:rsid w:val="00532901"/>
    <w:pPr>
      <w:spacing w:before="100" w:beforeAutospacing="1" w:after="100" w:afterAutospacing="1"/>
    </w:pPr>
    <w:rPr>
      <w:noProof w:val="0"/>
    </w:rPr>
  </w:style>
  <w:style w:type="paragraph" w:customStyle="1" w:styleId="kopija">
    <w:name w:val="kopija"/>
    <w:basedOn w:val="prastasis"/>
    <w:rsid w:val="000656A5"/>
    <w:pPr>
      <w:spacing w:before="100" w:beforeAutospacing="1" w:after="100" w:afterAutospacing="1"/>
    </w:pPr>
    <w:rPr>
      <w:noProof w:val="0"/>
    </w:rPr>
  </w:style>
  <w:style w:type="character" w:styleId="Puslapioinaosnuoroda">
    <w:name w:val="footnote reference"/>
    <w:aliases w:val="Ref,de nota al pie,(NECG) Footnote Reference"/>
    <w:rsid w:val="000656A5"/>
    <w:rPr>
      <w:vertAlign w:val="superscript"/>
    </w:rPr>
  </w:style>
  <w:style w:type="character" w:customStyle="1" w:styleId="LLCTekstas">
    <w:name w:val="LLCTekstas"/>
    <w:rsid w:val="000656A5"/>
  </w:style>
  <w:style w:type="character" w:customStyle="1" w:styleId="LLCStraipsnPav">
    <w:name w:val="LLCStraipsnPav"/>
    <w:rsid w:val="000656A5"/>
    <w:rPr>
      <w:b/>
    </w:rPr>
  </w:style>
  <w:style w:type="paragraph" w:styleId="Puslapioinaostekstas">
    <w:name w:val="footnote text"/>
    <w:aliases w:val="MA Footnote,Fußnotentext Char1,Footnote Text Char Char,Footnote Text Char1 Char Char,Footnote Text Char Char Char Char,Footnote Text Char Char1 Char Char,Footnote Text Char Char1 Cha,Footnote Text Char Char1,Car,fn,Footnotes"/>
    <w:basedOn w:val="prastasis"/>
    <w:link w:val="PuslapioinaostekstasDiagrama"/>
    <w:uiPriority w:val="99"/>
    <w:qFormat/>
    <w:rsid w:val="009072E1"/>
    <w:rPr>
      <w:noProof w:val="0"/>
      <w:sz w:val="20"/>
      <w:szCs w:val="20"/>
    </w:rPr>
  </w:style>
  <w:style w:type="character" w:customStyle="1" w:styleId="PuslapioinaostekstasDiagrama">
    <w:name w:val="Puslapio išnašos tekstas Diagrama"/>
    <w:aliases w:val="MA Footnote Diagrama,Fußnotentext Char1 Diagrama,Footnote Text Char Char Diagrama,Footnote Text Char1 Char Char Diagrama,Footnote Text Char Char Char Char Diagrama,Footnote Text Char Char1 Char Char Diagrama,fn Diagrama"/>
    <w:basedOn w:val="Numatytasispastraiposriftas"/>
    <w:link w:val="Puslapioinaostekstas"/>
    <w:uiPriority w:val="99"/>
    <w:rsid w:val="009072E1"/>
  </w:style>
  <w:style w:type="paragraph" w:customStyle="1" w:styleId="Pavadinimas1">
    <w:name w:val="Pavadinimas1"/>
    <w:basedOn w:val="prastasis"/>
    <w:rsid w:val="002F2847"/>
    <w:pPr>
      <w:spacing w:before="40" w:after="40"/>
      <w:ind w:right="1959"/>
    </w:pPr>
    <w:rPr>
      <w:rFonts w:eastAsia="Calibri"/>
      <w:caps/>
      <w:noProof w:val="0"/>
      <w:lang w:eastAsia="en-US"/>
    </w:rPr>
  </w:style>
  <w:style w:type="paragraph" w:customStyle="1" w:styleId="Preformatted">
    <w:name w:val="Preformatted"/>
    <w:basedOn w:val="prastasis"/>
    <w:rsid w:val="00BC610C"/>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noProof w:val="0"/>
      <w:sz w:val="20"/>
      <w:szCs w:val="20"/>
      <w:lang w:eastAsia="en-US"/>
    </w:rPr>
  </w:style>
  <w:style w:type="character" w:customStyle="1" w:styleId="quatationtext">
    <w:name w:val="quatation_text"/>
    <w:rsid w:val="00BC610C"/>
    <w:rPr>
      <w:rFonts w:ascii="Arial" w:hAnsi="Arial" w:cs="Arial" w:hint="default"/>
      <w:b/>
      <w:bCs/>
      <w:vanish w:val="0"/>
      <w:webHidden w:val="0"/>
      <w:color w:val="4A473C"/>
      <w:sz w:val="17"/>
      <w:szCs w:val="17"/>
      <w:specVanish w:val="0"/>
    </w:rPr>
  </w:style>
  <w:style w:type="paragraph" w:customStyle="1" w:styleId="tip">
    <w:name w:val="tip"/>
    <w:basedOn w:val="prastasis"/>
    <w:rsid w:val="00A831FA"/>
    <w:pPr>
      <w:spacing w:before="100" w:beforeAutospacing="1" w:after="100" w:afterAutospacing="1"/>
    </w:pPr>
    <w:rPr>
      <w:noProof w:val="0"/>
    </w:rPr>
  </w:style>
  <w:style w:type="paragraph" w:customStyle="1" w:styleId="statymopavad">
    <w:name w:val="Įstatymo pavad."/>
    <w:basedOn w:val="prastasis"/>
    <w:rsid w:val="00E35EA1"/>
    <w:pPr>
      <w:ind w:firstLine="720"/>
      <w:jc w:val="center"/>
    </w:pPr>
    <w:rPr>
      <w:rFonts w:ascii="TimesLT" w:hAnsi="TimesLT"/>
      <w:caps/>
      <w:noProof w:val="0"/>
    </w:rPr>
  </w:style>
  <w:style w:type="paragraph" w:customStyle="1" w:styleId="x">
    <w:name w:val="x"/>
    <w:basedOn w:val="prastasis"/>
    <w:rsid w:val="00A125FA"/>
    <w:rPr>
      <w:noProof w:val="0"/>
    </w:rPr>
  </w:style>
  <w:style w:type="character" w:customStyle="1" w:styleId="pmark">
    <w:name w:val="pmark"/>
    <w:basedOn w:val="Numatytasispastraiposriftas"/>
    <w:rsid w:val="0044435D"/>
  </w:style>
  <w:style w:type="character" w:customStyle="1" w:styleId="Bodytext2">
    <w:name w:val="Body text (2)_"/>
    <w:basedOn w:val="Numatytasispastraiposriftas"/>
    <w:link w:val="Bodytext20"/>
    <w:rsid w:val="00A62599"/>
    <w:rPr>
      <w:shd w:val="clear" w:color="auto" w:fill="FFFFFF"/>
    </w:rPr>
  </w:style>
  <w:style w:type="character" w:customStyle="1" w:styleId="Bodytext4">
    <w:name w:val="Body text (4)_"/>
    <w:basedOn w:val="Numatytasispastraiposriftas"/>
    <w:link w:val="Bodytext40"/>
    <w:rsid w:val="00A62599"/>
    <w:rPr>
      <w:i/>
      <w:iCs/>
      <w:shd w:val="clear" w:color="auto" w:fill="FFFFFF"/>
    </w:rPr>
  </w:style>
  <w:style w:type="paragraph" w:customStyle="1" w:styleId="Bodytext20">
    <w:name w:val="Body text (2)"/>
    <w:basedOn w:val="prastasis"/>
    <w:link w:val="Bodytext2"/>
    <w:rsid w:val="00A62599"/>
    <w:pPr>
      <w:widowControl w:val="0"/>
      <w:shd w:val="clear" w:color="auto" w:fill="FFFFFF"/>
      <w:spacing w:before="1140" w:after="780" w:line="277" w:lineRule="exact"/>
      <w:jc w:val="both"/>
    </w:pPr>
    <w:rPr>
      <w:noProof w:val="0"/>
      <w:sz w:val="20"/>
      <w:szCs w:val="20"/>
    </w:rPr>
  </w:style>
  <w:style w:type="paragraph" w:customStyle="1" w:styleId="Bodytext40">
    <w:name w:val="Body text (4)"/>
    <w:basedOn w:val="prastasis"/>
    <w:link w:val="Bodytext4"/>
    <w:rsid w:val="00A62599"/>
    <w:pPr>
      <w:widowControl w:val="0"/>
      <w:shd w:val="clear" w:color="auto" w:fill="FFFFFF"/>
      <w:spacing w:before="240" w:line="274" w:lineRule="exact"/>
      <w:ind w:firstLine="600"/>
      <w:jc w:val="both"/>
    </w:pPr>
    <w:rPr>
      <w:i/>
      <w:iCs/>
      <w:noProof w:val="0"/>
      <w:sz w:val="20"/>
      <w:szCs w:val="20"/>
    </w:rPr>
  </w:style>
  <w:style w:type="character" w:customStyle="1" w:styleId="Footnote">
    <w:name w:val="Footnote_"/>
    <w:basedOn w:val="Numatytasispastraiposriftas"/>
    <w:link w:val="Footnote0"/>
    <w:rsid w:val="00A62599"/>
    <w:rPr>
      <w:sz w:val="19"/>
      <w:szCs w:val="19"/>
      <w:shd w:val="clear" w:color="auto" w:fill="FFFFFF"/>
    </w:rPr>
  </w:style>
  <w:style w:type="character" w:customStyle="1" w:styleId="Footnote2">
    <w:name w:val="Footnote (2)_"/>
    <w:basedOn w:val="Numatytasispastraiposriftas"/>
    <w:link w:val="Footnote20"/>
    <w:rsid w:val="00A62599"/>
    <w:rPr>
      <w:i/>
      <w:iCs/>
      <w:shd w:val="clear" w:color="auto" w:fill="FFFFFF"/>
    </w:rPr>
  </w:style>
  <w:style w:type="character" w:customStyle="1" w:styleId="Footnote2NotItalic">
    <w:name w:val="Footnote (2) + Not Italic"/>
    <w:basedOn w:val="Footnote2"/>
    <w:rsid w:val="00A62599"/>
    <w:rPr>
      <w:i/>
      <w:iCs/>
      <w:color w:val="000000"/>
      <w:spacing w:val="0"/>
      <w:w w:val="100"/>
      <w:position w:val="0"/>
      <w:sz w:val="24"/>
      <w:szCs w:val="24"/>
      <w:shd w:val="clear" w:color="auto" w:fill="FFFFFF"/>
      <w:lang w:val="lt-LT" w:eastAsia="lt-LT" w:bidi="lt-LT"/>
    </w:rPr>
  </w:style>
  <w:style w:type="character" w:customStyle="1" w:styleId="Bodytext2Italic">
    <w:name w:val="Body text (2) + Italic"/>
    <w:basedOn w:val="Bodytext2"/>
    <w:rsid w:val="00A62599"/>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lt-LT" w:eastAsia="lt-LT" w:bidi="lt-LT"/>
    </w:rPr>
  </w:style>
  <w:style w:type="paragraph" w:customStyle="1" w:styleId="Footnote0">
    <w:name w:val="Footnote"/>
    <w:basedOn w:val="prastasis"/>
    <w:link w:val="Footnote"/>
    <w:rsid w:val="00A62599"/>
    <w:pPr>
      <w:widowControl w:val="0"/>
      <w:shd w:val="clear" w:color="auto" w:fill="FFFFFF"/>
      <w:spacing w:line="230" w:lineRule="exact"/>
    </w:pPr>
    <w:rPr>
      <w:noProof w:val="0"/>
      <w:sz w:val="19"/>
      <w:szCs w:val="19"/>
    </w:rPr>
  </w:style>
  <w:style w:type="paragraph" w:customStyle="1" w:styleId="Footnote20">
    <w:name w:val="Footnote (2)"/>
    <w:basedOn w:val="prastasis"/>
    <w:link w:val="Footnote2"/>
    <w:rsid w:val="00A62599"/>
    <w:pPr>
      <w:widowControl w:val="0"/>
      <w:shd w:val="clear" w:color="auto" w:fill="FFFFFF"/>
      <w:spacing w:line="230" w:lineRule="exact"/>
      <w:jc w:val="both"/>
    </w:pPr>
    <w:rPr>
      <w:i/>
      <w:iCs/>
      <w:noProof w:val="0"/>
      <w:sz w:val="20"/>
      <w:szCs w:val="20"/>
    </w:rPr>
  </w:style>
  <w:style w:type="character" w:customStyle="1" w:styleId="Bodytext5">
    <w:name w:val="Body text (5)_"/>
    <w:basedOn w:val="Numatytasispastraiposriftas"/>
    <w:link w:val="Bodytext50"/>
    <w:rsid w:val="00964D57"/>
    <w:rPr>
      <w:sz w:val="19"/>
      <w:szCs w:val="19"/>
      <w:shd w:val="clear" w:color="auto" w:fill="FFFFFF"/>
    </w:rPr>
  </w:style>
  <w:style w:type="paragraph" w:customStyle="1" w:styleId="Bodytext50">
    <w:name w:val="Body text (5)"/>
    <w:basedOn w:val="prastasis"/>
    <w:link w:val="Bodytext5"/>
    <w:rsid w:val="00964D57"/>
    <w:pPr>
      <w:widowControl w:val="0"/>
      <w:shd w:val="clear" w:color="auto" w:fill="FFFFFF"/>
      <w:spacing w:before="660" w:line="230" w:lineRule="exact"/>
      <w:jc w:val="center"/>
    </w:pPr>
    <w:rPr>
      <w:noProof w:val="0"/>
      <w:sz w:val="19"/>
      <w:szCs w:val="19"/>
    </w:rPr>
  </w:style>
  <w:style w:type="paragraph" w:styleId="Sraopastraipa">
    <w:name w:val="List Paragraph"/>
    <w:basedOn w:val="prastasis"/>
    <w:uiPriority w:val="34"/>
    <w:qFormat/>
    <w:rsid w:val="006716FD"/>
    <w:pPr>
      <w:widowControl w:val="0"/>
      <w:suppressAutoHyphens/>
      <w:ind w:left="1296"/>
    </w:pPr>
    <w:rPr>
      <w:rFonts w:ascii="Times Roman" w:eastAsia="Arial" w:hAnsi="Times Roman"/>
      <w:noProof w:val="0"/>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901956">
      <w:bodyDiv w:val="1"/>
      <w:marLeft w:val="0"/>
      <w:marRight w:val="0"/>
      <w:marTop w:val="0"/>
      <w:marBottom w:val="0"/>
      <w:divBdr>
        <w:top w:val="none" w:sz="0" w:space="0" w:color="auto"/>
        <w:left w:val="none" w:sz="0" w:space="0" w:color="auto"/>
        <w:bottom w:val="none" w:sz="0" w:space="0" w:color="auto"/>
        <w:right w:val="none" w:sz="0" w:space="0" w:color="auto"/>
      </w:divBdr>
    </w:div>
    <w:div w:id="1042726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9912603">
          <w:marLeft w:val="0"/>
          <w:marRight w:val="0"/>
          <w:marTop w:val="0"/>
          <w:marBottom w:val="0"/>
          <w:divBdr>
            <w:top w:val="none" w:sz="0" w:space="0" w:color="auto"/>
            <w:left w:val="none" w:sz="0" w:space="0" w:color="auto"/>
            <w:bottom w:val="none" w:sz="0" w:space="0" w:color="auto"/>
            <w:right w:val="none" w:sz="0" w:space="0" w:color="auto"/>
          </w:divBdr>
        </w:div>
      </w:divsChild>
    </w:div>
    <w:div w:id="105583956">
      <w:bodyDiv w:val="1"/>
      <w:marLeft w:val="225"/>
      <w:marRight w:val="225"/>
      <w:marTop w:val="0"/>
      <w:marBottom w:val="0"/>
      <w:divBdr>
        <w:top w:val="none" w:sz="0" w:space="0" w:color="auto"/>
        <w:left w:val="none" w:sz="0" w:space="0" w:color="auto"/>
        <w:bottom w:val="none" w:sz="0" w:space="0" w:color="auto"/>
        <w:right w:val="none" w:sz="0" w:space="0" w:color="auto"/>
      </w:divBdr>
      <w:divsChild>
        <w:div w:id="102699203">
          <w:marLeft w:val="0"/>
          <w:marRight w:val="0"/>
          <w:marTop w:val="0"/>
          <w:marBottom w:val="0"/>
          <w:divBdr>
            <w:top w:val="none" w:sz="0" w:space="0" w:color="auto"/>
            <w:left w:val="none" w:sz="0" w:space="0" w:color="auto"/>
            <w:bottom w:val="none" w:sz="0" w:space="0" w:color="auto"/>
            <w:right w:val="none" w:sz="0" w:space="0" w:color="auto"/>
          </w:divBdr>
        </w:div>
      </w:divsChild>
    </w:div>
    <w:div w:id="116605914">
      <w:bodyDiv w:val="1"/>
      <w:marLeft w:val="0"/>
      <w:marRight w:val="0"/>
      <w:marTop w:val="0"/>
      <w:marBottom w:val="0"/>
      <w:divBdr>
        <w:top w:val="none" w:sz="0" w:space="0" w:color="auto"/>
        <w:left w:val="none" w:sz="0" w:space="0" w:color="auto"/>
        <w:bottom w:val="none" w:sz="0" w:space="0" w:color="auto"/>
        <w:right w:val="none" w:sz="0" w:space="0" w:color="auto"/>
      </w:divBdr>
    </w:div>
    <w:div w:id="117845292">
      <w:bodyDiv w:val="1"/>
      <w:marLeft w:val="0"/>
      <w:marRight w:val="0"/>
      <w:marTop w:val="0"/>
      <w:marBottom w:val="0"/>
      <w:divBdr>
        <w:top w:val="none" w:sz="0" w:space="0" w:color="auto"/>
        <w:left w:val="none" w:sz="0" w:space="0" w:color="auto"/>
        <w:bottom w:val="none" w:sz="0" w:space="0" w:color="auto"/>
        <w:right w:val="none" w:sz="0" w:space="0" w:color="auto"/>
      </w:divBdr>
    </w:div>
    <w:div w:id="204677174">
      <w:bodyDiv w:val="1"/>
      <w:marLeft w:val="225"/>
      <w:marRight w:val="225"/>
      <w:marTop w:val="0"/>
      <w:marBottom w:val="0"/>
      <w:divBdr>
        <w:top w:val="none" w:sz="0" w:space="0" w:color="auto"/>
        <w:left w:val="none" w:sz="0" w:space="0" w:color="auto"/>
        <w:bottom w:val="none" w:sz="0" w:space="0" w:color="auto"/>
        <w:right w:val="none" w:sz="0" w:space="0" w:color="auto"/>
      </w:divBdr>
      <w:divsChild>
        <w:div w:id="1789663027">
          <w:marLeft w:val="0"/>
          <w:marRight w:val="0"/>
          <w:marTop w:val="0"/>
          <w:marBottom w:val="0"/>
          <w:divBdr>
            <w:top w:val="none" w:sz="0" w:space="0" w:color="auto"/>
            <w:left w:val="none" w:sz="0" w:space="0" w:color="auto"/>
            <w:bottom w:val="none" w:sz="0" w:space="0" w:color="auto"/>
            <w:right w:val="none" w:sz="0" w:space="0" w:color="auto"/>
          </w:divBdr>
        </w:div>
      </w:divsChild>
    </w:div>
    <w:div w:id="250941165">
      <w:bodyDiv w:val="1"/>
      <w:marLeft w:val="0"/>
      <w:marRight w:val="0"/>
      <w:marTop w:val="0"/>
      <w:marBottom w:val="0"/>
      <w:divBdr>
        <w:top w:val="none" w:sz="0" w:space="0" w:color="auto"/>
        <w:left w:val="none" w:sz="0" w:space="0" w:color="auto"/>
        <w:bottom w:val="none" w:sz="0" w:space="0" w:color="auto"/>
        <w:right w:val="none" w:sz="0" w:space="0" w:color="auto"/>
      </w:divBdr>
    </w:div>
    <w:div w:id="375550938">
      <w:bodyDiv w:val="1"/>
      <w:marLeft w:val="0"/>
      <w:marRight w:val="0"/>
      <w:marTop w:val="0"/>
      <w:marBottom w:val="0"/>
      <w:divBdr>
        <w:top w:val="none" w:sz="0" w:space="0" w:color="auto"/>
        <w:left w:val="none" w:sz="0" w:space="0" w:color="auto"/>
        <w:bottom w:val="none" w:sz="0" w:space="0" w:color="auto"/>
        <w:right w:val="none" w:sz="0" w:space="0" w:color="auto"/>
      </w:divBdr>
    </w:div>
    <w:div w:id="390226389">
      <w:bodyDiv w:val="1"/>
      <w:marLeft w:val="0"/>
      <w:marRight w:val="0"/>
      <w:marTop w:val="0"/>
      <w:marBottom w:val="150"/>
      <w:divBdr>
        <w:top w:val="none" w:sz="0" w:space="0" w:color="auto"/>
        <w:left w:val="none" w:sz="0" w:space="0" w:color="auto"/>
        <w:bottom w:val="none" w:sz="0" w:space="0" w:color="auto"/>
        <w:right w:val="none" w:sz="0" w:space="0" w:color="auto"/>
      </w:divBdr>
      <w:divsChild>
        <w:div w:id="1002850393">
          <w:marLeft w:val="600"/>
          <w:marRight w:val="0"/>
          <w:marTop w:val="0"/>
          <w:marBottom w:val="0"/>
          <w:divBdr>
            <w:top w:val="none" w:sz="0" w:space="0" w:color="auto"/>
            <w:left w:val="none" w:sz="0" w:space="0" w:color="auto"/>
            <w:bottom w:val="none" w:sz="0" w:space="0" w:color="auto"/>
            <w:right w:val="none" w:sz="0" w:space="0" w:color="auto"/>
          </w:divBdr>
          <w:divsChild>
            <w:div w:id="19675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13931">
      <w:bodyDiv w:val="1"/>
      <w:marLeft w:val="225"/>
      <w:marRight w:val="225"/>
      <w:marTop w:val="0"/>
      <w:marBottom w:val="0"/>
      <w:divBdr>
        <w:top w:val="none" w:sz="0" w:space="0" w:color="auto"/>
        <w:left w:val="none" w:sz="0" w:space="0" w:color="auto"/>
        <w:bottom w:val="none" w:sz="0" w:space="0" w:color="auto"/>
        <w:right w:val="none" w:sz="0" w:space="0" w:color="auto"/>
      </w:divBdr>
      <w:divsChild>
        <w:div w:id="1572538172">
          <w:marLeft w:val="0"/>
          <w:marRight w:val="0"/>
          <w:marTop w:val="0"/>
          <w:marBottom w:val="0"/>
          <w:divBdr>
            <w:top w:val="none" w:sz="0" w:space="0" w:color="auto"/>
            <w:left w:val="none" w:sz="0" w:space="0" w:color="auto"/>
            <w:bottom w:val="none" w:sz="0" w:space="0" w:color="auto"/>
            <w:right w:val="none" w:sz="0" w:space="0" w:color="auto"/>
          </w:divBdr>
        </w:div>
      </w:divsChild>
    </w:div>
    <w:div w:id="435440144">
      <w:bodyDiv w:val="1"/>
      <w:marLeft w:val="161"/>
      <w:marRight w:val="161"/>
      <w:marTop w:val="0"/>
      <w:marBottom w:val="0"/>
      <w:divBdr>
        <w:top w:val="none" w:sz="0" w:space="0" w:color="auto"/>
        <w:left w:val="none" w:sz="0" w:space="0" w:color="auto"/>
        <w:bottom w:val="none" w:sz="0" w:space="0" w:color="auto"/>
        <w:right w:val="none" w:sz="0" w:space="0" w:color="auto"/>
      </w:divBdr>
      <w:divsChild>
        <w:div w:id="705835903">
          <w:marLeft w:val="0"/>
          <w:marRight w:val="0"/>
          <w:marTop w:val="0"/>
          <w:marBottom w:val="0"/>
          <w:divBdr>
            <w:top w:val="none" w:sz="0" w:space="0" w:color="auto"/>
            <w:left w:val="none" w:sz="0" w:space="0" w:color="auto"/>
            <w:bottom w:val="none" w:sz="0" w:space="0" w:color="auto"/>
            <w:right w:val="none" w:sz="0" w:space="0" w:color="auto"/>
          </w:divBdr>
        </w:div>
      </w:divsChild>
    </w:div>
    <w:div w:id="438909403">
      <w:bodyDiv w:val="1"/>
      <w:marLeft w:val="0"/>
      <w:marRight w:val="0"/>
      <w:marTop w:val="0"/>
      <w:marBottom w:val="150"/>
      <w:divBdr>
        <w:top w:val="none" w:sz="0" w:space="0" w:color="auto"/>
        <w:left w:val="none" w:sz="0" w:space="0" w:color="auto"/>
        <w:bottom w:val="none" w:sz="0" w:space="0" w:color="auto"/>
        <w:right w:val="none" w:sz="0" w:space="0" w:color="auto"/>
      </w:divBdr>
      <w:divsChild>
        <w:div w:id="902719596">
          <w:marLeft w:val="600"/>
          <w:marRight w:val="0"/>
          <w:marTop w:val="0"/>
          <w:marBottom w:val="0"/>
          <w:divBdr>
            <w:top w:val="none" w:sz="0" w:space="0" w:color="auto"/>
            <w:left w:val="none" w:sz="0" w:space="0" w:color="auto"/>
            <w:bottom w:val="none" w:sz="0" w:space="0" w:color="auto"/>
            <w:right w:val="none" w:sz="0" w:space="0" w:color="auto"/>
          </w:divBdr>
          <w:divsChild>
            <w:div w:id="39828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19134">
      <w:bodyDiv w:val="1"/>
      <w:marLeft w:val="0"/>
      <w:marRight w:val="0"/>
      <w:marTop w:val="0"/>
      <w:marBottom w:val="0"/>
      <w:divBdr>
        <w:top w:val="none" w:sz="0" w:space="0" w:color="auto"/>
        <w:left w:val="none" w:sz="0" w:space="0" w:color="auto"/>
        <w:bottom w:val="none" w:sz="0" w:space="0" w:color="auto"/>
        <w:right w:val="none" w:sz="0" w:space="0" w:color="auto"/>
      </w:divBdr>
    </w:div>
    <w:div w:id="491527253">
      <w:bodyDiv w:val="1"/>
      <w:marLeft w:val="225"/>
      <w:marRight w:val="225"/>
      <w:marTop w:val="0"/>
      <w:marBottom w:val="0"/>
      <w:divBdr>
        <w:top w:val="none" w:sz="0" w:space="0" w:color="auto"/>
        <w:left w:val="none" w:sz="0" w:space="0" w:color="auto"/>
        <w:bottom w:val="none" w:sz="0" w:space="0" w:color="auto"/>
        <w:right w:val="none" w:sz="0" w:space="0" w:color="auto"/>
      </w:divBdr>
      <w:divsChild>
        <w:div w:id="267004671">
          <w:marLeft w:val="0"/>
          <w:marRight w:val="0"/>
          <w:marTop w:val="0"/>
          <w:marBottom w:val="0"/>
          <w:divBdr>
            <w:top w:val="none" w:sz="0" w:space="0" w:color="auto"/>
            <w:left w:val="none" w:sz="0" w:space="0" w:color="auto"/>
            <w:bottom w:val="none" w:sz="0" w:space="0" w:color="auto"/>
            <w:right w:val="none" w:sz="0" w:space="0" w:color="auto"/>
          </w:divBdr>
        </w:div>
      </w:divsChild>
    </w:div>
    <w:div w:id="491719575">
      <w:bodyDiv w:val="1"/>
      <w:marLeft w:val="0"/>
      <w:marRight w:val="0"/>
      <w:marTop w:val="0"/>
      <w:marBottom w:val="150"/>
      <w:divBdr>
        <w:top w:val="none" w:sz="0" w:space="0" w:color="auto"/>
        <w:left w:val="none" w:sz="0" w:space="0" w:color="auto"/>
        <w:bottom w:val="none" w:sz="0" w:space="0" w:color="auto"/>
        <w:right w:val="none" w:sz="0" w:space="0" w:color="auto"/>
      </w:divBdr>
      <w:divsChild>
        <w:div w:id="448739453">
          <w:marLeft w:val="600"/>
          <w:marRight w:val="0"/>
          <w:marTop w:val="0"/>
          <w:marBottom w:val="0"/>
          <w:divBdr>
            <w:top w:val="none" w:sz="0" w:space="0" w:color="auto"/>
            <w:left w:val="none" w:sz="0" w:space="0" w:color="auto"/>
            <w:bottom w:val="none" w:sz="0" w:space="0" w:color="auto"/>
            <w:right w:val="none" w:sz="0" w:space="0" w:color="auto"/>
          </w:divBdr>
          <w:divsChild>
            <w:div w:id="2623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9608">
      <w:bodyDiv w:val="1"/>
      <w:marLeft w:val="225"/>
      <w:marRight w:val="225"/>
      <w:marTop w:val="0"/>
      <w:marBottom w:val="0"/>
      <w:divBdr>
        <w:top w:val="none" w:sz="0" w:space="0" w:color="auto"/>
        <w:left w:val="none" w:sz="0" w:space="0" w:color="auto"/>
        <w:bottom w:val="none" w:sz="0" w:space="0" w:color="auto"/>
        <w:right w:val="none" w:sz="0" w:space="0" w:color="auto"/>
      </w:divBdr>
      <w:divsChild>
        <w:div w:id="1182276571">
          <w:marLeft w:val="0"/>
          <w:marRight w:val="0"/>
          <w:marTop w:val="0"/>
          <w:marBottom w:val="0"/>
          <w:divBdr>
            <w:top w:val="none" w:sz="0" w:space="0" w:color="auto"/>
            <w:left w:val="none" w:sz="0" w:space="0" w:color="auto"/>
            <w:bottom w:val="none" w:sz="0" w:space="0" w:color="auto"/>
            <w:right w:val="none" w:sz="0" w:space="0" w:color="auto"/>
          </w:divBdr>
        </w:div>
      </w:divsChild>
    </w:div>
    <w:div w:id="749162791">
      <w:bodyDiv w:val="1"/>
      <w:marLeft w:val="225"/>
      <w:marRight w:val="225"/>
      <w:marTop w:val="0"/>
      <w:marBottom w:val="0"/>
      <w:divBdr>
        <w:top w:val="none" w:sz="0" w:space="0" w:color="auto"/>
        <w:left w:val="none" w:sz="0" w:space="0" w:color="auto"/>
        <w:bottom w:val="none" w:sz="0" w:space="0" w:color="auto"/>
        <w:right w:val="none" w:sz="0" w:space="0" w:color="auto"/>
      </w:divBdr>
      <w:divsChild>
        <w:div w:id="921991408">
          <w:marLeft w:val="0"/>
          <w:marRight w:val="0"/>
          <w:marTop w:val="0"/>
          <w:marBottom w:val="0"/>
          <w:divBdr>
            <w:top w:val="none" w:sz="0" w:space="0" w:color="auto"/>
            <w:left w:val="none" w:sz="0" w:space="0" w:color="auto"/>
            <w:bottom w:val="none" w:sz="0" w:space="0" w:color="auto"/>
            <w:right w:val="none" w:sz="0" w:space="0" w:color="auto"/>
          </w:divBdr>
        </w:div>
      </w:divsChild>
    </w:div>
    <w:div w:id="770050017">
      <w:bodyDiv w:val="1"/>
      <w:marLeft w:val="225"/>
      <w:marRight w:val="225"/>
      <w:marTop w:val="0"/>
      <w:marBottom w:val="0"/>
      <w:divBdr>
        <w:top w:val="none" w:sz="0" w:space="0" w:color="auto"/>
        <w:left w:val="none" w:sz="0" w:space="0" w:color="auto"/>
        <w:bottom w:val="none" w:sz="0" w:space="0" w:color="auto"/>
        <w:right w:val="none" w:sz="0" w:space="0" w:color="auto"/>
      </w:divBdr>
      <w:divsChild>
        <w:div w:id="1350714043">
          <w:marLeft w:val="0"/>
          <w:marRight w:val="0"/>
          <w:marTop w:val="0"/>
          <w:marBottom w:val="0"/>
          <w:divBdr>
            <w:top w:val="none" w:sz="0" w:space="0" w:color="auto"/>
            <w:left w:val="none" w:sz="0" w:space="0" w:color="auto"/>
            <w:bottom w:val="none" w:sz="0" w:space="0" w:color="auto"/>
            <w:right w:val="none" w:sz="0" w:space="0" w:color="auto"/>
          </w:divBdr>
        </w:div>
      </w:divsChild>
    </w:div>
    <w:div w:id="789783076">
      <w:bodyDiv w:val="1"/>
      <w:marLeft w:val="225"/>
      <w:marRight w:val="225"/>
      <w:marTop w:val="0"/>
      <w:marBottom w:val="0"/>
      <w:divBdr>
        <w:top w:val="none" w:sz="0" w:space="0" w:color="auto"/>
        <w:left w:val="none" w:sz="0" w:space="0" w:color="auto"/>
        <w:bottom w:val="none" w:sz="0" w:space="0" w:color="auto"/>
        <w:right w:val="none" w:sz="0" w:space="0" w:color="auto"/>
      </w:divBdr>
      <w:divsChild>
        <w:div w:id="1292981755">
          <w:marLeft w:val="0"/>
          <w:marRight w:val="0"/>
          <w:marTop w:val="0"/>
          <w:marBottom w:val="0"/>
          <w:divBdr>
            <w:top w:val="none" w:sz="0" w:space="0" w:color="auto"/>
            <w:left w:val="none" w:sz="0" w:space="0" w:color="auto"/>
            <w:bottom w:val="none" w:sz="0" w:space="0" w:color="auto"/>
            <w:right w:val="none" w:sz="0" w:space="0" w:color="auto"/>
          </w:divBdr>
        </w:div>
      </w:divsChild>
    </w:div>
    <w:div w:id="801771901">
      <w:bodyDiv w:val="1"/>
      <w:marLeft w:val="0"/>
      <w:marRight w:val="0"/>
      <w:marTop w:val="0"/>
      <w:marBottom w:val="0"/>
      <w:divBdr>
        <w:top w:val="none" w:sz="0" w:space="0" w:color="auto"/>
        <w:left w:val="none" w:sz="0" w:space="0" w:color="auto"/>
        <w:bottom w:val="none" w:sz="0" w:space="0" w:color="auto"/>
        <w:right w:val="none" w:sz="0" w:space="0" w:color="auto"/>
      </w:divBdr>
    </w:div>
    <w:div w:id="910849489">
      <w:bodyDiv w:val="1"/>
      <w:marLeft w:val="0"/>
      <w:marRight w:val="0"/>
      <w:marTop w:val="0"/>
      <w:marBottom w:val="150"/>
      <w:divBdr>
        <w:top w:val="none" w:sz="0" w:space="0" w:color="auto"/>
        <w:left w:val="none" w:sz="0" w:space="0" w:color="auto"/>
        <w:bottom w:val="none" w:sz="0" w:space="0" w:color="auto"/>
        <w:right w:val="none" w:sz="0" w:space="0" w:color="auto"/>
      </w:divBdr>
      <w:divsChild>
        <w:div w:id="1816607069">
          <w:marLeft w:val="600"/>
          <w:marRight w:val="0"/>
          <w:marTop w:val="0"/>
          <w:marBottom w:val="0"/>
          <w:divBdr>
            <w:top w:val="none" w:sz="0" w:space="0" w:color="auto"/>
            <w:left w:val="none" w:sz="0" w:space="0" w:color="auto"/>
            <w:bottom w:val="none" w:sz="0" w:space="0" w:color="auto"/>
            <w:right w:val="none" w:sz="0" w:space="0" w:color="auto"/>
          </w:divBdr>
          <w:divsChild>
            <w:div w:id="17258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92312">
      <w:bodyDiv w:val="1"/>
      <w:marLeft w:val="225"/>
      <w:marRight w:val="225"/>
      <w:marTop w:val="0"/>
      <w:marBottom w:val="0"/>
      <w:divBdr>
        <w:top w:val="none" w:sz="0" w:space="0" w:color="auto"/>
        <w:left w:val="none" w:sz="0" w:space="0" w:color="auto"/>
        <w:bottom w:val="none" w:sz="0" w:space="0" w:color="auto"/>
        <w:right w:val="none" w:sz="0" w:space="0" w:color="auto"/>
      </w:divBdr>
      <w:divsChild>
        <w:div w:id="639968056">
          <w:marLeft w:val="0"/>
          <w:marRight w:val="0"/>
          <w:marTop w:val="0"/>
          <w:marBottom w:val="0"/>
          <w:divBdr>
            <w:top w:val="none" w:sz="0" w:space="0" w:color="auto"/>
            <w:left w:val="none" w:sz="0" w:space="0" w:color="auto"/>
            <w:bottom w:val="none" w:sz="0" w:space="0" w:color="auto"/>
            <w:right w:val="none" w:sz="0" w:space="0" w:color="auto"/>
          </w:divBdr>
        </w:div>
      </w:divsChild>
    </w:div>
    <w:div w:id="942802414">
      <w:bodyDiv w:val="1"/>
      <w:marLeft w:val="0"/>
      <w:marRight w:val="0"/>
      <w:marTop w:val="0"/>
      <w:marBottom w:val="150"/>
      <w:divBdr>
        <w:top w:val="none" w:sz="0" w:space="0" w:color="auto"/>
        <w:left w:val="none" w:sz="0" w:space="0" w:color="auto"/>
        <w:bottom w:val="none" w:sz="0" w:space="0" w:color="auto"/>
        <w:right w:val="none" w:sz="0" w:space="0" w:color="auto"/>
      </w:divBdr>
      <w:divsChild>
        <w:div w:id="1876455974">
          <w:marLeft w:val="600"/>
          <w:marRight w:val="0"/>
          <w:marTop w:val="0"/>
          <w:marBottom w:val="0"/>
          <w:divBdr>
            <w:top w:val="none" w:sz="0" w:space="0" w:color="auto"/>
            <w:left w:val="none" w:sz="0" w:space="0" w:color="auto"/>
            <w:bottom w:val="none" w:sz="0" w:space="0" w:color="auto"/>
            <w:right w:val="none" w:sz="0" w:space="0" w:color="auto"/>
          </w:divBdr>
          <w:divsChild>
            <w:div w:id="148165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91776">
      <w:bodyDiv w:val="1"/>
      <w:marLeft w:val="0"/>
      <w:marRight w:val="0"/>
      <w:marTop w:val="0"/>
      <w:marBottom w:val="0"/>
      <w:divBdr>
        <w:top w:val="none" w:sz="0" w:space="0" w:color="auto"/>
        <w:left w:val="none" w:sz="0" w:space="0" w:color="auto"/>
        <w:bottom w:val="none" w:sz="0" w:space="0" w:color="auto"/>
        <w:right w:val="none" w:sz="0" w:space="0" w:color="auto"/>
      </w:divBdr>
    </w:div>
    <w:div w:id="989361340">
      <w:bodyDiv w:val="1"/>
      <w:marLeft w:val="0"/>
      <w:marRight w:val="0"/>
      <w:marTop w:val="0"/>
      <w:marBottom w:val="0"/>
      <w:divBdr>
        <w:top w:val="none" w:sz="0" w:space="0" w:color="auto"/>
        <w:left w:val="none" w:sz="0" w:space="0" w:color="auto"/>
        <w:bottom w:val="none" w:sz="0" w:space="0" w:color="auto"/>
        <w:right w:val="none" w:sz="0" w:space="0" w:color="auto"/>
      </w:divBdr>
    </w:div>
    <w:div w:id="1009255767">
      <w:bodyDiv w:val="1"/>
      <w:marLeft w:val="0"/>
      <w:marRight w:val="0"/>
      <w:marTop w:val="0"/>
      <w:marBottom w:val="0"/>
      <w:divBdr>
        <w:top w:val="none" w:sz="0" w:space="0" w:color="auto"/>
        <w:left w:val="none" w:sz="0" w:space="0" w:color="auto"/>
        <w:bottom w:val="none" w:sz="0" w:space="0" w:color="auto"/>
        <w:right w:val="none" w:sz="0" w:space="0" w:color="auto"/>
      </w:divBdr>
    </w:div>
    <w:div w:id="1095443730">
      <w:bodyDiv w:val="1"/>
      <w:marLeft w:val="225"/>
      <w:marRight w:val="225"/>
      <w:marTop w:val="0"/>
      <w:marBottom w:val="0"/>
      <w:divBdr>
        <w:top w:val="none" w:sz="0" w:space="0" w:color="auto"/>
        <w:left w:val="none" w:sz="0" w:space="0" w:color="auto"/>
        <w:bottom w:val="none" w:sz="0" w:space="0" w:color="auto"/>
        <w:right w:val="none" w:sz="0" w:space="0" w:color="auto"/>
      </w:divBdr>
      <w:divsChild>
        <w:div w:id="446628806">
          <w:marLeft w:val="0"/>
          <w:marRight w:val="0"/>
          <w:marTop w:val="0"/>
          <w:marBottom w:val="0"/>
          <w:divBdr>
            <w:top w:val="none" w:sz="0" w:space="0" w:color="auto"/>
            <w:left w:val="none" w:sz="0" w:space="0" w:color="auto"/>
            <w:bottom w:val="none" w:sz="0" w:space="0" w:color="auto"/>
            <w:right w:val="none" w:sz="0" w:space="0" w:color="auto"/>
          </w:divBdr>
        </w:div>
      </w:divsChild>
    </w:div>
    <w:div w:id="1105542391">
      <w:bodyDiv w:val="1"/>
      <w:marLeft w:val="225"/>
      <w:marRight w:val="225"/>
      <w:marTop w:val="0"/>
      <w:marBottom w:val="0"/>
      <w:divBdr>
        <w:top w:val="none" w:sz="0" w:space="0" w:color="auto"/>
        <w:left w:val="none" w:sz="0" w:space="0" w:color="auto"/>
        <w:bottom w:val="none" w:sz="0" w:space="0" w:color="auto"/>
        <w:right w:val="none" w:sz="0" w:space="0" w:color="auto"/>
      </w:divBdr>
      <w:divsChild>
        <w:div w:id="1724984405">
          <w:marLeft w:val="0"/>
          <w:marRight w:val="0"/>
          <w:marTop w:val="0"/>
          <w:marBottom w:val="0"/>
          <w:divBdr>
            <w:top w:val="none" w:sz="0" w:space="0" w:color="auto"/>
            <w:left w:val="none" w:sz="0" w:space="0" w:color="auto"/>
            <w:bottom w:val="none" w:sz="0" w:space="0" w:color="auto"/>
            <w:right w:val="none" w:sz="0" w:space="0" w:color="auto"/>
          </w:divBdr>
        </w:div>
      </w:divsChild>
    </w:div>
    <w:div w:id="1118795623">
      <w:bodyDiv w:val="1"/>
      <w:marLeft w:val="0"/>
      <w:marRight w:val="0"/>
      <w:marTop w:val="0"/>
      <w:marBottom w:val="0"/>
      <w:divBdr>
        <w:top w:val="none" w:sz="0" w:space="0" w:color="auto"/>
        <w:left w:val="none" w:sz="0" w:space="0" w:color="auto"/>
        <w:bottom w:val="none" w:sz="0" w:space="0" w:color="auto"/>
        <w:right w:val="none" w:sz="0" w:space="0" w:color="auto"/>
      </w:divBdr>
    </w:div>
    <w:div w:id="1125857325">
      <w:bodyDiv w:val="1"/>
      <w:marLeft w:val="0"/>
      <w:marRight w:val="0"/>
      <w:marTop w:val="0"/>
      <w:marBottom w:val="0"/>
      <w:divBdr>
        <w:top w:val="none" w:sz="0" w:space="0" w:color="auto"/>
        <w:left w:val="none" w:sz="0" w:space="0" w:color="auto"/>
        <w:bottom w:val="none" w:sz="0" w:space="0" w:color="auto"/>
        <w:right w:val="none" w:sz="0" w:space="0" w:color="auto"/>
      </w:divBdr>
    </w:div>
    <w:div w:id="1451778245">
      <w:bodyDiv w:val="1"/>
      <w:marLeft w:val="0"/>
      <w:marRight w:val="0"/>
      <w:marTop w:val="0"/>
      <w:marBottom w:val="0"/>
      <w:divBdr>
        <w:top w:val="none" w:sz="0" w:space="0" w:color="auto"/>
        <w:left w:val="none" w:sz="0" w:space="0" w:color="auto"/>
        <w:bottom w:val="none" w:sz="0" w:space="0" w:color="auto"/>
        <w:right w:val="none" w:sz="0" w:space="0" w:color="auto"/>
      </w:divBdr>
    </w:div>
    <w:div w:id="1459295873">
      <w:bodyDiv w:val="1"/>
      <w:marLeft w:val="0"/>
      <w:marRight w:val="0"/>
      <w:marTop w:val="0"/>
      <w:marBottom w:val="0"/>
      <w:divBdr>
        <w:top w:val="none" w:sz="0" w:space="0" w:color="auto"/>
        <w:left w:val="none" w:sz="0" w:space="0" w:color="auto"/>
        <w:bottom w:val="none" w:sz="0" w:space="0" w:color="auto"/>
        <w:right w:val="none" w:sz="0" w:space="0" w:color="auto"/>
      </w:divBdr>
    </w:div>
    <w:div w:id="1477839147">
      <w:bodyDiv w:val="1"/>
      <w:marLeft w:val="0"/>
      <w:marRight w:val="0"/>
      <w:marTop w:val="0"/>
      <w:marBottom w:val="0"/>
      <w:divBdr>
        <w:top w:val="none" w:sz="0" w:space="0" w:color="auto"/>
        <w:left w:val="none" w:sz="0" w:space="0" w:color="auto"/>
        <w:bottom w:val="none" w:sz="0" w:space="0" w:color="auto"/>
        <w:right w:val="none" w:sz="0" w:space="0" w:color="auto"/>
      </w:divBdr>
      <w:divsChild>
        <w:div w:id="1679578864">
          <w:marLeft w:val="0"/>
          <w:marRight w:val="0"/>
          <w:marTop w:val="0"/>
          <w:marBottom w:val="0"/>
          <w:divBdr>
            <w:top w:val="none" w:sz="0" w:space="0" w:color="auto"/>
            <w:left w:val="none" w:sz="0" w:space="0" w:color="auto"/>
            <w:bottom w:val="none" w:sz="0" w:space="0" w:color="auto"/>
            <w:right w:val="none" w:sz="0" w:space="0" w:color="auto"/>
          </w:divBdr>
        </w:div>
      </w:divsChild>
    </w:div>
    <w:div w:id="1511798028">
      <w:bodyDiv w:val="1"/>
      <w:marLeft w:val="225"/>
      <w:marRight w:val="225"/>
      <w:marTop w:val="0"/>
      <w:marBottom w:val="0"/>
      <w:divBdr>
        <w:top w:val="none" w:sz="0" w:space="0" w:color="auto"/>
        <w:left w:val="none" w:sz="0" w:space="0" w:color="auto"/>
        <w:bottom w:val="none" w:sz="0" w:space="0" w:color="auto"/>
        <w:right w:val="none" w:sz="0" w:space="0" w:color="auto"/>
      </w:divBdr>
      <w:divsChild>
        <w:div w:id="1593080372">
          <w:marLeft w:val="0"/>
          <w:marRight w:val="0"/>
          <w:marTop w:val="0"/>
          <w:marBottom w:val="0"/>
          <w:divBdr>
            <w:top w:val="none" w:sz="0" w:space="0" w:color="auto"/>
            <w:left w:val="none" w:sz="0" w:space="0" w:color="auto"/>
            <w:bottom w:val="none" w:sz="0" w:space="0" w:color="auto"/>
            <w:right w:val="none" w:sz="0" w:space="0" w:color="auto"/>
          </w:divBdr>
        </w:div>
      </w:divsChild>
    </w:div>
    <w:div w:id="1579749681">
      <w:bodyDiv w:val="1"/>
      <w:marLeft w:val="0"/>
      <w:marRight w:val="0"/>
      <w:marTop w:val="0"/>
      <w:marBottom w:val="0"/>
      <w:divBdr>
        <w:top w:val="none" w:sz="0" w:space="0" w:color="auto"/>
        <w:left w:val="none" w:sz="0" w:space="0" w:color="auto"/>
        <w:bottom w:val="none" w:sz="0" w:space="0" w:color="auto"/>
        <w:right w:val="none" w:sz="0" w:space="0" w:color="auto"/>
      </w:divBdr>
    </w:div>
    <w:div w:id="1673988729">
      <w:bodyDiv w:val="1"/>
      <w:marLeft w:val="0"/>
      <w:marRight w:val="0"/>
      <w:marTop w:val="0"/>
      <w:marBottom w:val="0"/>
      <w:divBdr>
        <w:top w:val="none" w:sz="0" w:space="0" w:color="auto"/>
        <w:left w:val="none" w:sz="0" w:space="0" w:color="auto"/>
        <w:bottom w:val="none" w:sz="0" w:space="0" w:color="auto"/>
        <w:right w:val="none" w:sz="0" w:space="0" w:color="auto"/>
      </w:divBdr>
    </w:div>
    <w:div w:id="1674601711">
      <w:bodyDiv w:val="1"/>
      <w:marLeft w:val="225"/>
      <w:marRight w:val="225"/>
      <w:marTop w:val="0"/>
      <w:marBottom w:val="0"/>
      <w:divBdr>
        <w:top w:val="none" w:sz="0" w:space="0" w:color="auto"/>
        <w:left w:val="none" w:sz="0" w:space="0" w:color="auto"/>
        <w:bottom w:val="none" w:sz="0" w:space="0" w:color="auto"/>
        <w:right w:val="none" w:sz="0" w:space="0" w:color="auto"/>
      </w:divBdr>
      <w:divsChild>
        <w:div w:id="1010565376">
          <w:marLeft w:val="0"/>
          <w:marRight w:val="0"/>
          <w:marTop w:val="0"/>
          <w:marBottom w:val="0"/>
          <w:divBdr>
            <w:top w:val="none" w:sz="0" w:space="0" w:color="auto"/>
            <w:left w:val="none" w:sz="0" w:space="0" w:color="auto"/>
            <w:bottom w:val="none" w:sz="0" w:space="0" w:color="auto"/>
            <w:right w:val="none" w:sz="0" w:space="0" w:color="auto"/>
          </w:divBdr>
        </w:div>
      </w:divsChild>
    </w:div>
    <w:div w:id="1733961166">
      <w:bodyDiv w:val="1"/>
      <w:marLeft w:val="0"/>
      <w:marRight w:val="0"/>
      <w:marTop w:val="0"/>
      <w:marBottom w:val="0"/>
      <w:divBdr>
        <w:top w:val="none" w:sz="0" w:space="0" w:color="auto"/>
        <w:left w:val="none" w:sz="0" w:space="0" w:color="auto"/>
        <w:bottom w:val="none" w:sz="0" w:space="0" w:color="auto"/>
        <w:right w:val="none" w:sz="0" w:space="0" w:color="auto"/>
      </w:divBdr>
    </w:div>
    <w:div w:id="1805804082">
      <w:bodyDiv w:val="1"/>
      <w:marLeft w:val="0"/>
      <w:marRight w:val="0"/>
      <w:marTop w:val="0"/>
      <w:marBottom w:val="0"/>
      <w:divBdr>
        <w:top w:val="none" w:sz="0" w:space="0" w:color="auto"/>
        <w:left w:val="none" w:sz="0" w:space="0" w:color="auto"/>
        <w:bottom w:val="none" w:sz="0" w:space="0" w:color="auto"/>
        <w:right w:val="none" w:sz="0" w:space="0" w:color="auto"/>
      </w:divBdr>
    </w:div>
    <w:div w:id="1948921958">
      <w:bodyDiv w:val="1"/>
      <w:marLeft w:val="225"/>
      <w:marRight w:val="225"/>
      <w:marTop w:val="0"/>
      <w:marBottom w:val="0"/>
      <w:divBdr>
        <w:top w:val="none" w:sz="0" w:space="0" w:color="auto"/>
        <w:left w:val="none" w:sz="0" w:space="0" w:color="auto"/>
        <w:bottom w:val="none" w:sz="0" w:space="0" w:color="auto"/>
        <w:right w:val="none" w:sz="0" w:space="0" w:color="auto"/>
      </w:divBdr>
      <w:divsChild>
        <w:div w:id="581766748">
          <w:marLeft w:val="0"/>
          <w:marRight w:val="0"/>
          <w:marTop w:val="0"/>
          <w:marBottom w:val="0"/>
          <w:divBdr>
            <w:top w:val="none" w:sz="0" w:space="0" w:color="auto"/>
            <w:left w:val="none" w:sz="0" w:space="0" w:color="auto"/>
            <w:bottom w:val="none" w:sz="0" w:space="0" w:color="auto"/>
            <w:right w:val="none" w:sz="0" w:space="0" w:color="auto"/>
          </w:divBdr>
        </w:div>
      </w:divsChild>
    </w:div>
    <w:div w:id="2049719392">
      <w:bodyDiv w:val="1"/>
      <w:marLeft w:val="0"/>
      <w:marRight w:val="0"/>
      <w:marTop w:val="0"/>
      <w:marBottom w:val="0"/>
      <w:divBdr>
        <w:top w:val="none" w:sz="0" w:space="0" w:color="auto"/>
        <w:left w:val="none" w:sz="0" w:space="0" w:color="auto"/>
        <w:bottom w:val="none" w:sz="0" w:space="0" w:color="auto"/>
        <w:right w:val="none" w:sz="0" w:space="0" w:color="auto"/>
      </w:divBdr>
    </w:div>
    <w:div w:id="2125533748">
      <w:bodyDiv w:val="1"/>
      <w:marLeft w:val="225"/>
      <w:marRight w:val="225"/>
      <w:marTop w:val="0"/>
      <w:marBottom w:val="0"/>
      <w:divBdr>
        <w:top w:val="none" w:sz="0" w:space="0" w:color="auto"/>
        <w:left w:val="none" w:sz="0" w:space="0" w:color="auto"/>
        <w:bottom w:val="none" w:sz="0" w:space="0" w:color="auto"/>
        <w:right w:val="none" w:sz="0" w:space="0" w:color="auto"/>
      </w:divBdr>
      <w:divsChild>
        <w:div w:id="2081631191">
          <w:marLeft w:val="0"/>
          <w:marRight w:val="0"/>
          <w:marTop w:val="0"/>
          <w:marBottom w:val="0"/>
          <w:divBdr>
            <w:top w:val="none" w:sz="0" w:space="0" w:color="auto"/>
            <w:left w:val="none" w:sz="0" w:space="0" w:color="auto"/>
            <w:bottom w:val="none" w:sz="0" w:space="0" w:color="auto"/>
            <w:right w:val="none" w:sz="0" w:space="0" w:color="auto"/>
          </w:divBdr>
        </w:div>
      </w:divsChild>
    </w:div>
    <w:div w:id="213930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_rels/footnotes.xml.rels><?xml version="1.0" encoding="UTF-8" standalone="yes"?>
<Relationships xmlns="http://schemas.openxmlformats.org/package/2006/relationships">
   <Relationship Id="rId1"
                 Target="https://www.notarurumai.lt/naujienos/naujienos/lietuvos-gyventojai-2018-metais-labiausiai-pasitikjo-notarais-ir-policininkais"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C482C-C282-4371-BDD6-558B5BBE4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21174</Words>
  <Characters>12070</Characters>
  <Application>Microsoft Office Word</Application>
  <DocSecurity>0</DocSecurity>
  <Lines>100</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VARTOTOJŲ TEISIŲ APSAUGOS</vt:lpstr>
      <vt:lpstr>VALSTYBINĖS VARTOTOJŲ TEISIŲ APSAUGOS</vt:lpstr>
    </vt:vector>
  </TitlesOfParts>
  <Company/>
  <LinksUpToDate>false</LinksUpToDate>
  <CharactersWithSpaces>33178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2019-08-23T05:36:00Z</dcterms:created>
  <dc:creator>jpumput</dc:creator>
  <cp:lastModifiedBy>Neringa Keršienė</cp:lastModifiedBy>
  <cp:lastPrinted>2013-09-03T07:10:00Z</cp:lastPrinted>
  <dcterms:modified xsi:type="dcterms:W3CDTF">2019-08-23T06:04:00Z</dcterms:modified>
  <cp:revision>5</cp:revision>
  <dc:title>VALSTYBINĖS VARTOTOJŲ TEISIŲ APSAUGOS</dc:title>
</cp:coreProperties>
</file>