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663C" w:rsidRPr="00586C08" w:rsidRDefault="006F585D" w:rsidP="006F585D">
      <w:pPr>
        <w:jc w:val="center"/>
        <w:rPr>
          <w:rFonts w:ascii="Times New Roman" w:hAnsi="Times New Roman" w:cs="Times New Roman"/>
          <w:b/>
          <w:sz w:val="24"/>
        </w:rPr>
      </w:pPr>
      <w:r w:rsidRPr="00586C08">
        <w:rPr>
          <w:rFonts w:ascii="Times New Roman" w:hAnsi="Times New Roman" w:cs="Times New Roman"/>
          <w:b/>
          <w:sz w:val="24"/>
        </w:rPr>
        <w:t>DERINIMO PAŽYMA</w:t>
      </w:r>
    </w:p>
    <w:p w:rsidR="0073538D" w:rsidRDefault="0073538D" w:rsidP="0073538D">
      <w:pPr>
        <w:spacing w:after="0" w:line="240" w:lineRule="auto"/>
        <w:jc w:val="center"/>
        <w:rPr>
          <w:rFonts w:ascii="Times New Roman" w:eastAsia="Times New Roman" w:hAnsi="Times New Roman" w:cs="Times New Roman"/>
          <w:b/>
          <w:sz w:val="24"/>
          <w:szCs w:val="20"/>
        </w:rPr>
      </w:pPr>
      <w:r w:rsidRPr="0073538D">
        <w:rPr>
          <w:rFonts w:ascii="Times New Roman" w:eastAsia="Times New Roman" w:hAnsi="Times New Roman" w:cs="Times New Roman"/>
          <w:b/>
          <w:sz w:val="24"/>
          <w:szCs w:val="20"/>
        </w:rPr>
        <w:t xml:space="preserve">DĖL LIETUVOS RESPUBLIKOS VYRIAUSYBĖS </w:t>
      </w:r>
      <w:r w:rsidR="00712924">
        <w:rPr>
          <w:rFonts w:ascii="Times New Roman" w:eastAsia="Times New Roman" w:hAnsi="Times New Roman" w:cs="Times New Roman"/>
          <w:b/>
          <w:sz w:val="24"/>
          <w:szCs w:val="20"/>
        </w:rPr>
        <w:t xml:space="preserve">NUTARIMO </w:t>
      </w:r>
      <w:r w:rsidR="00D10B9D" w:rsidRPr="00D10B9D">
        <w:rPr>
          <w:rFonts w:ascii="Times New Roman" w:eastAsia="Times New Roman" w:hAnsi="Times New Roman" w:cs="Times New Roman"/>
          <w:b/>
          <w:sz w:val="24"/>
          <w:szCs w:val="20"/>
        </w:rPr>
        <w:t>„DĖL VIEŠOSIOS ĮSTAIGOS BENDRYSTĖS IR INOVACIJŲ CENTRO</w:t>
      </w:r>
      <w:r w:rsidR="00D10B9D">
        <w:rPr>
          <w:rFonts w:ascii="Times New Roman" w:eastAsia="Times New Roman" w:hAnsi="Times New Roman" w:cs="Times New Roman"/>
          <w:b/>
          <w:sz w:val="24"/>
          <w:szCs w:val="20"/>
        </w:rPr>
        <w:t xml:space="preserve"> </w:t>
      </w:r>
      <w:r w:rsidR="00D10B9D" w:rsidRPr="00D10B9D">
        <w:rPr>
          <w:rFonts w:ascii="Times New Roman" w:eastAsia="Times New Roman" w:hAnsi="Times New Roman" w:cs="Times New Roman"/>
          <w:b/>
          <w:sz w:val="24"/>
          <w:szCs w:val="20"/>
        </w:rPr>
        <w:t>STEIGIMO IR VALST</w:t>
      </w:r>
      <w:r w:rsidR="00D10B9D">
        <w:rPr>
          <w:rFonts w:ascii="Times New Roman" w:eastAsia="Times New Roman" w:hAnsi="Times New Roman" w:cs="Times New Roman"/>
          <w:b/>
          <w:sz w:val="24"/>
          <w:szCs w:val="20"/>
        </w:rPr>
        <w:t>YBĖS TURTO INVESTAVIMO“ PROJEKTO</w:t>
      </w:r>
    </w:p>
    <w:p w:rsidR="008F663C" w:rsidRDefault="008F663C"/>
    <w:tbl>
      <w:tblPr>
        <w:tblStyle w:val="Lentelstinklelis"/>
        <w:tblW w:w="14496" w:type="dxa"/>
        <w:tblInd w:w="279" w:type="dxa"/>
        <w:tblLook w:val="04A0" w:firstRow="1" w:lastRow="0" w:firstColumn="1" w:lastColumn="0" w:noHBand="0" w:noVBand="1"/>
      </w:tblPr>
      <w:tblGrid>
        <w:gridCol w:w="2551"/>
        <w:gridCol w:w="5673"/>
        <w:gridCol w:w="6272"/>
      </w:tblGrid>
      <w:tr w:rsidR="008F663C" w:rsidTr="00D61AFE">
        <w:trPr>
          <w:trHeight w:val="538"/>
        </w:trPr>
        <w:tc>
          <w:tcPr>
            <w:tcW w:w="2551" w:type="dxa"/>
          </w:tcPr>
          <w:p w:rsidR="008F663C" w:rsidRPr="008F663C" w:rsidRDefault="008F663C" w:rsidP="008F663C">
            <w:pPr>
              <w:jc w:val="center"/>
              <w:rPr>
                <w:rFonts w:ascii="Times New Roman" w:hAnsi="Times New Roman" w:cs="Times New Roman"/>
                <w:b/>
                <w:sz w:val="24"/>
                <w:szCs w:val="24"/>
              </w:rPr>
            </w:pPr>
            <w:r>
              <w:rPr>
                <w:rFonts w:ascii="Times New Roman" w:hAnsi="Times New Roman" w:cs="Times New Roman"/>
                <w:b/>
                <w:sz w:val="24"/>
                <w:szCs w:val="24"/>
              </w:rPr>
              <w:t>Institucija, rašto data, numeris</w:t>
            </w:r>
          </w:p>
        </w:tc>
        <w:tc>
          <w:tcPr>
            <w:tcW w:w="5673" w:type="dxa"/>
          </w:tcPr>
          <w:p w:rsidR="008F663C" w:rsidRPr="008F663C" w:rsidRDefault="008F663C" w:rsidP="008F663C">
            <w:pPr>
              <w:jc w:val="center"/>
              <w:rPr>
                <w:rFonts w:ascii="Times New Roman" w:hAnsi="Times New Roman" w:cs="Times New Roman"/>
                <w:b/>
                <w:sz w:val="24"/>
                <w:szCs w:val="24"/>
              </w:rPr>
            </w:pPr>
            <w:r w:rsidRPr="008F663C">
              <w:rPr>
                <w:rFonts w:ascii="Times New Roman" w:hAnsi="Times New Roman" w:cs="Times New Roman"/>
                <w:b/>
                <w:sz w:val="24"/>
                <w:szCs w:val="24"/>
              </w:rPr>
              <w:t>Pastabos ir pasiūlymai</w:t>
            </w:r>
          </w:p>
        </w:tc>
        <w:tc>
          <w:tcPr>
            <w:tcW w:w="6272" w:type="dxa"/>
          </w:tcPr>
          <w:p w:rsidR="008F663C" w:rsidRPr="008F663C" w:rsidRDefault="008F663C" w:rsidP="008F663C">
            <w:pPr>
              <w:jc w:val="center"/>
              <w:rPr>
                <w:rFonts w:ascii="Times New Roman" w:hAnsi="Times New Roman" w:cs="Times New Roman"/>
                <w:b/>
                <w:sz w:val="24"/>
                <w:szCs w:val="24"/>
              </w:rPr>
            </w:pPr>
            <w:r w:rsidRPr="008F663C">
              <w:rPr>
                <w:rFonts w:ascii="Times New Roman" w:eastAsia="Times New Roman" w:hAnsi="Times New Roman" w:cs="Times New Roman"/>
                <w:b/>
                <w:sz w:val="24"/>
                <w:szCs w:val="24"/>
              </w:rPr>
              <w:t>Įvertinimas</w:t>
            </w:r>
          </w:p>
        </w:tc>
      </w:tr>
      <w:tr w:rsidR="00D61AFE" w:rsidTr="00D61AFE">
        <w:trPr>
          <w:trHeight w:val="3310"/>
        </w:trPr>
        <w:tc>
          <w:tcPr>
            <w:tcW w:w="2551" w:type="dxa"/>
            <w:vMerge w:val="restart"/>
          </w:tcPr>
          <w:p w:rsidR="00D61AFE" w:rsidRDefault="00D61AFE" w:rsidP="00B71177">
            <w:pPr>
              <w:rPr>
                <w:rFonts w:ascii="Times New Roman" w:eastAsia="Times New Roman" w:hAnsi="Times New Roman" w:cs="Times New Roman"/>
                <w:sz w:val="24"/>
                <w:szCs w:val="24"/>
              </w:rPr>
            </w:pPr>
            <w:r>
              <w:rPr>
                <w:rFonts w:ascii="Times New Roman" w:eastAsia="Times New Roman" w:hAnsi="Times New Roman" w:cs="Times New Roman"/>
                <w:sz w:val="24"/>
                <w:szCs w:val="24"/>
              </w:rPr>
              <w:t>Lietuvos Respublikos ekonomikos ir inovacijų ministerija, 2019-05</w:t>
            </w:r>
            <w:r w:rsidRPr="008F663C">
              <w:rPr>
                <w:rFonts w:ascii="Times New Roman" w:eastAsia="Times New Roman" w:hAnsi="Times New Roman" w:cs="Times New Roman"/>
                <w:sz w:val="24"/>
                <w:szCs w:val="24"/>
              </w:rPr>
              <w:t>-</w:t>
            </w:r>
            <w:r>
              <w:rPr>
                <w:rFonts w:ascii="Times New Roman" w:eastAsia="Times New Roman" w:hAnsi="Times New Roman" w:cs="Times New Roman"/>
                <w:sz w:val="24"/>
                <w:szCs w:val="24"/>
              </w:rPr>
              <w:t>10,</w:t>
            </w:r>
            <w:r w:rsidRPr="008F663C">
              <w:rPr>
                <w:rFonts w:ascii="Times New Roman" w:eastAsia="Times New Roman" w:hAnsi="Times New Roman" w:cs="Times New Roman"/>
                <w:sz w:val="24"/>
                <w:szCs w:val="24"/>
              </w:rPr>
              <w:t xml:space="preserve"> Nr. </w:t>
            </w:r>
            <w:r>
              <w:rPr>
                <w:rFonts w:ascii="Times New Roman" w:eastAsia="Times New Roman" w:hAnsi="Times New Roman" w:cs="Times New Roman"/>
                <w:sz w:val="24"/>
                <w:szCs w:val="24"/>
              </w:rPr>
              <w:t>(13.2-31)-3-1842</w:t>
            </w:r>
          </w:p>
        </w:tc>
        <w:tc>
          <w:tcPr>
            <w:tcW w:w="5673" w:type="dxa"/>
          </w:tcPr>
          <w:p w:rsidR="00D61AFE" w:rsidRPr="00B71177" w:rsidRDefault="00D61AFE" w:rsidP="00B71177">
            <w:pPr>
              <w:jc w:val="both"/>
              <w:rPr>
                <w:rFonts w:ascii="Times New Roman" w:hAnsi="Times New Roman" w:cs="Times New Roman"/>
                <w:sz w:val="24"/>
                <w:szCs w:val="24"/>
              </w:rPr>
            </w:pPr>
            <w:r w:rsidRPr="00B71177">
              <w:rPr>
                <w:rFonts w:ascii="Times New Roman" w:hAnsi="Times New Roman" w:cs="Times New Roman"/>
                <w:sz w:val="24"/>
                <w:szCs w:val="24"/>
              </w:rPr>
              <w:t>Steigimo akto 7 punkte yra nurodomi steigiamos viešosios įstaigos tikslai ir veiklos sritys. Atsižvelgiant į šių nuostatų turinį, siūlytina įvertinti, ar viešosios įstaigos pavadinimas atitinka jos veiklos tikslus ir ar nebūtų klaidinantis, kadangi jų turinys nesiejamas su inovacijomis.</w:t>
            </w:r>
          </w:p>
        </w:tc>
        <w:tc>
          <w:tcPr>
            <w:tcW w:w="6272" w:type="dxa"/>
          </w:tcPr>
          <w:p w:rsidR="00D61AFE" w:rsidRPr="00B8455A" w:rsidRDefault="00D61AFE" w:rsidP="00B8455A">
            <w:pPr>
              <w:jc w:val="both"/>
              <w:rPr>
                <w:rFonts w:ascii="Times New Roman" w:hAnsi="Times New Roman" w:cs="Times New Roman"/>
                <w:sz w:val="24"/>
                <w:szCs w:val="24"/>
              </w:rPr>
            </w:pPr>
            <w:r>
              <w:rPr>
                <w:rFonts w:ascii="Times New Roman" w:hAnsi="Times New Roman" w:cs="Times New Roman"/>
                <w:b/>
                <w:sz w:val="24"/>
                <w:szCs w:val="24"/>
              </w:rPr>
              <w:t>Neatsižvelgta.</w:t>
            </w:r>
            <w:r>
              <w:rPr>
                <w:rFonts w:ascii="Times New Roman" w:hAnsi="Times New Roman" w:cs="Times New Roman"/>
                <w:sz w:val="24"/>
                <w:szCs w:val="24"/>
              </w:rPr>
              <w:t xml:space="preserve"> S</w:t>
            </w:r>
            <w:r w:rsidRPr="00B8455A">
              <w:rPr>
                <w:rFonts w:ascii="Times New Roman" w:hAnsi="Times New Roman" w:cs="Times New Roman"/>
                <w:sz w:val="24"/>
                <w:szCs w:val="24"/>
              </w:rPr>
              <w:t xml:space="preserve">teigiamos įstaigos pavadinimas yra steigėjo pasirinkimas. Teisės aktuose nėra reglamentuota, koks konkretus pavadinimas įstaigai turi būti suteiktas, o bendruosius reikalavimus, keliamus juridinio asmens pavadinimui, jo sudarymui, įtvirtintus Lietuvos Respublikos civiliniame kodekse, </w:t>
            </w:r>
            <w:r>
              <w:rPr>
                <w:rFonts w:ascii="Times New Roman" w:hAnsi="Times New Roman" w:cs="Times New Roman"/>
                <w:sz w:val="24"/>
                <w:szCs w:val="24"/>
              </w:rPr>
              <w:t xml:space="preserve">viešosios įstaigos Bendrystės ir inovacijų centro (toliau – Centras) </w:t>
            </w:r>
            <w:r w:rsidRPr="00B8455A">
              <w:rPr>
                <w:rFonts w:ascii="Times New Roman" w:hAnsi="Times New Roman" w:cs="Times New Roman"/>
                <w:sz w:val="24"/>
                <w:szCs w:val="24"/>
              </w:rPr>
              <w:t>pavadinimas atitinka, taip pat neklaidina visuomenės dėl Centro steigėjo, dalyvio, buveinės, veiklos tikslo, teisinės formos, tapatumo ar panašumo į kitų juridinių asmenų pavadinimus, žinomesnių Lietuvos visuomenei užsienio įmonių, įstaigų ir organizacijų vardus, prekių ir paslaugų ženklus.</w:t>
            </w:r>
          </w:p>
        </w:tc>
      </w:tr>
      <w:tr w:rsidR="00D61AFE" w:rsidTr="00D61AFE">
        <w:trPr>
          <w:trHeight w:val="2756"/>
        </w:trPr>
        <w:tc>
          <w:tcPr>
            <w:tcW w:w="2551" w:type="dxa"/>
            <w:vMerge/>
          </w:tcPr>
          <w:p w:rsidR="00D61AFE" w:rsidRDefault="00D61AFE" w:rsidP="00B71177">
            <w:pPr>
              <w:rPr>
                <w:rFonts w:ascii="Times New Roman" w:eastAsia="Times New Roman" w:hAnsi="Times New Roman" w:cs="Times New Roman"/>
                <w:sz w:val="24"/>
                <w:szCs w:val="24"/>
              </w:rPr>
            </w:pPr>
          </w:p>
        </w:tc>
        <w:tc>
          <w:tcPr>
            <w:tcW w:w="5673" w:type="dxa"/>
          </w:tcPr>
          <w:p w:rsidR="00D61AFE" w:rsidRPr="00B71177" w:rsidRDefault="00D61AFE" w:rsidP="00B71177">
            <w:pPr>
              <w:jc w:val="both"/>
              <w:rPr>
                <w:rFonts w:ascii="Times New Roman" w:hAnsi="Times New Roman" w:cs="Times New Roman"/>
                <w:sz w:val="24"/>
                <w:szCs w:val="24"/>
              </w:rPr>
            </w:pPr>
            <w:r w:rsidRPr="00B71177">
              <w:rPr>
                <w:rFonts w:ascii="Times New Roman" w:hAnsi="Times New Roman" w:cs="Times New Roman"/>
                <w:sz w:val="24"/>
                <w:szCs w:val="24"/>
              </w:rPr>
              <w:t>Taip pat siūlytina vadovautis Lietuvos Respublikos ūkio ministro įsakymu „Dėl Lietuvos Respublikos ūkio ministro 2013 m. gruodžio 20 d. įsakymo Nr. 4-1099 „Dėl Viešosios įstaigos pavyzdinių steigimo akto, steigimo sutarties formų, pavyzdinių įstatų ir jų pildymo rekomendacijų patvirtinimo“ pakeitimo“ patvirtintais pavyzdiniais steigimo dokumentais ir Steigimo akte nustatyti atstovo teises ir įgaliojimus, taip pat viešosios įstaigos steigimo išlaidų kompensavimo tvarką.</w:t>
            </w:r>
          </w:p>
        </w:tc>
        <w:tc>
          <w:tcPr>
            <w:tcW w:w="6272" w:type="dxa"/>
          </w:tcPr>
          <w:p w:rsidR="00D61AFE" w:rsidRPr="006F585D" w:rsidRDefault="00D61AFE" w:rsidP="00B8455A">
            <w:pPr>
              <w:jc w:val="both"/>
              <w:rPr>
                <w:rFonts w:ascii="Times New Roman" w:hAnsi="Times New Roman" w:cs="Times New Roman"/>
                <w:b/>
                <w:sz w:val="24"/>
                <w:szCs w:val="24"/>
              </w:rPr>
            </w:pPr>
            <w:r>
              <w:rPr>
                <w:rFonts w:ascii="Times New Roman" w:hAnsi="Times New Roman" w:cs="Times New Roman"/>
                <w:b/>
                <w:sz w:val="24"/>
                <w:szCs w:val="24"/>
              </w:rPr>
              <w:t>Neatsižvelgta.</w:t>
            </w:r>
            <w:r w:rsidRPr="00B8455A">
              <w:rPr>
                <w:rFonts w:ascii="Times New Roman" w:hAnsi="Times New Roman" w:cs="Times New Roman"/>
                <w:sz w:val="24"/>
                <w:szCs w:val="24"/>
              </w:rPr>
              <w:t xml:space="preserve"> </w:t>
            </w:r>
            <w:r>
              <w:rPr>
                <w:rFonts w:ascii="Times New Roman" w:hAnsi="Times New Roman" w:cs="Times New Roman"/>
                <w:sz w:val="24"/>
                <w:szCs w:val="24"/>
              </w:rPr>
              <w:t>S</w:t>
            </w:r>
            <w:r w:rsidRPr="00B8455A">
              <w:rPr>
                <w:rFonts w:ascii="Times New Roman" w:hAnsi="Times New Roman" w:cs="Times New Roman"/>
                <w:sz w:val="24"/>
                <w:szCs w:val="24"/>
              </w:rPr>
              <w:t xml:space="preserve">teigimo aktas yra parengtas vadovaujantis </w:t>
            </w:r>
            <w:r>
              <w:rPr>
                <w:rFonts w:ascii="Times New Roman" w:hAnsi="Times New Roman" w:cs="Times New Roman"/>
                <w:sz w:val="24"/>
                <w:szCs w:val="24"/>
              </w:rPr>
              <w:t>minėtu teisės aktu</w:t>
            </w:r>
            <w:r w:rsidRPr="00B8455A">
              <w:rPr>
                <w:rFonts w:ascii="Times New Roman" w:hAnsi="Times New Roman" w:cs="Times New Roman"/>
                <w:sz w:val="24"/>
                <w:szCs w:val="24"/>
              </w:rPr>
              <w:t xml:space="preserve"> ir jame yra nustatytos atstovo teisės </w:t>
            </w:r>
            <w:r>
              <w:rPr>
                <w:rFonts w:ascii="Times New Roman" w:hAnsi="Times New Roman" w:cs="Times New Roman"/>
                <w:sz w:val="24"/>
                <w:szCs w:val="24"/>
              </w:rPr>
              <w:t>bei</w:t>
            </w:r>
            <w:r w:rsidRPr="00B8455A">
              <w:rPr>
                <w:rFonts w:ascii="Times New Roman" w:hAnsi="Times New Roman" w:cs="Times New Roman"/>
                <w:sz w:val="24"/>
                <w:szCs w:val="24"/>
              </w:rPr>
              <w:t xml:space="preserve"> įgaliojimai, taip pat Centro steigimo išlaidų kompensavimo tvarka.</w:t>
            </w:r>
          </w:p>
        </w:tc>
      </w:tr>
      <w:tr w:rsidR="00D61AFE" w:rsidTr="00D61AFE">
        <w:trPr>
          <w:trHeight w:val="553"/>
        </w:trPr>
        <w:tc>
          <w:tcPr>
            <w:tcW w:w="2551" w:type="dxa"/>
            <w:vMerge/>
          </w:tcPr>
          <w:p w:rsidR="00D61AFE" w:rsidRDefault="00D61AFE" w:rsidP="00B71177">
            <w:pPr>
              <w:rPr>
                <w:rFonts w:ascii="Times New Roman" w:eastAsia="Times New Roman" w:hAnsi="Times New Roman" w:cs="Times New Roman"/>
                <w:sz w:val="24"/>
                <w:szCs w:val="24"/>
              </w:rPr>
            </w:pPr>
          </w:p>
        </w:tc>
        <w:tc>
          <w:tcPr>
            <w:tcW w:w="5673" w:type="dxa"/>
          </w:tcPr>
          <w:p w:rsidR="00D61AFE" w:rsidRPr="00B71177" w:rsidRDefault="00D61AFE" w:rsidP="00B71177">
            <w:pPr>
              <w:jc w:val="both"/>
              <w:rPr>
                <w:rFonts w:ascii="Times New Roman" w:hAnsi="Times New Roman" w:cs="Times New Roman"/>
                <w:sz w:val="24"/>
                <w:szCs w:val="24"/>
              </w:rPr>
            </w:pPr>
            <w:r w:rsidRPr="00B71177">
              <w:rPr>
                <w:rFonts w:ascii="Times New Roman" w:hAnsi="Times New Roman" w:cs="Times New Roman"/>
                <w:sz w:val="24"/>
                <w:szCs w:val="24"/>
              </w:rPr>
              <w:t xml:space="preserve">Pagal Lietuvos Respublikos viešojo administravimo įstatymo 2 straipsnio 18 dalį, viešoji paslauga – valstybės ar savivaldybių kontroliuojamų juridinių asmenų veikla </w:t>
            </w:r>
            <w:r w:rsidRPr="00B71177">
              <w:rPr>
                <w:rFonts w:ascii="Times New Roman" w:hAnsi="Times New Roman" w:cs="Times New Roman"/>
                <w:sz w:val="24"/>
                <w:szCs w:val="24"/>
              </w:rPr>
              <w:lastRenderedPageBreak/>
              <w:t>teikiant asmenims socialines, švietimo, mokslo, kultūros, sporto ir kitas įstatymų nustatytas paslaugas. Tačiau Nutarimo projekte ir lydimuosiuose dokumentuose nėra atskleista, kokiuose teisės aktuose nustatytas viešąsias paslaugas ketina teikti steigiama viešoji įstaiga. Viešojo sektoriaus įstaigų sistemos tobulinimo gairių, patvirtintų Lietuvos Respublikos Vyriausybės 2018 m. gegužės 16 d. nutarimu Nr. 495 ,,Dėl Viešojo sektoriaus įstaigų sistemos tobulinimo gairių ir Viešojo sektoriaus įstaigų sistemos tobulinimo gairių įgyvendinimo veiksmų plano patvirtinimo“ (toliau – Gairės), 32 punkte nustatyta, kad įstaigos teisinė forma (viešoji įstaiga) pasirenkama, kai daugiau nei pusė numatomų siūlomos įsteigti viešojo sektoriaus įstaigos funkcijų yra viešųjų paslaugų teikimas. Svarstytina, kurios Steigimo akto 7 punkte nurodytos veiklos sritys galėtų būti priskiriamos prie viešųjų paslaugų.</w:t>
            </w:r>
          </w:p>
        </w:tc>
        <w:tc>
          <w:tcPr>
            <w:tcW w:w="6272" w:type="dxa"/>
          </w:tcPr>
          <w:p w:rsidR="00D61AFE" w:rsidRPr="00B8455A" w:rsidRDefault="00D61AFE" w:rsidP="00B8455A">
            <w:pPr>
              <w:jc w:val="both"/>
              <w:rPr>
                <w:rFonts w:ascii="Times New Roman" w:hAnsi="Times New Roman" w:cs="Times New Roman"/>
                <w:sz w:val="24"/>
                <w:szCs w:val="24"/>
              </w:rPr>
            </w:pPr>
            <w:r>
              <w:rPr>
                <w:rFonts w:ascii="Times New Roman" w:hAnsi="Times New Roman" w:cs="Times New Roman"/>
                <w:b/>
                <w:sz w:val="24"/>
                <w:szCs w:val="24"/>
              </w:rPr>
              <w:lastRenderedPageBreak/>
              <w:t>Neatsižvelgta.</w:t>
            </w:r>
            <w:r>
              <w:rPr>
                <w:rFonts w:ascii="Times New Roman" w:hAnsi="Times New Roman" w:cs="Times New Roman"/>
                <w:sz w:val="24"/>
                <w:szCs w:val="24"/>
              </w:rPr>
              <w:t xml:space="preserve"> </w:t>
            </w:r>
            <w:r w:rsidRPr="00B8455A">
              <w:rPr>
                <w:rFonts w:ascii="Times New Roman" w:hAnsi="Times New Roman" w:cs="Times New Roman"/>
                <w:sz w:val="24"/>
                <w:szCs w:val="24"/>
              </w:rPr>
              <w:t xml:space="preserve">Centro numatomos teikti paslaugos atitinka Lietuvos Respublikos viešojo administravimo įstatymo 2 straipsnio 18 dalyje įtvirtintą viešosios paslaugos sąvoką. </w:t>
            </w:r>
            <w:r w:rsidRPr="00B8455A">
              <w:rPr>
                <w:rFonts w:ascii="Times New Roman" w:hAnsi="Times New Roman" w:cs="Times New Roman"/>
                <w:sz w:val="24"/>
                <w:szCs w:val="24"/>
              </w:rPr>
              <w:lastRenderedPageBreak/>
              <w:t>Centras teiks socialines ir švietimo paslaugas, tenkins viešuosius interesus, vykdydamas šią visuomenei naudingą veiklą – teiks vidaus reikalų sistemos pareigūnams ir darbuotojams socialinę, dvasinę ir psichologinę pagalbą įgyvendinant priklausomybės ligų prevenciją, kuriant ir puoselėjant jų sąmoningumą ir sielovadą, vykdys buvusių vidaus reikalų sistemos pareigūnų ar darbuotojų socialinę integraciją, skatins visuomenės pasitikėjimą valstybės tarnautojų veikla ir domėjimąsi karjeros valstybės tarnyboje perspektyvomis, didins visuomenės įsitraukimą į viešojo sektoriaus sprendimų priėmimą, valstybės tarnautojų veiklos atvirumą ir priartinimą prie visuomenės, puoselės šalies tradicijas, vidines bei dorovines vertybes, ugdys vienybės, patriotizmo ir meilės savo šaliai jausmą, taip pat vystys dvasinėmis vertybėmis, etikos ir moralės normomis pagrįstą švietėjišką veiklą kultūros, dvasinių vertybių bei pilietiškumo ugdymo srityse, organizuos ar dalyvaus įvairiuose projektuose, susijusiuose su saugaus eismo keliuose skatinimu, kultūros keliuose ugdymu, patriotizmo stiprinimu, nusikalstamumo prevencija, viešojo saugumo užtikrinimu ir kitomis panašiomis sritimis, teiks pagalbą nuo prekybos žmonėmis ar kitų nusikalstamų veiklų nukentėjusiems asmenims. Centras orientuos savo veiklos strategiją tiek į visuomenės (bus siekiama tapti inovatyvių sprendimų kūrybiniu centru, kuris vykdytų dvasinėmis vertybėmis, etikos ir moralės normomis pagrįstą švietėjišką (ugdomąją) veiklą, orientuotis į visuomenės užimtumo, fizinio ir dvasinio tobulėjimo, meninės saviraiškos, nusikalstamos veiklos prevencijos, kūrybinių ir fizinių gebėjimų vystymą ir jų realizavimo galimybių suteikimą ir pan.), tiek į vidaus reikalų sistemos pareigūnų socialinius, psichologinius ir dvasinius poreikius.</w:t>
            </w:r>
          </w:p>
          <w:p w:rsidR="00D61AFE" w:rsidRPr="00B8455A" w:rsidRDefault="00D61AFE" w:rsidP="00C85492">
            <w:pPr>
              <w:jc w:val="both"/>
              <w:rPr>
                <w:rFonts w:ascii="Times New Roman" w:hAnsi="Times New Roman" w:cs="Times New Roman"/>
                <w:sz w:val="24"/>
                <w:szCs w:val="24"/>
              </w:rPr>
            </w:pPr>
            <w:r w:rsidRPr="00B8455A">
              <w:rPr>
                <w:rFonts w:ascii="Times New Roman" w:hAnsi="Times New Roman" w:cs="Times New Roman"/>
                <w:sz w:val="24"/>
                <w:szCs w:val="24"/>
              </w:rPr>
              <w:lastRenderedPageBreak/>
              <w:t>Dėl to, Centro steigimas neprieštarauja Viešojo sektoriaus įstaigų sistemos tobulinimo gairių aprašo, patvirtinto Lietuvos Respublikos Vyriausybės 2018 m. gegužės 16 d. nutarimu Nr. 495 „Dėl Viešojo sektoriaus įstaigų sistemos tobulinimo gairių ir Viešojo sektoriaus įstaigų sistemos tobulinimo gairių įgyvendinimo veiksmų plano patvirtinimo</w:t>
            </w:r>
            <w:r>
              <w:rPr>
                <w:rFonts w:ascii="Times New Roman" w:hAnsi="Times New Roman" w:cs="Times New Roman"/>
                <w:sz w:val="24"/>
                <w:szCs w:val="24"/>
              </w:rPr>
              <w:t>“</w:t>
            </w:r>
            <w:r w:rsidRPr="00B8455A">
              <w:rPr>
                <w:rFonts w:ascii="Times New Roman" w:hAnsi="Times New Roman" w:cs="Times New Roman"/>
                <w:sz w:val="24"/>
                <w:szCs w:val="24"/>
              </w:rPr>
              <w:t xml:space="preserve">, nuostatoms. Daugiau nei 1/2 Centro numatomų funkcijų yra viešųjų paslaugų teikimas, todėl Centro teisinė forma – viešoji įstaiga – yra pagrįsta. </w:t>
            </w:r>
          </w:p>
        </w:tc>
      </w:tr>
      <w:tr w:rsidR="00B71177" w:rsidTr="00D61AFE">
        <w:trPr>
          <w:trHeight w:val="5798"/>
        </w:trPr>
        <w:tc>
          <w:tcPr>
            <w:tcW w:w="2551" w:type="dxa"/>
          </w:tcPr>
          <w:p w:rsidR="00B71177" w:rsidRDefault="00B71177" w:rsidP="00B71177">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Lietuvos Respublikos </w:t>
            </w:r>
            <w:r w:rsidR="00206BA5">
              <w:rPr>
                <w:rFonts w:ascii="Times New Roman" w:eastAsia="Times New Roman" w:hAnsi="Times New Roman" w:cs="Times New Roman"/>
                <w:sz w:val="24"/>
                <w:szCs w:val="24"/>
              </w:rPr>
              <w:t>finansų ministerija,</w:t>
            </w:r>
            <w:r>
              <w:rPr>
                <w:rFonts w:ascii="Times New Roman" w:eastAsia="Times New Roman" w:hAnsi="Times New Roman" w:cs="Times New Roman"/>
                <w:sz w:val="24"/>
                <w:szCs w:val="24"/>
              </w:rPr>
              <w:t xml:space="preserve"> 2019-05-14</w:t>
            </w:r>
            <w:r w:rsidR="00206BA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Nr. </w:t>
            </w:r>
            <w:r w:rsidRPr="00B71177">
              <w:rPr>
                <w:rFonts w:ascii="Times New Roman" w:eastAsia="Times New Roman" w:hAnsi="Times New Roman" w:cs="Times New Roman"/>
                <w:sz w:val="24"/>
                <w:szCs w:val="24"/>
              </w:rPr>
              <w:t>6K-1902663</w:t>
            </w:r>
          </w:p>
        </w:tc>
        <w:tc>
          <w:tcPr>
            <w:tcW w:w="5673" w:type="dxa"/>
          </w:tcPr>
          <w:p w:rsidR="00B71177" w:rsidRPr="00B71177" w:rsidRDefault="00206BA5" w:rsidP="00B71177">
            <w:pPr>
              <w:jc w:val="both"/>
              <w:rPr>
                <w:rFonts w:ascii="Times New Roman" w:hAnsi="Times New Roman" w:cs="Times New Roman"/>
                <w:sz w:val="24"/>
                <w:szCs w:val="24"/>
              </w:rPr>
            </w:pPr>
            <w:r>
              <w:rPr>
                <w:rFonts w:ascii="Times New Roman" w:hAnsi="Times New Roman" w:cs="Times New Roman"/>
                <w:sz w:val="24"/>
                <w:szCs w:val="24"/>
              </w:rPr>
              <w:t xml:space="preserve">&lt;...&gt; </w:t>
            </w:r>
            <w:r w:rsidRPr="00206BA5">
              <w:rPr>
                <w:rFonts w:ascii="Times New Roman" w:hAnsi="Times New Roman" w:cs="Times New Roman"/>
                <w:sz w:val="24"/>
                <w:szCs w:val="24"/>
              </w:rPr>
              <w:t>norėtume pažymėti, kad naujos viešosios įstaigos Bendrystės ir inovacijų centro (toliau – viešoji įstaiga) steigimas galimai prieštarauja 2018 m. gegužės 16 d. Vyriausybės nutarimu Nr.</w:t>
            </w:r>
            <w:r w:rsidR="00371354">
              <w:rPr>
                <w:rFonts w:ascii="Times New Roman" w:hAnsi="Times New Roman" w:cs="Times New Roman"/>
                <w:sz w:val="24"/>
                <w:szCs w:val="24"/>
              </w:rPr>
              <w:t xml:space="preserve"> </w:t>
            </w:r>
            <w:r w:rsidRPr="00206BA5">
              <w:rPr>
                <w:rFonts w:ascii="Times New Roman" w:hAnsi="Times New Roman" w:cs="Times New Roman"/>
                <w:sz w:val="24"/>
                <w:szCs w:val="24"/>
              </w:rPr>
              <w:t>495 patvirtintam Viešojo sektoriaus įstaigų sistemos tobulinimo gairių aprašui (toliau – Gairių aprašas), kurio 5 punkte imperatyviai nustatyta, kad bet kuri nauja viešojo sektoriaus įstaiga steigiama </w:t>
            </w:r>
            <w:r w:rsidRPr="00206BA5">
              <w:rPr>
                <w:rFonts w:ascii="Times New Roman" w:hAnsi="Times New Roman" w:cs="Times New Roman"/>
                <w:i/>
                <w:iCs/>
                <w:sz w:val="24"/>
                <w:szCs w:val="24"/>
              </w:rPr>
              <w:t>tik tada, kai</w:t>
            </w:r>
            <w:r w:rsidRPr="00206BA5">
              <w:rPr>
                <w:rFonts w:ascii="Times New Roman" w:hAnsi="Times New Roman" w:cs="Times New Roman"/>
                <w:sz w:val="24"/>
                <w:szCs w:val="24"/>
              </w:rPr>
              <w:t> tai pagrįstai būtina ir nėra galimybės pasiekti užsibrėžtų tikslų kitomis priemonėmis. Gairių aprašo 6 punkte nustatyta, kad </w:t>
            </w:r>
            <w:r w:rsidRPr="00206BA5">
              <w:rPr>
                <w:rFonts w:ascii="Times New Roman" w:hAnsi="Times New Roman" w:cs="Times New Roman"/>
                <w:i/>
                <w:iCs/>
                <w:sz w:val="24"/>
                <w:szCs w:val="24"/>
              </w:rPr>
              <w:t>visais atvejais</w:t>
            </w:r>
            <w:r w:rsidRPr="00206BA5">
              <w:rPr>
                <w:rFonts w:ascii="Times New Roman" w:hAnsi="Times New Roman" w:cs="Times New Roman"/>
                <w:sz w:val="24"/>
                <w:szCs w:val="24"/>
              </w:rPr>
              <w:t xml:space="preserve"> turi būti įvertinama galimybė naujas funkcijas pavesti jau veikiančiai viešojo sektoriaus įstaigai (ar veikiančioms viešojo sektoriaus įstaigoms) arba įvertinamos su naujų funkcijų sritimi susijusių jau veikiančių viešojo sektoriaus įstaigų reorganizavimo ar pertvarkymo galimybės. Pažymėtina, kad pagal viešosios įstaigos steigimo aktą bus siekiama tokių pat tikslų, kokie yra šiuo metu nustatyti viešosios įstaigos Vilniaus kultūros, pramogų ir sporto rūmų įstatuose, patvirtintuose vidaus reikalų ministro 2017 m. spalio 31 d. įsakymu Nr. 1V-756. Taip pat, pagal Gairių aprašo 7 punktą teikiant siūlymą įsteigti naują viešojo sektoriaus įstaigą, kartu turi būti pateiktas išsamus siūlomo sprendimo pagrindimas, </w:t>
            </w:r>
            <w:r w:rsidRPr="00206BA5">
              <w:rPr>
                <w:rFonts w:ascii="Times New Roman" w:hAnsi="Times New Roman" w:cs="Times New Roman"/>
                <w:sz w:val="24"/>
                <w:szCs w:val="24"/>
              </w:rPr>
              <w:lastRenderedPageBreak/>
              <w:t>apimantis visų galimų alternatyvų, atitinkančių Gairių 5 ir 6 punktų nuostatas (taip pat ir tų, kurios buvo nagrinėtos ir</w:t>
            </w:r>
            <w:r w:rsidR="00D61AFE">
              <w:rPr>
                <w:rFonts w:ascii="Times New Roman" w:hAnsi="Times New Roman" w:cs="Times New Roman"/>
                <w:sz w:val="24"/>
                <w:szCs w:val="24"/>
              </w:rPr>
              <w:t xml:space="preserve"> atmestos), analizės rezultatus.</w:t>
            </w:r>
          </w:p>
        </w:tc>
        <w:tc>
          <w:tcPr>
            <w:tcW w:w="6272" w:type="dxa"/>
          </w:tcPr>
          <w:p w:rsidR="00586C08" w:rsidRPr="00586C08" w:rsidRDefault="00371354" w:rsidP="00586C08">
            <w:pPr>
              <w:jc w:val="both"/>
              <w:rPr>
                <w:rFonts w:ascii="Times New Roman" w:hAnsi="Times New Roman" w:cs="Times New Roman"/>
                <w:sz w:val="24"/>
                <w:szCs w:val="24"/>
              </w:rPr>
            </w:pPr>
            <w:r>
              <w:rPr>
                <w:rFonts w:ascii="Times New Roman" w:hAnsi="Times New Roman" w:cs="Times New Roman"/>
                <w:b/>
                <w:sz w:val="24"/>
                <w:szCs w:val="24"/>
              </w:rPr>
              <w:lastRenderedPageBreak/>
              <w:t>Neatsižvelgta.</w:t>
            </w:r>
            <w:r w:rsidRPr="00371354">
              <w:rPr>
                <w:rFonts w:ascii="Times New Roman" w:hAnsi="Times New Roman" w:cs="Times New Roman"/>
                <w:sz w:val="24"/>
                <w:szCs w:val="24"/>
              </w:rPr>
              <w:t xml:space="preserve"> </w:t>
            </w:r>
            <w:r>
              <w:rPr>
                <w:rFonts w:ascii="Times New Roman" w:hAnsi="Times New Roman" w:cs="Times New Roman"/>
                <w:sz w:val="24"/>
                <w:szCs w:val="24"/>
              </w:rPr>
              <w:t>Prieš</w:t>
            </w:r>
            <w:r w:rsidRPr="00371354">
              <w:rPr>
                <w:rFonts w:ascii="Times New Roman" w:hAnsi="Times New Roman" w:cs="Times New Roman"/>
                <w:sz w:val="24"/>
                <w:szCs w:val="24"/>
              </w:rPr>
              <w:t xml:space="preserve"> priimant sprendimą siūlyti steigti Centrą, </w:t>
            </w:r>
            <w:r w:rsidRPr="00586C08">
              <w:rPr>
                <w:rFonts w:ascii="Times New Roman" w:hAnsi="Times New Roman" w:cs="Times New Roman"/>
                <w:sz w:val="24"/>
                <w:szCs w:val="24"/>
              </w:rPr>
              <w:t xml:space="preserve">situacija buvo išsamiai išanalizuota ir galimybių vykdyti visuomenišką, švietėjišką veiklą bei pasiekti užsibrėžtus tikslus kitomis priemonėmis nebuvo rasta. </w:t>
            </w:r>
            <w:r w:rsidR="00586C08" w:rsidRPr="00586C08">
              <w:rPr>
                <w:rFonts w:ascii="Times New Roman" w:hAnsi="Times New Roman" w:cs="Times New Roman"/>
                <w:sz w:val="24"/>
                <w:szCs w:val="24"/>
              </w:rPr>
              <w:t xml:space="preserve">Kaip </w:t>
            </w:r>
            <w:r w:rsidR="001D1EDF">
              <w:rPr>
                <w:rFonts w:ascii="Times New Roman" w:hAnsi="Times New Roman" w:cs="Times New Roman"/>
                <w:sz w:val="24"/>
                <w:szCs w:val="24"/>
              </w:rPr>
              <w:t>nurodyta</w:t>
            </w:r>
            <w:r w:rsidR="00586C08" w:rsidRPr="00586C08">
              <w:rPr>
                <w:rFonts w:ascii="Times New Roman" w:hAnsi="Times New Roman" w:cs="Times New Roman"/>
                <w:sz w:val="24"/>
                <w:szCs w:val="24"/>
              </w:rPr>
              <w:t xml:space="preserve"> pastaboje, Centro steigimo dokumentuose nurodytos veiklos šiuo metu sutampa su veiklomis, įtvirtintomis viešosios įstaigos Vilniaus kultūros, pramogų ir sporto rūmų įstatuose, patvirtintuose vidaus reikalų ministro 2017 m. spalio 31 d. įsakymu Nr. 1V-756 „Dėl Viešosios įstaigos Vilniaus kultūros, pramogų ir sporto rūmų įstatų patvirtinimo“. Taip yra todėl, kad Centrui ketinamos pavesti funkcijos iki šiol buvo pavestos Vilniaus kultūros, pramogų ir sporto rūmams</w:t>
            </w:r>
            <w:r w:rsidR="00DC4206">
              <w:rPr>
                <w:rFonts w:ascii="Times New Roman" w:hAnsi="Times New Roman" w:cs="Times New Roman"/>
                <w:sz w:val="24"/>
                <w:szCs w:val="24"/>
              </w:rPr>
              <w:t xml:space="preserve"> (toliau – Rūmai)</w:t>
            </w:r>
            <w:r w:rsidR="00586C08" w:rsidRPr="00586C08">
              <w:rPr>
                <w:rFonts w:ascii="Times New Roman" w:hAnsi="Times New Roman" w:cs="Times New Roman"/>
                <w:sz w:val="24"/>
                <w:szCs w:val="24"/>
              </w:rPr>
              <w:t xml:space="preserve">, tačiau </w:t>
            </w:r>
            <w:r w:rsidR="00DC4206">
              <w:rPr>
                <w:rFonts w:ascii="Times New Roman" w:hAnsi="Times New Roman" w:cs="Times New Roman"/>
                <w:sz w:val="24"/>
                <w:szCs w:val="24"/>
              </w:rPr>
              <w:t>jos visiškai nėra susijusios</w:t>
            </w:r>
            <w:r w:rsidR="00586C08" w:rsidRPr="00586C08">
              <w:rPr>
                <w:rFonts w:ascii="Times New Roman" w:hAnsi="Times New Roman" w:cs="Times New Roman"/>
                <w:sz w:val="24"/>
                <w:szCs w:val="24"/>
              </w:rPr>
              <w:t xml:space="preserve"> su </w:t>
            </w:r>
            <w:r w:rsidR="00DC4206">
              <w:rPr>
                <w:rFonts w:ascii="Times New Roman" w:hAnsi="Times New Roman" w:cs="Times New Roman"/>
                <w:sz w:val="24"/>
                <w:szCs w:val="24"/>
              </w:rPr>
              <w:t>Rūmų</w:t>
            </w:r>
            <w:r w:rsidR="00586C08" w:rsidRPr="00586C08">
              <w:rPr>
                <w:rFonts w:ascii="Times New Roman" w:hAnsi="Times New Roman" w:cs="Times New Roman"/>
                <w:sz w:val="24"/>
                <w:szCs w:val="24"/>
              </w:rPr>
              <w:t xml:space="preserve"> veiklos specifika, todėl toks sprendimas nepasiteisino ir realiai jokios veiklos nebuvo vykdomos. Dėl šios priežasties buvo nuspręsta steigti naują viešąją įstaigą, kuri galėtų, vykdydama įstatuose numatytas veiklas, pilnavertiškai siekti jai pavestų tikslų.</w:t>
            </w:r>
          </w:p>
          <w:p w:rsidR="00B71177" w:rsidRPr="006F585D" w:rsidRDefault="00371354" w:rsidP="00DC4206">
            <w:pPr>
              <w:jc w:val="both"/>
              <w:rPr>
                <w:rFonts w:ascii="Times New Roman" w:hAnsi="Times New Roman" w:cs="Times New Roman"/>
                <w:b/>
                <w:sz w:val="24"/>
                <w:szCs w:val="24"/>
              </w:rPr>
            </w:pPr>
            <w:r w:rsidRPr="00586C08">
              <w:rPr>
                <w:rFonts w:ascii="Times New Roman" w:hAnsi="Times New Roman" w:cs="Times New Roman"/>
                <w:sz w:val="24"/>
                <w:szCs w:val="24"/>
              </w:rPr>
              <w:t xml:space="preserve">Įsteigus Centrą, </w:t>
            </w:r>
            <w:r w:rsidR="00DC4206">
              <w:rPr>
                <w:rFonts w:ascii="Times New Roman" w:hAnsi="Times New Roman" w:cs="Times New Roman"/>
                <w:sz w:val="24"/>
                <w:szCs w:val="24"/>
              </w:rPr>
              <w:t>R</w:t>
            </w:r>
            <w:bookmarkStart w:id="0" w:name="_GoBack"/>
            <w:bookmarkEnd w:id="0"/>
            <w:r w:rsidRPr="00586C08">
              <w:rPr>
                <w:rFonts w:ascii="Times New Roman" w:hAnsi="Times New Roman" w:cs="Times New Roman"/>
                <w:sz w:val="24"/>
                <w:szCs w:val="24"/>
              </w:rPr>
              <w:t xml:space="preserve">ūmų </w:t>
            </w:r>
            <w:r w:rsidR="00586C08" w:rsidRPr="00586C08">
              <w:rPr>
                <w:rFonts w:ascii="Times New Roman" w:hAnsi="Times New Roman" w:cs="Times New Roman"/>
                <w:sz w:val="24"/>
                <w:szCs w:val="24"/>
              </w:rPr>
              <w:t xml:space="preserve">įstatai </w:t>
            </w:r>
            <w:r w:rsidRPr="00586C08">
              <w:rPr>
                <w:rFonts w:ascii="Times New Roman" w:hAnsi="Times New Roman" w:cs="Times New Roman"/>
                <w:sz w:val="24"/>
                <w:szCs w:val="24"/>
              </w:rPr>
              <w:t>bus koreguojami, panaikinant atitinkamas nuostatas ir aiškiai atribojant skirtumus tarp šių dviejų įstaigų.</w:t>
            </w:r>
          </w:p>
        </w:tc>
      </w:tr>
      <w:tr w:rsidR="00B71177" w:rsidTr="00D61AFE">
        <w:trPr>
          <w:trHeight w:val="5783"/>
        </w:trPr>
        <w:tc>
          <w:tcPr>
            <w:tcW w:w="2551" w:type="dxa"/>
          </w:tcPr>
          <w:p w:rsidR="00B71177" w:rsidRDefault="00B71177" w:rsidP="00B71177">
            <w:pPr>
              <w:rPr>
                <w:rFonts w:ascii="Times New Roman" w:eastAsia="Times New Roman" w:hAnsi="Times New Roman" w:cs="Times New Roman"/>
                <w:sz w:val="24"/>
                <w:szCs w:val="24"/>
              </w:rPr>
            </w:pPr>
          </w:p>
        </w:tc>
        <w:tc>
          <w:tcPr>
            <w:tcW w:w="5673" w:type="dxa"/>
          </w:tcPr>
          <w:p w:rsidR="00B71177" w:rsidRPr="00B71177" w:rsidRDefault="00206BA5" w:rsidP="00B71177">
            <w:pPr>
              <w:jc w:val="both"/>
              <w:rPr>
                <w:rFonts w:ascii="Times New Roman" w:hAnsi="Times New Roman" w:cs="Times New Roman"/>
                <w:sz w:val="24"/>
                <w:szCs w:val="24"/>
              </w:rPr>
            </w:pPr>
            <w:r>
              <w:rPr>
                <w:rFonts w:ascii="Times New Roman" w:hAnsi="Times New Roman" w:cs="Times New Roman"/>
                <w:sz w:val="24"/>
                <w:szCs w:val="24"/>
              </w:rPr>
              <w:t xml:space="preserve">&lt;...&gt; </w:t>
            </w:r>
            <w:r w:rsidRPr="00206BA5">
              <w:rPr>
                <w:rFonts w:ascii="Times New Roman" w:hAnsi="Times New Roman" w:cs="Times New Roman"/>
                <w:sz w:val="24"/>
                <w:szCs w:val="24"/>
              </w:rPr>
              <w:t>galima daryti išvadas, kad ketinama steigti viešoji įstaiga savo veiklos pobūdžiu nebus viešojo administravimo įstaiga, nors pagal Gairių aprašo 33 punktą valstybė galėtų dalyvauti tik tose viešosiose įstaigose, kurios vykdo viešojo administravimo veiklą, teikia viešąsias paslaugas ar atlieka kitas valstybei ar savivaldybei svarbias funkcijas. Manytume, kad ketinamos steigti viešosios įstaigos veiklos turinys atitiktų asociacijoms būdingas veiklas. Abejones dėl naujos viešosios įstaigos veiklos atitikties Gairių aprašo reikalavimams pagrindžia ir tai, kad teikiant nutarimo projektą dėl valstybės piniginių išteklių investavimo nėra atskleista informacija, kiek planuojama įdarbinti darbuotojų šioje įstaigoje, iš kokių šaltinių bus  finansuojamos šios įstaigos veiklos sąnaudos/išlaidos, kokie pajamų šaltiniai užtikrins šios įstaigos veiklų vykdymą, ar reikės/nereikės valstybės biudžeto lėšų veikloms finansuoti.</w:t>
            </w:r>
          </w:p>
        </w:tc>
        <w:tc>
          <w:tcPr>
            <w:tcW w:w="6272" w:type="dxa"/>
          </w:tcPr>
          <w:p w:rsidR="00B71177" w:rsidRDefault="00C85492" w:rsidP="00C85492">
            <w:pPr>
              <w:jc w:val="both"/>
              <w:rPr>
                <w:rFonts w:ascii="Times New Roman" w:hAnsi="Times New Roman" w:cs="Times New Roman"/>
                <w:sz w:val="24"/>
                <w:szCs w:val="24"/>
              </w:rPr>
            </w:pPr>
            <w:r>
              <w:rPr>
                <w:rFonts w:ascii="Times New Roman" w:hAnsi="Times New Roman" w:cs="Times New Roman"/>
                <w:b/>
                <w:sz w:val="24"/>
                <w:szCs w:val="24"/>
              </w:rPr>
              <w:t>Neatsižvelgta.</w:t>
            </w:r>
            <w:r>
              <w:rPr>
                <w:rFonts w:ascii="Times New Roman" w:hAnsi="Times New Roman" w:cs="Times New Roman"/>
                <w:sz w:val="24"/>
                <w:szCs w:val="24"/>
              </w:rPr>
              <w:t xml:space="preserve"> </w:t>
            </w:r>
            <w:r w:rsidRPr="00B8455A">
              <w:rPr>
                <w:rFonts w:ascii="Times New Roman" w:hAnsi="Times New Roman" w:cs="Times New Roman"/>
                <w:sz w:val="24"/>
                <w:szCs w:val="24"/>
              </w:rPr>
              <w:t xml:space="preserve">Centras teiks viešąsias paslaugas ir atliks kitas valstybei svarbias funkcijas, </w:t>
            </w:r>
            <w:r>
              <w:rPr>
                <w:rFonts w:ascii="Times New Roman" w:hAnsi="Times New Roman" w:cs="Times New Roman"/>
                <w:sz w:val="24"/>
                <w:szCs w:val="24"/>
              </w:rPr>
              <w:t xml:space="preserve">todėl </w:t>
            </w:r>
            <w:r w:rsidRPr="00B8455A">
              <w:rPr>
                <w:rFonts w:ascii="Times New Roman" w:hAnsi="Times New Roman" w:cs="Times New Roman"/>
                <w:sz w:val="24"/>
                <w:szCs w:val="24"/>
              </w:rPr>
              <w:t>valstybė gali dalyvauti tokioje viešojoje įstaigoje.</w:t>
            </w:r>
          </w:p>
          <w:p w:rsidR="00C85492" w:rsidRPr="00C85492" w:rsidRDefault="00C85492" w:rsidP="00C85492">
            <w:pPr>
              <w:jc w:val="both"/>
              <w:rPr>
                <w:rFonts w:ascii="Times New Roman" w:hAnsi="Times New Roman" w:cs="Times New Roman"/>
                <w:sz w:val="24"/>
                <w:szCs w:val="24"/>
              </w:rPr>
            </w:pPr>
            <w:r>
              <w:rPr>
                <w:rFonts w:ascii="Times New Roman" w:hAnsi="Times New Roman" w:cs="Times New Roman"/>
                <w:sz w:val="24"/>
                <w:szCs w:val="24"/>
              </w:rPr>
              <w:t>S</w:t>
            </w:r>
            <w:r w:rsidRPr="00C85492">
              <w:rPr>
                <w:rFonts w:ascii="Times New Roman" w:hAnsi="Times New Roman" w:cs="Times New Roman"/>
                <w:sz w:val="24"/>
                <w:szCs w:val="24"/>
              </w:rPr>
              <w:t>teigimo akte</w:t>
            </w:r>
            <w:r>
              <w:rPr>
                <w:rFonts w:ascii="Times New Roman" w:hAnsi="Times New Roman" w:cs="Times New Roman"/>
                <w:sz w:val="24"/>
                <w:szCs w:val="24"/>
              </w:rPr>
              <w:t xml:space="preserve"> yra numatyta, kad </w:t>
            </w:r>
            <w:r w:rsidRPr="00C85492">
              <w:rPr>
                <w:rFonts w:ascii="Times New Roman" w:hAnsi="Times New Roman" w:cs="Times New Roman"/>
                <w:sz w:val="24"/>
                <w:szCs w:val="24"/>
              </w:rPr>
              <w:t>Centrui</w:t>
            </w:r>
            <w:r>
              <w:rPr>
                <w:rFonts w:ascii="Times New Roman" w:hAnsi="Times New Roman" w:cs="Times New Roman"/>
                <w:sz w:val="24"/>
                <w:szCs w:val="24"/>
              </w:rPr>
              <w:t>,</w:t>
            </w:r>
            <w:r w:rsidRPr="00C85492">
              <w:rPr>
                <w:rFonts w:ascii="Times New Roman" w:hAnsi="Times New Roman" w:cs="Times New Roman"/>
                <w:sz w:val="24"/>
                <w:szCs w:val="24"/>
              </w:rPr>
              <w:t xml:space="preserve"> kaip valstybės įnašas, bus perduotas valstybei nuosavybės teise priklausantis finansinis turtas – 20 000 eurų iš Lietuvos Respublikos vidaus reikalų ministerijai skirtų Lietuvos Respublikos valstybės biudžeto bendrųjų asignavimų. Siūlomo dydžio valstybės įnašas bus skirtas viešosios įstaigos veiklos pradžiai, po to įstaiga išsilaikys pati, vykdydama jos įstatuose numatytas veiklas. Centro nuosavą kapitalą sudarys dalininkų kapitalas, perviršis (pelnas) ar deficitas (nuostoliai) bei rezervai iš perviršio (pelno), kaip tai numatyta Lietuvos Respublikos viešųjų įstaigų įstatyme. Gautas perviršis (pelnas) bus naudojamas tik Centro įstatuose nustatytiems Centro veiklos tikslams siekti ir nebus skiriamas Centro dalininkams, valdymo organų nariams, darbuotojų premijoms. Valstybės biudžeto lėšos šio Centro išlaikymui nebus naudojamos. Darbuotojų skaičius Centre kol kas nėra numatytas, tačiau to numatyti viešosios įstaigos steigimo etape nėra būtina.</w:t>
            </w:r>
          </w:p>
        </w:tc>
      </w:tr>
    </w:tbl>
    <w:p w:rsidR="003F7602" w:rsidRDefault="003F7602"/>
    <w:p w:rsidR="008F663C" w:rsidRDefault="00205FDB" w:rsidP="00205FDB">
      <w:pPr>
        <w:jc w:val="center"/>
      </w:pPr>
      <w:r>
        <w:t>__________________</w:t>
      </w:r>
      <w:r w:rsidR="00D61AFE">
        <w:t>__</w:t>
      </w:r>
    </w:p>
    <w:sectPr w:rsidR="008F663C" w:rsidSect="00D61AFE">
      <w:pgSz w:w="16838" w:h="11906" w:orient="landscape"/>
      <w:pgMar w:top="1701" w:right="567" w:bottom="1134"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3BB3" w:rsidRDefault="006F3BB3" w:rsidP="008F663C">
      <w:pPr>
        <w:spacing w:after="0" w:line="240" w:lineRule="auto"/>
      </w:pPr>
      <w:r>
        <w:separator/>
      </w:r>
    </w:p>
  </w:endnote>
  <w:endnote w:type="continuationSeparator" w:id="0">
    <w:p w:rsidR="006F3BB3" w:rsidRDefault="006F3BB3" w:rsidP="008F6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3BB3" w:rsidRDefault="006F3BB3" w:rsidP="008F663C">
      <w:pPr>
        <w:spacing w:after="0" w:line="240" w:lineRule="auto"/>
      </w:pPr>
      <w:r>
        <w:separator/>
      </w:r>
    </w:p>
  </w:footnote>
  <w:footnote w:type="continuationSeparator" w:id="0">
    <w:p w:rsidR="006F3BB3" w:rsidRDefault="006F3BB3" w:rsidP="008F66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82AF0"/>
    <w:multiLevelType w:val="multilevel"/>
    <w:tmpl w:val="033E9D48"/>
    <w:lvl w:ilvl="0">
      <w:start w:val="1"/>
      <w:numFmt w:val="decimal"/>
      <w:lvlText w:val="%1."/>
      <w:lvlJc w:val="left"/>
      <w:pPr>
        <w:ind w:left="720" w:hanging="360"/>
      </w:pPr>
      <w:rPr>
        <w:rFonts w:ascii="Times New Roman" w:hAnsi="Times New Roman" w:cs="Times New Roman" w:hint="default"/>
        <w:sz w:val="24"/>
      </w:rPr>
    </w:lvl>
    <w:lvl w:ilvl="1">
      <w:start w:val="1"/>
      <w:numFmt w:val="decimal"/>
      <w:isLgl/>
      <w:lvlText w:val="%2."/>
      <w:lvlJc w:val="left"/>
      <w:pPr>
        <w:ind w:left="1656" w:hanging="360"/>
      </w:pPr>
      <w:rPr>
        <w:rFonts w:ascii="Times New Roman" w:eastAsiaTheme="minorHAnsi" w:hAnsi="Times New Roman" w:cs="Times New Roman"/>
        <w:sz w:val="24"/>
      </w:rPr>
    </w:lvl>
    <w:lvl w:ilvl="2">
      <w:start w:val="1"/>
      <w:numFmt w:val="decimal"/>
      <w:isLgl/>
      <w:lvlText w:val="%1.%2.%3."/>
      <w:lvlJc w:val="left"/>
      <w:pPr>
        <w:ind w:left="2952" w:hanging="720"/>
      </w:pPr>
      <w:rPr>
        <w:rFonts w:ascii="Times New Roman" w:hAnsi="Times New Roman" w:cs="Times New Roman" w:hint="default"/>
        <w:sz w:val="24"/>
      </w:rPr>
    </w:lvl>
    <w:lvl w:ilvl="3">
      <w:start w:val="1"/>
      <w:numFmt w:val="decimal"/>
      <w:isLgl/>
      <w:lvlText w:val="%1.%2.%3.%4."/>
      <w:lvlJc w:val="left"/>
      <w:pPr>
        <w:ind w:left="3888" w:hanging="720"/>
      </w:pPr>
      <w:rPr>
        <w:rFonts w:ascii="Times New Roman" w:hAnsi="Times New Roman" w:cs="Times New Roman" w:hint="default"/>
        <w:sz w:val="24"/>
      </w:rPr>
    </w:lvl>
    <w:lvl w:ilvl="4">
      <w:start w:val="1"/>
      <w:numFmt w:val="decimal"/>
      <w:isLgl/>
      <w:lvlText w:val="%1.%2.%3.%4.%5."/>
      <w:lvlJc w:val="left"/>
      <w:pPr>
        <w:ind w:left="5184" w:hanging="1080"/>
      </w:pPr>
      <w:rPr>
        <w:rFonts w:ascii="Times New Roman" w:hAnsi="Times New Roman" w:cs="Times New Roman" w:hint="default"/>
        <w:sz w:val="24"/>
      </w:rPr>
    </w:lvl>
    <w:lvl w:ilvl="5">
      <w:start w:val="1"/>
      <w:numFmt w:val="decimal"/>
      <w:isLgl/>
      <w:lvlText w:val="%1.%2.%3.%4.%5.%6."/>
      <w:lvlJc w:val="left"/>
      <w:pPr>
        <w:ind w:left="6120" w:hanging="1080"/>
      </w:pPr>
      <w:rPr>
        <w:rFonts w:ascii="Times New Roman" w:hAnsi="Times New Roman" w:cs="Times New Roman" w:hint="default"/>
        <w:sz w:val="24"/>
      </w:rPr>
    </w:lvl>
    <w:lvl w:ilvl="6">
      <w:start w:val="1"/>
      <w:numFmt w:val="decimal"/>
      <w:isLgl/>
      <w:lvlText w:val="%1.%2.%3.%4.%5.%6.%7."/>
      <w:lvlJc w:val="left"/>
      <w:pPr>
        <w:ind w:left="7416" w:hanging="1440"/>
      </w:pPr>
      <w:rPr>
        <w:rFonts w:ascii="Times New Roman" w:hAnsi="Times New Roman" w:cs="Times New Roman" w:hint="default"/>
        <w:sz w:val="24"/>
      </w:rPr>
    </w:lvl>
    <w:lvl w:ilvl="7">
      <w:start w:val="1"/>
      <w:numFmt w:val="decimal"/>
      <w:isLgl/>
      <w:lvlText w:val="%1.%2.%3.%4.%5.%6.%7.%8."/>
      <w:lvlJc w:val="left"/>
      <w:pPr>
        <w:ind w:left="8352" w:hanging="1440"/>
      </w:pPr>
      <w:rPr>
        <w:rFonts w:ascii="Times New Roman" w:hAnsi="Times New Roman" w:cs="Times New Roman" w:hint="default"/>
        <w:sz w:val="24"/>
      </w:rPr>
    </w:lvl>
    <w:lvl w:ilvl="8">
      <w:start w:val="1"/>
      <w:numFmt w:val="decimal"/>
      <w:isLgl/>
      <w:lvlText w:val="%1.%2.%3.%4.%5.%6.%7.%8.%9."/>
      <w:lvlJc w:val="left"/>
      <w:pPr>
        <w:ind w:left="9648" w:hanging="1800"/>
      </w:pPr>
      <w:rPr>
        <w:rFonts w:ascii="Times New Roman" w:hAnsi="Times New Roman" w:cs="Times New Roman" w:hint="default"/>
        <w:sz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2CD"/>
    <w:rsid w:val="000A1017"/>
    <w:rsid w:val="000B26A5"/>
    <w:rsid w:val="001D1EDF"/>
    <w:rsid w:val="00205FDB"/>
    <w:rsid w:val="00206BA5"/>
    <w:rsid w:val="00371354"/>
    <w:rsid w:val="003F7602"/>
    <w:rsid w:val="004305FB"/>
    <w:rsid w:val="00586C08"/>
    <w:rsid w:val="005A4FFD"/>
    <w:rsid w:val="00670EEF"/>
    <w:rsid w:val="006F3BB3"/>
    <w:rsid w:val="006F585D"/>
    <w:rsid w:val="00712924"/>
    <w:rsid w:val="0073538D"/>
    <w:rsid w:val="007E2CD7"/>
    <w:rsid w:val="008F663C"/>
    <w:rsid w:val="00B71177"/>
    <w:rsid w:val="00B8455A"/>
    <w:rsid w:val="00C62E66"/>
    <w:rsid w:val="00C85492"/>
    <w:rsid w:val="00D10B9D"/>
    <w:rsid w:val="00D61AFE"/>
    <w:rsid w:val="00DC4206"/>
    <w:rsid w:val="00DD27DA"/>
    <w:rsid w:val="00EC02CD"/>
    <w:rsid w:val="00F82F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8F91B9-6E3D-43C7-B788-D56292649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8F66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8F663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F663C"/>
  </w:style>
  <w:style w:type="paragraph" w:styleId="Porat">
    <w:name w:val="footer"/>
    <w:basedOn w:val="prastasis"/>
    <w:link w:val="PoratDiagrama"/>
    <w:uiPriority w:val="99"/>
    <w:unhideWhenUsed/>
    <w:rsid w:val="008F663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F663C"/>
  </w:style>
  <w:style w:type="paragraph" w:styleId="Sraopastraipa">
    <w:name w:val="List Paragraph"/>
    <w:basedOn w:val="prastasis"/>
    <w:uiPriority w:val="34"/>
    <w:qFormat/>
    <w:rsid w:val="008F663C"/>
    <w:pPr>
      <w:ind w:left="720"/>
      <w:contextualSpacing/>
    </w:pPr>
  </w:style>
  <w:style w:type="character" w:styleId="Hipersaitas">
    <w:name w:val="Hyperlink"/>
    <w:basedOn w:val="Numatytasispastraiposriftas"/>
    <w:uiPriority w:val="99"/>
    <w:semiHidden/>
    <w:unhideWhenUsed/>
    <w:rsid w:val="007353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5</Pages>
  <Words>6501</Words>
  <Characters>3706</Characters>
  <Application>Microsoft Office Word</Application>
  <DocSecurity>0</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Žvaigždinienė</dc:creator>
  <cp:keywords/>
  <dc:description/>
  <cp:lastModifiedBy>Augustė Jucienė</cp:lastModifiedBy>
  <cp:revision>13</cp:revision>
  <dcterms:created xsi:type="dcterms:W3CDTF">2017-04-28T08:33:00Z</dcterms:created>
  <dcterms:modified xsi:type="dcterms:W3CDTF">2019-05-21T13:34:00Z</dcterms:modified>
</cp:coreProperties>
</file>