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05ac8a25457428aa4365c5f09a0cdf0"/>
        <w:lock w:val="sdtLocked"/>
        <w:richText/>
      </w:sdtPr>
      <w:sdtContent>
        <w:p>
          <w:pPr>
            <w:keepNext/>
            <w:spacing w:line="360" w:lineRule="atLeast"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spacing w:line="360" w:lineRule="atLeast"/>
            <w:jc w:val="both"/>
            <w:rPr>
              <w:b/>
              <w:lang w:eastAsia="lt-LT"/>
            </w:rPr>
          </w:pPr>
        </w:p>
        <w:p>
          <w:pPr>
            <w:keepNext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>
          <w:pPr>
            <w:jc w:val="center"/>
            <w:rPr>
              <w:rFonts w:ascii="MS Serif" w:hAnsi="MS Serif"/>
              <w:sz w:val="20"/>
              <w:lang w:eastAsia="lt-LT"/>
            </w:rPr>
          </w:pPr>
        </w:p>
        <w:p>
          <w:pPr>
            <w:keepNext/>
            <w:jc w:val="center"/>
            <w:rPr>
              <w:rFonts w:ascii="Courier New" w:hAnsi="Courier New"/>
              <w:b/>
              <w:lang w:eastAsia="lt-LT"/>
            </w:rPr>
          </w:pPr>
          <w:r>
            <w:rPr>
              <w:rFonts w:ascii="TimesLT" w:hAnsi="TimesLT"/>
              <w:b/>
              <w:lang w:eastAsia="lt-LT"/>
            </w:rPr>
            <w:t>NUTARIMAS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</w:t>
          </w:r>
          <w:r>
            <w:rPr>
              <w:b/>
              <w:bCs/>
              <w:caps/>
              <w:szCs w:val="24"/>
              <w:lang w:eastAsia="lt-LT"/>
            </w:rPr>
            <w:t>LIETUVOS RESPUBLIKOS</w:t>
          </w:r>
          <w:r>
            <w:rPr>
              <w:b/>
              <w:szCs w:val="24"/>
              <w:lang w:eastAsia="lt-LT"/>
            </w:rPr>
            <w:t xml:space="preserve"> </w:t>
          </w:r>
          <w:r>
            <w:rPr>
              <w:b/>
              <w:bCs/>
              <w:szCs w:val="24"/>
            </w:rPr>
            <w:t xml:space="preserve">GYVENTOJŲ PAJAMŲ </w:t>
          </w:r>
          <w:r>
            <w:rPr>
              <w:b/>
              <w:bCs/>
              <w:caps/>
              <w:szCs w:val="24"/>
              <w:lang w:eastAsia="lt-LT"/>
            </w:rPr>
            <w:t xml:space="preserve">MOKESČIO ĮSTATYMO NR. </w:t>
          </w:r>
          <w:r>
            <w:rPr>
              <w:b/>
              <w:szCs w:val="24"/>
            </w:rPr>
            <w:t xml:space="preserve">IX-1007 </w:t>
          </w:r>
          <w:r>
            <w:rPr>
              <w:b/>
              <w:bCs/>
              <w:caps/>
              <w:szCs w:val="24"/>
              <w:lang w:eastAsia="lt-LT"/>
            </w:rPr>
            <w:t xml:space="preserve">21 STRAIPSNIO PAKEITIMO </w:t>
          </w:r>
          <w:r>
            <w:rPr>
              <w:b/>
              <w:szCs w:val="24"/>
            </w:rPr>
            <w:t>ĮSTATYMO</w:t>
          </w:r>
          <w:r>
            <w:rPr>
              <w:b/>
              <w:bCs/>
              <w:szCs w:val="24"/>
              <w:lang w:eastAsia="lt-LT"/>
            </w:rPr>
            <w:t xml:space="preserve"> PROJEKTO</w:t>
          </w:r>
          <w:r>
            <w:rPr>
              <w:b/>
              <w:szCs w:val="24"/>
            </w:rPr>
            <w:t xml:space="preserve"> </w:t>
          </w: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jc w:val="both"/>
            <w:rPr>
              <w:sz w:val="28"/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2020 m.                       d. Nr.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pacing w:line="360" w:lineRule="atLeast"/>
            <w:ind w:firstLine="720"/>
            <w:jc w:val="both"/>
            <w:rPr>
              <w:lang w:eastAsia="lt-LT"/>
            </w:rPr>
          </w:pPr>
        </w:p>
        <w:sdt>
          <w:sdtPr>
            <w:alias w:val="preambule"/>
            <w:tag w:val="part_a84c2390bd9d46ba8454a2dd91b983a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8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770595510a574be0aaba1115bbbb8f80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b/>
                  <w:bCs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770595510a574be0aaba1115bbbb8f8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Pritarti Lietuvos Respublikos gyventojų pajamų mokesčio įstatymo Nr. IX-1007 21 straipsnio pakeitimo įstatymo projektui ir pateikti jį Lietuvos Respublikos Seimui.</w:t>
              </w:r>
            </w:p>
          </w:sdtContent>
        </w:sdt>
        <w:sdt>
          <w:sdtPr>
            <w:alias w:val="2 p."/>
            <w:tag w:val="part_14d4b551cf9d49688f437c541bfabd8b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4d4b551cf9d49688f437c541bfabd8b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Lietuvos Respublikos finansų ministrą</w:t>
              </w:r>
              <w:r>
                <w:rPr>
                  <w:bCs/>
                  <w:color w:val="000000"/>
                  <w:szCs w:val="24"/>
                  <w:lang w:eastAsia="lt-LT"/>
                </w:rPr>
                <w:t xml:space="preserve">, </w:t>
              </w:r>
              <w:r>
                <w:rPr>
                  <w:szCs w:val="24"/>
                  <w:lang w:eastAsia="lt-LT"/>
                </w:rPr>
                <w:t>o jam negalint dalyvauti – Lietuvos Respublikos finansų viceministrą Darių Sadecką atstovauti Lietuvos Respublikos Vyriausybei, svarstant nurodytą įstatymo projektą Lietuvos Respublikos Seime</w:t>
              </w:r>
              <w:r>
                <w:rPr>
                  <w:rFonts w:eastAsia="Calibri"/>
                  <w:color w:val="000000"/>
                  <w:szCs w:val="24"/>
                  <w:lang w:eastAsia="lt-LT"/>
                </w:rPr>
                <w:t>.</w:t>
              </w:r>
            </w:p>
            <w:p>
              <w:pPr>
                <w:tabs>
                  <w:tab w:val="left" w:pos="993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993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</w:tabs>
                <w:spacing w:line="360" w:lineRule="atLeast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22d3213529764b3ca429dc223d628aa0"/>
            <w:lock w:val="sdtLocked"/>
            <w:richText/>
          </w:sdtPr>
          <w:sdtContent>
            <w:p>
              <w:pPr>
                <w:keepNext/>
                <w:spacing w:line="360" w:lineRule="atLeast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  <w:p>
              <w:pPr>
                <w:spacing w:line="360" w:lineRule="atLeast"/>
                <w:ind w:firstLine="720"/>
                <w:jc w:val="both"/>
                <w:rPr>
                  <w:rFonts w:ascii="MS Serif" w:hAnsi="MS Serif"/>
                  <w:sz w:val="20"/>
                  <w:lang w:eastAsia="lt-LT"/>
                </w:rPr>
              </w:pPr>
            </w:p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Finansų ministras</w:t>
              </w:r>
            </w:p>
          </w:sdtContent>
        </w:sdt>
      </w:sdtContent>
    </w:sdt>
    <w:sectPr>
      <w:footnotePr>
        <w:numFmt w:val="lowerRoman"/>
      </w:footnotePr>
      <w:endnotePr>
        <w:numFmt w:val="decimal"/>
      </w:endnotePr>
      <w:pgSz w:w="11907" w:h="16834"/>
      <w:pgMar w:top="1134" w:right="851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41348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35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8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5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0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891c8f237da64963b72ece0ecde33b67" PartId="205ac8a25457428aa4365c5f09a0cdf0">
    <Part Type="preambule" DocPartId="7f3b8e16f45c4d65828f5acfa1b4abfa" PartId="a84c2390bd9d46ba8454a2dd91b983ac"/>
    <Part Type="punktas" Nr="1" Abbr="1 p." DocPartId="bb298ac2b270439b9b317d37de188619" PartId="770595510a574be0aaba1115bbbb8f80"/>
    <Part Type="punktas" Nr="2" Abbr="2 p." DocPartId="e0e9e4f9fe034d73bdd853e25ed05e77" PartId="14d4b551cf9d49688f437c541bfabd8b"/>
    <Part Type="signatura" DocPartId="108b3da5e63e4bbd8b455c9dcdc26ca2" PartId="22d3213529764b3ca429dc223d628aa0"/>
  </Part>
</Parts>
</file>

<file path=customXml/itemProps1.xml><?xml version="1.0" encoding="utf-8"?>
<ds:datastoreItem xmlns:ds="http://schemas.openxmlformats.org/officeDocument/2006/customXml" ds:itemID="{E4FB78E9-FF3F-4B07-A902-09028AF70B0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663</Characters>
  <Application>Microsoft Office Word</Application>
  <DocSecurity>4</DocSecurity>
  <Lines>26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FM</Company>
  <LinksUpToDate>false</LinksUpToDate>
  <CharactersWithSpaces>738</CharactersWithSpaces>
  <SharedDoc>false</SharedDoc>
  <HyperlinkBase/>
  <HLinks>
    <vt:vector size="6" baseType="variant"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http://172.16.0.250/Litlex/LL.DLL?Tekstas=1?Id=62018&amp;Zd=teis%EBs%2Bakt%F8%2Bprojekt%2Bnepritart&amp;BF=4</vt:lpwstr>
      </vt:variant>
      <vt:variant>
        <vt:lpwstr>2z#2z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2020-05-26T13:53:00Z</dcterms:created>
  <dc:creator>FM</dc:creator>
  <cp:lastModifiedBy>Asseco</cp:lastModifiedBy>
  <cp:lastPrinted>2017-12-01T08:23:00Z</cp:lastPrinted>
  <dcterms:modified xsi:type="dcterms:W3CDTF">2020-05-26T13:53:00Z</dcterms:modified>
  <cp:revision>2</cp:revision>
  <dc:title>Projektas</dc:title>
</cp:coreProperties>
</file>