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4a8e0e4485764516bc9f81ea98915a8c"/>
        <w:lock w:val="sdtLocked"/>
        <w:richText/>
      </w:sdtPr>
      <w:sdtContent>
        <w:p>
          <w:pPr>
            <w:jc w:val="right"/>
            <w:rPr>
              <w:b/>
              <w:lang w:eastAsia="lt-LT"/>
            </w:rPr>
          </w:pPr>
          <w:r>
            <w:rPr>
              <w:b/>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ind w:right="-2"/>
            <w:jc w:val="center"/>
            <w:rPr>
              <w:b/>
              <w:szCs w:val="24"/>
              <w:lang w:eastAsia="lt-LT"/>
            </w:rPr>
          </w:pPr>
          <w:r>
            <w:rPr>
              <w:b/>
              <w:caps/>
              <w:lang w:eastAsia="lt-LT"/>
            </w:rPr>
            <w:t xml:space="preserve">DĖL </w:t>
          </w:r>
          <w:r>
            <w:rPr>
              <w:b/>
              <w:bCs/>
              <w:szCs w:val="24"/>
              <w:lang w:eastAsia="lt-LT"/>
            </w:rPr>
            <w:t>LIETUVOS RESPUBLIKOS UŽIMTUMO ĮSTATYMO NR. XII-2470 PAPILDYMO 5</w:t>
          </w:r>
          <w:r>
            <w:rPr>
              <w:b/>
              <w:bCs/>
              <w:szCs w:val="24"/>
              <w:vertAlign w:val="superscript"/>
              <w:lang w:eastAsia="lt-LT"/>
            </w:rPr>
            <w:t>2</w:t>
          </w:r>
          <w:r>
            <w:rPr>
              <w:b/>
              <w:bCs/>
              <w:szCs w:val="24"/>
              <w:lang w:eastAsia="lt-LT"/>
            </w:rPr>
            <w:t xml:space="preserve"> STRAIPSNIU</w:t>
          </w:r>
          <w:r>
            <w:rPr>
              <w:b/>
              <w:szCs w:val="24"/>
              <w:lang w:eastAsia="lt-LT"/>
            </w:rPr>
            <w:t xml:space="preserve"> ĮSTATYMO PROJEKTO NR. XIIIP-4964 </w:t>
          </w:r>
        </w:p>
        <w:p>
          <w:pPr>
            <w:widowControl w:val="0"/>
            <w:ind w:right="-2"/>
            <w:jc w:val="center"/>
            <w:rPr>
              <w:b/>
              <w:caps/>
              <w:szCs w:val="24"/>
              <w:lang w:eastAsia="lt-LT"/>
            </w:rPr>
          </w:pPr>
        </w:p>
        <w:p>
          <w:pPr>
            <w:ind w:right="-2" w:firstLine="60"/>
            <w:jc w:val="center"/>
            <w:rPr>
              <w:lang w:eastAsia="lt-LT"/>
            </w:rPr>
          </w:pPr>
          <w:r>
            <w:rPr>
              <w:lang w:eastAsia="lt-LT"/>
            </w:rPr>
            <w:t xml:space="preserve">Nr. </w:t>
          </w:r>
        </w:p>
        <w:p>
          <w:pPr>
            <w:ind w:right="-2"/>
            <w:jc w:val="center"/>
            <w:rPr>
              <w:lang w:eastAsia="lt-LT"/>
            </w:rPr>
          </w:pPr>
          <w:r>
            <w:rPr>
              <w:lang w:eastAsia="lt-LT"/>
            </w:rPr>
            <w:t>Vilnius</w:t>
          </w:r>
        </w:p>
        <w:p>
          <w:pPr>
            <w:ind w:right="-2"/>
            <w:jc w:val="center"/>
            <w:rPr>
              <w:lang w:eastAsia="lt-LT"/>
            </w:rPr>
          </w:pPr>
        </w:p>
        <w:sdt>
          <w:sdtPr>
            <w:alias w:val="preambule"/>
            <w:tag w:val="part_eccff2b38a724e359470da4f27d116bb"/>
            <w:lock w:val="sdtLocked"/>
            <w:richText/>
          </w:sdtPr>
          <w:sdtContent>
            <w:p>
              <w:pPr>
                <w:spacing w:line="360" w:lineRule="atLeast"/>
                <w:ind w:firstLine="720"/>
                <w:jc w:val="both"/>
                <w:rPr>
                  <w:szCs w:val="24"/>
                  <w:lang w:eastAsia="lt-LT"/>
                </w:rPr>
              </w:pPr>
              <w:r>
                <w:rPr>
                  <w:szCs w:val="24"/>
                  <w:lang w:eastAsia="lt-LT"/>
                </w:rPr>
                <w:t>Vadovaudamasi Lietuvos Respublikos Seimo statuto 138 straipsnio 3 punktu ir atsižvelgdama į Lietuvos Respublikos Seimo valdybos 2020 m. birželio 18 d. sprendimo Nr. SV–S–1648 „Dėl įstatymų projektų išvadų“ 1.2 papunktį, Lietuvos Respublikos Vyriausybė n u t a r i a:</w:t>
              </w:r>
            </w:p>
          </w:sdtContent>
        </w:sdt>
        <w:sdt>
          <w:sdtPr>
            <w:alias w:val="1 p."/>
            <w:tag w:val="part_31829b03eed240b3a4a3ebe3fc2f42b4"/>
            <w:lock w:val="sdtLocked"/>
            <w:richText/>
          </w:sdtPr>
          <w:sdtContent>
            <w:p>
              <w:pPr>
                <w:spacing w:line="360" w:lineRule="atLeast"/>
                <w:ind w:firstLine="720"/>
                <w:jc w:val="both"/>
                <w:rPr>
                  <w:szCs w:val="24"/>
                  <w:lang w:eastAsia="lt-LT"/>
                </w:rPr>
              </w:pPr>
              <w:sdt>
                <w:sdtPr>
                  <w:alias w:val="Numeris"/>
                  <w:tag w:val="nr_31829b03eed240b3a4a3ebe3fc2f42b4"/>
                  <w:lock w:val="sdtLocked"/>
                  <w:richText/>
                </w:sdtPr>
                <w:sdtContent>
                  <w:r>
                    <w:rPr>
                      <w:szCs w:val="24"/>
                      <w:lang w:eastAsia="lt-LT"/>
                    </w:rPr>
                    <w:t>1</w:t>
                  </w:r>
                </w:sdtContent>
              </w:sdt>
              <w:r>
                <w:rPr>
                  <w:szCs w:val="24"/>
                  <w:lang w:eastAsia="lt-LT"/>
                </w:rPr>
                <w:t>. Iš esmės pritarti Lietuvos Respublikos užimtumo įstatymo Nr. XII-2470 papildymo 5</w:t>
              </w:r>
              <w:r>
                <w:rPr>
                  <w:szCs w:val="24"/>
                  <w:vertAlign w:val="superscript"/>
                  <w:lang w:eastAsia="lt-LT"/>
                </w:rPr>
                <w:t>2</w:t>
              </w:r>
              <w:r>
                <w:rPr>
                  <w:szCs w:val="24"/>
                  <w:lang w:eastAsia="lt-LT"/>
                </w:rPr>
                <w:t> straipsniu įstatymo projektui Nr. XIIIP-4964 (toliau – Įstatymo projektas), tačiau siūlyti Lietuvos Respublikos Seimui Įstatymo projektą tobulinti, atsižvelgiant į šiuos siūlymus:</w:t>
              </w:r>
            </w:p>
            <w:sdt>
              <w:sdtPr>
                <w:alias w:val="1.1 pp."/>
                <w:tag w:val="part_5c4ea13643bb42c2a4f139b0b297a232"/>
                <w:lock w:val="sdtLocked"/>
                <w:richText/>
              </w:sdtPr>
              <w:sdtContent>
                <w:p>
                  <w:pPr>
                    <w:spacing w:line="360" w:lineRule="atLeast"/>
                    <w:ind w:firstLine="720"/>
                    <w:jc w:val="both"/>
                    <w:rPr>
                      <w:lang w:eastAsia="lt-LT"/>
                    </w:rPr>
                  </w:pPr>
                  <w:sdt>
                    <w:sdtPr>
                      <w:alias w:val="Numeris"/>
                      <w:tag w:val="nr_5c4ea13643bb42c2a4f139b0b297a232"/>
                      <w:lock w:val="sdtLocked"/>
                      <w:richText/>
                    </w:sdtPr>
                    <w:sdtContent>
                      <w:r>
                        <w:rPr>
                          <w:szCs w:val="24"/>
                          <w:lang w:eastAsia="lt-LT"/>
                        </w:rPr>
                        <w:t>1.1</w:t>
                      </w:r>
                    </w:sdtContent>
                  </w:sdt>
                  <w:r>
                    <w:rPr>
                      <w:szCs w:val="24"/>
                      <w:lang w:eastAsia="lt-LT"/>
                    </w:rPr>
                    <w:t xml:space="preserve">. </w:t>
                  </w:r>
                  <w:r>
                    <w:rPr>
                      <w:lang w:eastAsia="lt-LT"/>
                    </w:rPr>
                    <w:t>Kadangi iš Įstatymo projekto nuostatų neaišku, kada mokama vienkartinė 400 eurų išmoka, o kada – periodinė 200 eurų išmoka, s</w:t>
                  </w:r>
                  <w:r>
                    <w:rPr>
                      <w:szCs w:val="24"/>
                      <w:lang w:eastAsia="lt-LT"/>
                    </w:rPr>
                    <w:t xml:space="preserve">iekiant teisinio aiškumo, siūlytina Įstatymo projekto </w:t>
                  </w:r>
                  <w:r>
                    <w:rPr>
                      <w:lang w:eastAsia="lt-LT"/>
                    </w:rPr>
                    <w:t xml:space="preserve">1 straipsniu keičiamo Lietuvos Respublikos užimtumo įstatymo (toliau – keičiamas įstatymas) </w:t>
                  </w:r>
                  <w:r>
                    <w:rPr>
                      <w:szCs w:val="24"/>
                      <w:lang w:eastAsia="lt-LT"/>
                    </w:rPr>
                    <w:t>5</w:t>
                  </w:r>
                  <w:r>
                    <w:rPr>
                      <w:szCs w:val="24"/>
                      <w:vertAlign w:val="superscript"/>
                      <w:lang w:eastAsia="lt-LT"/>
                    </w:rPr>
                    <w:t>2</w:t>
                  </w:r>
                  <w:r>
                    <w:rPr>
                      <w:szCs w:val="24"/>
                      <w:lang w:eastAsia="lt-LT"/>
                    </w:rPr>
                    <w:t xml:space="preserve"> straipsnio </w:t>
                  </w:r>
                  <w:r>
                    <w:rPr>
                      <w:lang w:eastAsia="lt-LT"/>
                    </w:rPr>
                    <w:t>1 dalies 3 punkte nustatyti, kad vienkartinė 400 eurų išmoka skiriama ir mokama tik tais atvejais, kai asmuo nedirba ir negauna jokių pajamų, o keičiamo įstatymo 5</w:t>
                  </w:r>
                  <w:r>
                    <w:rPr>
                      <w:vertAlign w:val="superscript"/>
                      <w:lang w:eastAsia="lt-LT"/>
                    </w:rPr>
                    <w:t>2</w:t>
                  </w:r>
                  <w:r>
                    <w:rPr>
                      <w:lang w:eastAsia="lt-LT"/>
                    </w:rPr>
                    <w:t xml:space="preserve"> straipsnio 2 dalyje nustatyti, kad periodinė 200 eurų išmoka skiriama ir mokama tais atvejais, kai asmuo atitinka keičiamo įstatymo 5</w:t>
                  </w:r>
                  <w:r>
                    <w:rPr>
                      <w:vertAlign w:val="superscript"/>
                      <w:lang w:eastAsia="lt-LT"/>
                    </w:rPr>
                    <w:t>2</w:t>
                  </w:r>
                  <w:r>
                    <w:rPr>
                      <w:lang w:eastAsia="lt-LT"/>
                    </w:rPr>
                    <w:t> straipsnio 1 dalies 1, 2, 4 ir 5 punktuose nurodytas sąlygas, jeigu jie turi su darbo santykiais ar jų esmę atitinkančiais santykiais susijusių pajamų, o jų priskaičiuotas darbo užmokestis ar kitos su darbo santykiais susijusios pajamos yra ne didesnės kaip Lietuvos Respublikos Vyriausybės patvirtinta minimalioji mėnesinė alga.</w:t>
                  </w:r>
                </w:p>
              </w:sdtContent>
            </w:sdt>
            <w:sdt>
              <w:sdtPr>
                <w:alias w:val="1.2 pp."/>
                <w:tag w:val="part_d1d20305c50e4bc7b7f8967fa80840cd"/>
                <w:lock w:val="sdtLocked"/>
                <w:richText/>
              </w:sdtPr>
              <w:sdtContent>
                <w:p>
                  <w:pPr>
                    <w:spacing w:line="360" w:lineRule="atLeast"/>
                    <w:ind w:firstLine="720"/>
                    <w:jc w:val="both"/>
                    <w:rPr>
                      <w:szCs w:val="24"/>
                      <w:lang w:eastAsia="lt-LT"/>
                    </w:rPr>
                  </w:pPr>
                  <w:sdt>
                    <w:sdtPr>
                      <w:alias w:val="Numeris"/>
                      <w:tag w:val="nr_d1d20305c50e4bc7b7f8967fa80840cd"/>
                      <w:lock w:val="sdtLocked"/>
                      <w:richText/>
                    </w:sdtPr>
                    <w:sdtContent>
                      <w:r>
                        <w:rPr>
                          <w:szCs w:val="24"/>
                          <w:lang w:eastAsia="lt-LT"/>
                        </w:rPr>
                        <w:t>1.2</w:t>
                      </w:r>
                    </w:sdtContent>
                  </w:sdt>
                  <w:r>
                    <w:rPr>
                      <w:szCs w:val="24"/>
                      <w:lang w:eastAsia="lt-LT"/>
                    </w:rPr>
                    <w:t>. K</w:t>
                  </w:r>
                  <w:r>
                    <w:rPr>
                      <w:lang w:eastAsia="lt-LT"/>
                    </w:rPr>
                    <w:t xml:space="preserve">eičiamo įstatymo </w:t>
                  </w:r>
                  <w:r>
                    <w:rPr>
                      <w:szCs w:val="24"/>
                      <w:lang w:eastAsia="lt-LT"/>
                    </w:rPr>
                    <w:t>5</w:t>
                  </w:r>
                  <w:r>
                    <w:rPr>
                      <w:szCs w:val="24"/>
                      <w:vertAlign w:val="superscript"/>
                      <w:lang w:eastAsia="lt-LT"/>
                    </w:rPr>
                    <w:t>2</w:t>
                  </w:r>
                  <w:r>
                    <w:rPr>
                      <w:szCs w:val="24"/>
                      <w:lang w:eastAsia="lt-LT"/>
                    </w:rPr>
                    <w:t xml:space="preserve"> straipsnio 2 dalyje tikslintina sąvoka „išmoka savarankiškai dirbančiam asmeniui“, vietoje jos nurodant „periodinės 200 eurų išmokos“, nes</w:t>
                  </w:r>
                  <w:r>
                    <w:rPr>
                      <w:lang w:eastAsia="lt-LT"/>
                    </w:rPr>
                    <w:t xml:space="preserve"> </w:t>
                  </w:r>
                  <w:r>
                    <w:rPr>
                      <w:szCs w:val="24"/>
                      <w:lang w:eastAsia="lt-LT"/>
                    </w:rPr>
                    <w:t>nurodytoje nuostatoje</w:t>
                  </w:r>
                  <w:r>
                    <w:rPr>
                      <w:lang w:eastAsia="lt-LT"/>
                    </w:rPr>
                    <w:t xml:space="preserve"> siūloma </w:t>
                  </w:r>
                  <w:r>
                    <w:rPr>
                      <w:szCs w:val="24"/>
                      <w:lang w:eastAsia="lt-LT"/>
                    </w:rPr>
                    <w:t>reguliuoti su periodinės 200 eurų išmokos mokėjimu susijusius teisinius santykius.</w:t>
                  </w:r>
                </w:p>
              </w:sdtContent>
            </w:sdt>
            <w:sdt>
              <w:sdtPr>
                <w:alias w:val="1.3 pp."/>
                <w:tag w:val="part_49ef15a0938145819cf04c650441e911"/>
                <w:lock w:val="sdtLocked"/>
                <w:richText/>
              </w:sdtPr>
              <w:sdtContent>
                <w:p>
                  <w:pPr>
                    <w:spacing w:line="360" w:lineRule="atLeast"/>
                    <w:ind w:firstLine="720"/>
                    <w:jc w:val="both"/>
                    <w:rPr>
                      <w:szCs w:val="24"/>
                      <w:lang w:eastAsia="lt-LT"/>
                    </w:rPr>
                  </w:pPr>
                  <w:sdt>
                    <w:sdtPr>
                      <w:alias w:val="Numeris"/>
                      <w:tag w:val="nr_49ef15a0938145819cf04c650441e911"/>
                      <w:lock w:val="sdtLocked"/>
                      <w:richText/>
                    </w:sdtPr>
                    <w:sdtContent>
                      <w:r>
                        <w:rPr>
                          <w:szCs w:val="24"/>
                          <w:lang w:eastAsia="lt-LT"/>
                        </w:rPr>
                        <w:t>1.3</w:t>
                      </w:r>
                    </w:sdtContent>
                  </w:sdt>
                  <w:r>
                    <w:rPr>
                      <w:szCs w:val="24"/>
                      <w:lang w:eastAsia="lt-LT"/>
                    </w:rPr>
                    <w:t xml:space="preserve">. Siūlytina </w:t>
                  </w:r>
                  <w:r>
                    <w:rPr>
                      <w:lang w:eastAsia="lt-LT"/>
                    </w:rPr>
                    <w:t>tikslinti keičiamo įstatymo 5</w:t>
                  </w:r>
                  <w:r>
                    <w:rPr>
                      <w:vertAlign w:val="superscript"/>
                      <w:lang w:eastAsia="lt-LT"/>
                    </w:rPr>
                    <w:t>2</w:t>
                  </w:r>
                  <w:r>
                    <w:rPr>
                      <w:lang w:eastAsia="lt-LT"/>
                    </w:rPr>
                    <w:t xml:space="preserve"> straipsnio </w:t>
                  </w:r>
                  <w:r>
                    <w:rPr>
                      <w:szCs w:val="24"/>
                      <w:lang w:eastAsia="lt-LT"/>
                    </w:rPr>
                    <w:t>pavadinimą ir 3 dalį, juose atsisakant nuostatų dėl Lietuvos Respublikos Vyriausybės paskelbtą ekstremaliosios situacijos, nes</w:t>
                  </w:r>
                  <w:r>
                    <w:rPr>
                      <w:lang w:eastAsia="lt-LT"/>
                    </w:rPr>
                    <w:t xml:space="preserve"> </w:t>
                  </w:r>
                  <w:r>
                    <w:rPr>
                      <w:szCs w:val="24"/>
                      <w:lang w:eastAsia="lt-LT"/>
                    </w:rPr>
                    <w:t xml:space="preserve">pagal </w:t>
                  </w:r>
                  <w:r>
                    <w:rPr>
                      <w:lang w:eastAsia="lt-LT"/>
                    </w:rPr>
                    <w:t>keičiamo įstatymo 5</w:t>
                  </w:r>
                  <w:r>
                    <w:rPr>
                      <w:vertAlign w:val="superscript"/>
                      <w:lang w:eastAsia="lt-LT"/>
                    </w:rPr>
                    <w:t>2</w:t>
                  </w:r>
                  <w:r>
                    <w:rPr>
                      <w:lang w:eastAsia="lt-LT"/>
                    </w:rPr>
                    <w:t xml:space="preserve"> </w:t>
                  </w:r>
                  <w:r>
                    <w:rPr>
                      <w:szCs w:val="24"/>
                      <w:lang w:eastAsia="lt-LT"/>
                    </w:rPr>
                    <w:t>straipsnio 2 dalį periodinės 200 eurų išmokos mokėjimas siejamas su Lietuvos Respublikos Vyriausybės paskelbtu karantino režimu. Taip būtų užtikrinamas keičiamo įstatymo 5</w:t>
                  </w:r>
                  <w:r>
                    <w:rPr>
                      <w:szCs w:val="24"/>
                      <w:vertAlign w:val="superscript"/>
                      <w:lang w:eastAsia="lt-LT"/>
                    </w:rPr>
                    <w:t>2</w:t>
                  </w:r>
                  <w:r>
                    <w:rPr>
                      <w:szCs w:val="24"/>
                      <w:lang w:eastAsia="lt-LT"/>
                    </w:rPr>
                    <w:t xml:space="preserve"> straipsnio 1 ir 2 dalyse nurodytų išmokų (toliau – išmokos ūkininkams) gavėjų lygiateisiškumas, t. y. suvienodinami nurodytų išmokų mokėjimo terminai.</w:t>
                  </w:r>
                </w:p>
              </w:sdtContent>
            </w:sdt>
            <w:sdt>
              <w:sdtPr>
                <w:alias w:val="1.4 pp."/>
                <w:tag w:val="part_3bfed6b07f1841799270713c786d4a77"/>
                <w:lock w:val="sdtLocked"/>
                <w:richText/>
              </w:sdtPr>
              <w:sdtContent>
                <w:p>
                  <w:pPr>
                    <w:spacing w:line="360" w:lineRule="atLeast"/>
                    <w:ind w:firstLine="720"/>
                    <w:jc w:val="both"/>
                    <w:rPr>
                      <w:szCs w:val="24"/>
                      <w:lang w:eastAsia="lt-LT"/>
                    </w:rPr>
                  </w:pPr>
                  <w:sdt>
                    <w:sdtPr>
                      <w:alias w:val="Numeris"/>
                      <w:tag w:val="nr_3bfed6b07f1841799270713c786d4a77"/>
                      <w:lock w:val="sdtLocked"/>
                      <w:richText/>
                    </w:sdtPr>
                    <w:sdtContent>
                      <w:r>
                        <w:rPr>
                          <w:szCs w:val="24"/>
                          <w:lang w:eastAsia="lt-LT"/>
                        </w:rPr>
                        <w:t>1.4</w:t>
                      </w:r>
                    </w:sdtContent>
                  </w:sdt>
                  <w:r>
                    <w:rPr>
                      <w:szCs w:val="24"/>
                      <w:lang w:eastAsia="lt-LT"/>
                    </w:rPr>
                    <w:t xml:space="preserve">. Pritarus šio nutarimo 1.3 papunktyje pateiktam siūlymui, įvertinant, kad  Lietuvos Respublikos Vyriausybės 2020 m. kovo 14 d. nutarimu Nr. 207 „Dėl karantino Lietuvos Respublikos teritorijoje paskelbimo“ paskelbto karantino režimo laikotarpis (toliau – karantino režimo laikotarpis) 2020 m. birželio 17 d atšauktas, siūlytina nustatyti, kad išmokos ūkininkams asmenims, karantino režimo laikotarpiu atitikusiems keičiamo įstatymo 5</w:t>
                  </w:r>
                  <w:r>
                    <w:rPr>
                      <w:szCs w:val="24"/>
                      <w:vertAlign w:val="superscript"/>
                      <w:lang w:eastAsia="lt-LT"/>
                    </w:rPr>
                    <w:t>2</w:t>
                  </w:r>
                  <w:r>
                    <w:rPr>
                      <w:szCs w:val="24"/>
                      <w:lang w:eastAsia="lt-LT"/>
                    </w:rPr>
                    <w:t xml:space="preserve"> straipsnio 1 ar 2 dalyje</w:t>
                  </w:r>
                  <w:r>
                    <w:rPr>
                      <w:lang w:eastAsia="lt-LT"/>
                    </w:rPr>
                    <w:t xml:space="preserve"> nustatytas </w:t>
                  </w:r>
                  <w:r>
                    <w:rPr>
                      <w:szCs w:val="24"/>
                      <w:lang w:eastAsia="lt-LT"/>
                    </w:rPr>
                    <w:t>sąlygas, už išmokų ūkininkams mokėjimo laikotarpį, kuriuo jie atitiko atitinkamai keičiamo įstatymo 5</w:t>
                  </w:r>
                  <w:r>
                    <w:rPr>
                      <w:szCs w:val="24"/>
                      <w:vertAlign w:val="superscript"/>
                      <w:lang w:eastAsia="lt-LT"/>
                    </w:rPr>
                    <w:t>2</w:t>
                  </w:r>
                  <w:r>
                    <w:rPr>
                      <w:szCs w:val="24"/>
                      <w:lang w:eastAsia="lt-LT"/>
                    </w:rPr>
                    <w:t xml:space="preserve"> straipsnio 1 ar 2 dalyje nustatytas sąlygas, išmokamos vienu kartu, ne vėliau kaip iki 2020 m. rugsėjo 30 d.</w:t>
                  </w:r>
                </w:p>
              </w:sdtContent>
            </w:sdt>
            <w:sdt>
              <w:sdtPr>
                <w:alias w:val="1.5 pp."/>
                <w:tag w:val="part_99f65e7aaa894de2806fad774d10a887"/>
                <w:lock w:val="sdtLocked"/>
                <w:richText/>
              </w:sdtPr>
              <w:sdtContent>
                <w:p>
                  <w:pPr>
                    <w:spacing w:line="360" w:lineRule="atLeast"/>
                    <w:ind w:firstLine="720"/>
                    <w:jc w:val="both"/>
                    <w:rPr>
                      <w:lang w:eastAsia="lt-LT"/>
                    </w:rPr>
                  </w:pPr>
                  <w:sdt>
                    <w:sdtPr>
                      <w:alias w:val="Numeris"/>
                      <w:tag w:val="nr_99f65e7aaa894de2806fad774d10a887"/>
                      <w:lock w:val="sdtLocked"/>
                      <w:richText/>
                    </w:sdtPr>
                    <w:sdtContent>
                      <w:r>
                        <w:rPr>
                          <w:szCs w:val="24"/>
                          <w:lang w:eastAsia="lt-LT"/>
                        </w:rPr>
                        <w:t>1.5</w:t>
                      </w:r>
                    </w:sdtContent>
                  </w:sdt>
                  <w:r>
                    <w:rPr>
                      <w:szCs w:val="24"/>
                      <w:lang w:eastAsia="lt-LT"/>
                    </w:rPr>
                    <w:t>. Siekiant užtikrinti efektyvų išmokų ūkininkams mokėjimą, atsižvelgiant į tai, kad Lietuvos Respublikos žemės ūkio ministerija ir jai pavaldžios įstaigos netvarko individualia žemės ūkio veikla užsiimančių asmenų duomenų, susijusių su jų darbo teisiniais santykiais, siūlytina tikslinti keičiamo įstatymo 5</w:t>
                  </w:r>
                  <w:r>
                    <w:rPr>
                      <w:szCs w:val="24"/>
                      <w:vertAlign w:val="superscript"/>
                      <w:lang w:eastAsia="lt-LT"/>
                    </w:rPr>
                    <w:t>2</w:t>
                  </w:r>
                  <w:r>
                    <w:rPr>
                      <w:szCs w:val="24"/>
                      <w:lang w:eastAsia="lt-LT"/>
                    </w:rPr>
                    <w:t xml:space="preserve"> straipsnio 3 dalį ir joje nustatyti, kad asmenims, įtrauktiems į Žemės ūkio ministerijos ar jos įgaliotos institucijos patvirtintą individualia žemės ūkio veikla užsiimančių asmenų sąrašą, </w:t>
                  </w:r>
                  <w:r>
                    <w:rPr>
                      <w:lang w:eastAsia="lt-LT"/>
                    </w:rPr>
                    <w:t xml:space="preserve">išmokas </w:t>
                  </w:r>
                  <w:r>
                    <w:rPr>
                      <w:szCs w:val="24"/>
                      <w:lang w:eastAsia="lt-LT"/>
                    </w:rPr>
                    <w:t xml:space="preserve">ūkininkams </w:t>
                  </w:r>
                  <w:r>
                    <w:rPr>
                      <w:lang w:eastAsia="lt-LT"/>
                    </w:rPr>
                    <w:t>skiria</w:t>
                  </w:r>
                  <w:r>
                    <w:rPr>
                      <w:szCs w:val="24"/>
                      <w:lang w:eastAsia="lt-LT"/>
                    </w:rPr>
                    <w:t xml:space="preserve"> ir moka</w:t>
                  </w:r>
                  <w:r>
                    <w:rPr>
                      <w:lang w:eastAsia="lt-LT"/>
                    </w:rPr>
                    <w:t xml:space="preserve"> Valstybinio socialinio draudimo fondo valdyba prie Socialinės apsaugos ir darbo ministerijos ar jos paskirta Valstybinio socialinio draudimo fondo administravimo įstaiga. </w:t>
                  </w:r>
                </w:p>
                <w:p>
                  <w:pPr>
                    <w:spacing w:line="360" w:lineRule="atLeast"/>
                    <w:ind w:firstLine="720"/>
                    <w:jc w:val="both"/>
                    <w:rPr>
                      <w:szCs w:val="24"/>
                      <w:lang w:eastAsia="lt-LT"/>
                    </w:rPr>
                  </w:pPr>
                  <w:r>
                    <w:rPr>
                      <w:szCs w:val="24"/>
                      <w:lang w:eastAsia="lt-LT"/>
                    </w:rPr>
                    <w:t>Pritarus šiame papunktyje pateiktam siūlymui, įvertinant</w:t>
                  </w:r>
                  <w:r>
                    <w:rPr>
                      <w:lang w:eastAsia="lt-LT"/>
                    </w:rPr>
                    <w:t xml:space="preserve">, kad </w:t>
                  </w:r>
                  <w:r>
                    <w:rPr>
                      <w:szCs w:val="24"/>
                      <w:lang w:eastAsia="lt-LT"/>
                    </w:rPr>
                    <w:t>išmokos ūkininkams būtų mokamos</w:t>
                  </w:r>
                  <w:r>
                    <w:rPr>
                      <w:lang w:eastAsia="lt-LT"/>
                    </w:rPr>
                    <w:t xml:space="preserve"> tokia pačia tvarka kaip ir Lietuvos Respublikos užimtumo įstatymo 5</w:t>
                  </w:r>
                  <w:r>
                    <w:rPr>
                      <w:vertAlign w:val="superscript"/>
                      <w:lang w:eastAsia="lt-LT"/>
                    </w:rPr>
                    <w:t>1</w:t>
                  </w:r>
                  <w:r>
                    <w:rPr>
                      <w:lang w:eastAsia="lt-LT"/>
                    </w:rPr>
                    <w:t xml:space="preserve"> straipsnyje nurodytos išmokos savarankiškai dirbantiems asmenims, </w:t>
                  </w:r>
                  <w:r>
                    <w:rPr>
                      <w:szCs w:val="24"/>
                      <w:lang w:eastAsia="lt-LT"/>
                    </w:rPr>
                    <w:t xml:space="preserve">taip pat </w:t>
                  </w:r>
                  <w:r>
                    <w:rPr>
                      <w:lang w:eastAsia="lt-LT"/>
                    </w:rPr>
                    <w:t xml:space="preserve">siūlytina </w:t>
                  </w:r>
                  <w:r>
                    <w:rPr>
                      <w:szCs w:val="24"/>
                      <w:lang w:eastAsia="lt-LT"/>
                    </w:rPr>
                    <w:t>tikslinti</w:t>
                  </w:r>
                  <w:r>
                    <w:rPr>
                      <w:lang w:eastAsia="lt-LT"/>
                    </w:rPr>
                    <w:t xml:space="preserve"> Lietuvos Respublikos g</w:t>
                  </w:r>
                  <w:r>
                    <w:rPr>
                      <w:szCs w:val="24"/>
                      <w:lang w:eastAsia="lt-LT"/>
                    </w:rPr>
                    <w:t>arantijų darbuotojams jų darbdaviui tapus nemokiam ir ilgalaikio darbo išmokų įstatymą, jame įtvirtinant teisinį pagrindą išlaidoms, skirtoms išmokoms ūkininkams mokėti, padengti.</w:t>
                  </w:r>
                </w:p>
              </w:sdtContent>
            </w:sdt>
            <w:sdt>
              <w:sdtPr>
                <w:alias w:val="1.6 pp."/>
                <w:tag w:val="part_8ce1fc5d611e42f0b15dbf3387bc0f4a"/>
                <w:lock w:val="sdtLocked"/>
                <w:richText/>
              </w:sdtPr>
              <w:sdtContent>
                <w:p>
                  <w:pPr>
                    <w:spacing w:line="360" w:lineRule="atLeast"/>
                    <w:ind w:firstLine="720"/>
                    <w:jc w:val="both"/>
                    <w:rPr>
                      <w:lang w:eastAsia="lt-LT"/>
                    </w:rPr>
                  </w:pPr>
                  <w:sdt>
                    <w:sdtPr>
                      <w:alias w:val="Numeris"/>
                      <w:tag w:val="nr_8ce1fc5d611e42f0b15dbf3387bc0f4a"/>
                      <w:lock w:val="sdtLocked"/>
                      <w:richText/>
                    </w:sdtPr>
                    <w:sdtContent>
                      <w:r>
                        <w:rPr>
                          <w:lang w:eastAsia="lt-LT"/>
                        </w:rPr>
                        <w:t>1.6</w:t>
                      </w:r>
                    </w:sdtContent>
                  </w:sdt>
                  <w:r>
                    <w:rPr>
                      <w:lang w:eastAsia="lt-LT"/>
                    </w:rPr>
                    <w:t>. Pritarus šio nutarimo 1.4 ir 1.5 papunkčiuose pateiktiems siūlymams, siūlytina tikslinti keičiamo įstatymo 5</w:t>
                  </w:r>
                  <w:r>
                    <w:rPr>
                      <w:vertAlign w:val="superscript"/>
                      <w:lang w:eastAsia="lt-LT"/>
                    </w:rPr>
                    <w:t>2</w:t>
                  </w:r>
                  <w:r>
                    <w:rPr>
                      <w:lang w:eastAsia="lt-LT"/>
                    </w:rPr>
                    <w:t xml:space="preserve"> straipsnio 3 dalį, joje atsisakant nuorodų į Užimtumo įstatymo 5</w:t>
                  </w:r>
                  <w:r>
                    <w:rPr>
                      <w:vertAlign w:val="superscript"/>
                      <w:lang w:eastAsia="lt-LT"/>
                    </w:rPr>
                    <w:t>1</w:t>
                  </w:r>
                  <w:r>
                    <w:rPr>
                      <w:lang w:eastAsia="lt-LT"/>
                    </w:rPr>
                    <w:t xml:space="preserve"> straipsnį, vietoj jų nustatant konkrečias nuostatas, skirtas kreipimuisi dėl išmokų ūkininkams, jų skyrimui, mokėjimui, išieškojimui, išmokų ūkininkams mokėtojo patiriamų išlaidų kompensavimui reguliuoti. </w:t>
                  </w:r>
                </w:p>
              </w:sdtContent>
            </w:sdt>
          </w:sdtContent>
        </w:sdt>
        <w:sdt>
          <w:sdtPr>
            <w:alias w:val="2 p."/>
            <w:tag w:val="part_f3008c170b3c4cba9ae017e0c957e53e"/>
            <w:lock w:val="sdtLocked"/>
            <w:richText/>
          </w:sdtPr>
          <w:sdtContent>
            <w:p>
              <w:pPr>
                <w:spacing w:line="360" w:lineRule="atLeast"/>
                <w:ind w:firstLine="720"/>
                <w:jc w:val="both"/>
                <w:rPr>
                  <w:szCs w:val="24"/>
                  <w:lang w:eastAsia="lt-LT"/>
                </w:rPr>
              </w:pPr>
              <w:sdt>
                <w:sdtPr>
                  <w:alias w:val="Numeris"/>
                  <w:tag w:val="nr_f3008c170b3c4cba9ae017e0c957e53e"/>
                  <w:lock w:val="sdtLocked"/>
                  <w:richText/>
                </w:sdtPr>
                <w:sdtContent>
                  <w:r>
                    <w:rPr>
                      <w:szCs w:val="24"/>
                      <w:lang w:eastAsia="lt-LT"/>
                    </w:rPr>
                    <w:t>2</w:t>
                  </w:r>
                </w:sdtContent>
              </w:sdt>
              <w:r>
                <w:rPr>
                  <w:szCs w:val="24"/>
                  <w:lang w:eastAsia="lt-LT"/>
                </w:rPr>
                <w:t>. Preliminariais Lietuvos Respublikos socialinės apsaugos ir darbo ministerijos skaičiavimais, Įstatymo projektu siūlomoms teisinio reguliavimo priemonėms įgyvendinti einamaisiais biudžetiniais metais papildomai reikėtų skirti 25,8 mln. eurų Lietuvos Respublikos valstybės biudžeto lėšų. Lietuvos Respublikos Konstitucinis Teismas yra konstatavęs, kad „&lt;...&gt; įstatymų leidėjas negali sukurti tokios teisinės situacijos, kai išleidžiamas įstatymas arba kitas teisės aktas, kuriam įgyvendinti reikia lėšų, bet tokių lėšų neskiriama arba jų skiriama nepakankamai“ (Konstitucinio Teismo 2004 m. gruodžio 13 d. nutarimas „Dėl kai kurių teisės aktų, kuriais reguliuojami valstybės tarnybos ir su ja susiję santykiai, atitikties Lietuvos Respublikos Konstitucijai ir įstatymams“). Be to, Konstitucinis Teismas yra nurodęs, kad „teisės norma, kuria valstybė prisiima atitinkamą įsipareigojimą, &lt;...&gt; turi būti paremta materialiniais ir finansiniais ištekliais“ (Konstitucinio Teismo 1996 m. lapkričio 12 d. nutarimas „Dėl Lietuvos Respublikos įstatymo „Dėl piliečių nuosavybės teisių į išlikusį nekilnojamąjį turtą atstatymo tvarkos ir sąlygų“ 8 straipsnio penktosios dalies ir 19 straipsnio pirmosios dalies normų atitikimo Lietuvos Respublikos Konstitucijai“). Kadangi Lietuvos Respublikos 2020 metų valstybės biudžeto ir savivaldybių biudžetų finansinių rodiklių patvirtinimo įstatyme papildomų lėšų Įstatymo projekto nuostatoms įgyvendinti skirti nenumatyta, siūlytina įvertinti poreikį tikslinti nurodytą įstatymą, jame numatant lėšas priimtam įstatymui įgyvendinti arba galimybę šias išlaidas finansuoti skolintomis valstybės lėšomis.</w:t>
              </w:r>
            </w:p>
            <w:p>
              <w:pPr>
                <w:jc w:val="both"/>
                <w:rPr>
                  <w:szCs w:val="24"/>
                  <w:lang w:eastAsia="lt-LT"/>
                </w:rPr>
              </w:pPr>
            </w:p>
            <w:p>
              <w:pPr>
                <w:jc w:val="both"/>
                <w:rPr>
                  <w:szCs w:val="24"/>
                  <w:lang w:eastAsia="lt-LT"/>
                </w:rPr>
              </w:pPr>
            </w:p>
            <w:p>
              <w:pPr>
                <w:jc w:val="both"/>
                <w:rPr>
                  <w:szCs w:val="24"/>
                  <w:lang w:eastAsia="lt-LT"/>
                </w:rPr>
              </w:pPr>
            </w:p>
          </w:sdtContent>
        </w:sdt>
        <w:sdt>
          <w:sdtPr>
            <w:alias w:val="signatura"/>
            <w:tag w:val="part_f05f608083f641408887d3c415cca48d"/>
            <w:lock w:val="sdtLocked"/>
            <w:richText/>
          </w:sdtPr>
          <w:sdtContent>
            <w:p>
              <w:pPr>
                <w:jc w:val="both"/>
                <w:rPr>
                  <w:szCs w:val="24"/>
                  <w:lang w:eastAsia="lt-LT"/>
                </w:rPr>
              </w:pPr>
              <w:r>
                <w:rPr>
                  <w:szCs w:val="24"/>
                  <w:lang w:eastAsia="lt-LT"/>
                </w:rPr>
                <w:t>Ministras Pirmininkas</w:t>
              </w:r>
            </w:p>
            <w:p>
              <w:pPr>
                <w:jc w:val="both"/>
                <w:rPr>
                  <w:szCs w:val="24"/>
                  <w:lang w:eastAsia="lt-LT"/>
                </w:rPr>
              </w:pPr>
            </w:p>
            <w:p>
              <w:pPr>
                <w:jc w:val="both"/>
                <w:rPr>
                  <w:szCs w:val="24"/>
                  <w:lang w:eastAsia="lt-LT"/>
                </w:rPr>
              </w:pPr>
            </w:p>
            <w:p>
              <w:pPr>
                <w:jc w:val="both"/>
                <w:rPr>
                  <w:szCs w:val="24"/>
                  <w:lang w:eastAsia="lt-LT"/>
                </w:rPr>
              </w:pPr>
            </w:p>
            <w:p>
              <w:pPr>
                <w:jc w:val="both"/>
                <w:rPr>
                  <w:szCs w:val="24"/>
                  <w:lang w:eastAsia="lt-LT"/>
                </w:rPr>
              </w:pPr>
              <w:r>
                <w:rPr>
                  <w:szCs w:val="24"/>
                  <w:lang w:eastAsia="lt-LT"/>
                </w:rPr>
                <w:t>Socialinės apsaugos ir darbo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 w:type="continuationNotice" w:id="1">
    <w:p>
      <w:pPr>
        <w:rPr>
          <w:lang w:eastAsia="lt-LT"/>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 w:type="continuationNotice" w:id="1">
    <w:p>
      <w:pPr>
        <w:rPr>
          <w:lang w:eastAsia="lt-LT"/>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90300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9687678">
      <w:bodyDiv w:val="1"/>
      <w:marLeft w:val="0"/>
      <w:marRight w:val="0"/>
      <w:marTop w:val="0"/>
      <w:marBottom w:val="0"/>
      <w:divBdr>
        <w:top w:val="none" w:sz="0" w:space="0" w:color="auto"/>
        <w:left w:val="none" w:sz="0" w:space="0" w:color="auto"/>
        <w:bottom w:val="none" w:sz="0" w:space="0" w:color="auto"/>
        <w:right w:val="none" w:sz="0" w:space="0" w:color="auto"/>
      </w:divBdr>
    </w:div>
    <w:div w:id="872231157">
      <w:bodyDiv w:val="1"/>
      <w:marLeft w:val="0"/>
      <w:marRight w:val="0"/>
      <w:marTop w:val="0"/>
      <w:marBottom w:val="0"/>
      <w:divBdr>
        <w:top w:val="none" w:sz="0" w:space="0" w:color="auto"/>
        <w:left w:val="none" w:sz="0" w:space="0" w:color="auto"/>
        <w:bottom w:val="none" w:sz="0" w:space="0" w:color="auto"/>
        <w:right w:val="none" w:sz="0" w:space="0" w:color="auto"/>
      </w:divBdr>
    </w:div>
    <w:div w:id="1071076666">
      <w:bodyDiv w:val="1"/>
      <w:marLeft w:val="0"/>
      <w:marRight w:val="0"/>
      <w:marTop w:val="0"/>
      <w:marBottom w:val="0"/>
      <w:divBdr>
        <w:top w:val="none" w:sz="0" w:space="0" w:color="auto"/>
        <w:left w:val="none" w:sz="0" w:space="0" w:color="auto"/>
        <w:bottom w:val="none" w:sz="0" w:space="0" w:color="auto"/>
        <w:right w:val="none" w:sz="0" w:space="0" w:color="auto"/>
      </w:divBdr>
      <w:divsChild>
        <w:div w:id="926620899">
          <w:marLeft w:val="0"/>
          <w:marRight w:val="0"/>
          <w:marTop w:val="0"/>
          <w:marBottom w:val="0"/>
          <w:divBdr>
            <w:top w:val="none" w:sz="0" w:space="0" w:color="auto"/>
            <w:left w:val="none" w:sz="0" w:space="0" w:color="auto"/>
            <w:bottom w:val="none" w:sz="0" w:space="0" w:color="auto"/>
            <w:right w:val="none" w:sz="0" w:space="0" w:color="auto"/>
          </w:divBdr>
          <w:divsChild>
            <w:div w:id="915675468">
              <w:marLeft w:val="0"/>
              <w:marRight w:val="0"/>
              <w:marTop w:val="0"/>
              <w:marBottom w:val="0"/>
              <w:divBdr>
                <w:top w:val="none" w:sz="0" w:space="0" w:color="auto"/>
                <w:left w:val="none" w:sz="0" w:space="0" w:color="auto"/>
                <w:bottom w:val="none" w:sz="0" w:space="0" w:color="auto"/>
                <w:right w:val="none" w:sz="0" w:space="0" w:color="auto"/>
              </w:divBdr>
              <w:divsChild>
                <w:div w:id="1277983854">
                  <w:marLeft w:val="0"/>
                  <w:marRight w:val="0"/>
                  <w:marTop w:val="0"/>
                  <w:marBottom w:val="0"/>
                  <w:divBdr>
                    <w:top w:val="none" w:sz="0" w:space="0" w:color="auto"/>
                    <w:left w:val="none" w:sz="0" w:space="0" w:color="auto"/>
                    <w:bottom w:val="none" w:sz="0" w:space="0" w:color="auto"/>
                    <w:right w:val="none" w:sz="0" w:space="0" w:color="auto"/>
                  </w:divBdr>
                  <w:divsChild>
                    <w:div w:id="809513362">
                      <w:marLeft w:val="0"/>
                      <w:marRight w:val="0"/>
                      <w:marTop w:val="0"/>
                      <w:marBottom w:val="0"/>
                      <w:divBdr>
                        <w:top w:val="none" w:sz="0" w:space="0" w:color="auto"/>
                        <w:left w:val="none" w:sz="0" w:space="0" w:color="auto"/>
                        <w:bottom w:val="none" w:sz="0" w:space="0" w:color="auto"/>
                        <w:right w:val="none" w:sz="0" w:space="0" w:color="auto"/>
                      </w:divBdr>
                      <w:divsChild>
                        <w:div w:id="12150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8051">
              <w:marLeft w:val="0"/>
              <w:marRight w:val="0"/>
              <w:marTop w:val="0"/>
              <w:marBottom w:val="0"/>
              <w:divBdr>
                <w:top w:val="none" w:sz="0" w:space="0" w:color="auto"/>
                <w:left w:val="none" w:sz="0" w:space="0" w:color="auto"/>
                <w:bottom w:val="none" w:sz="0" w:space="0" w:color="auto"/>
                <w:right w:val="none" w:sz="0" w:space="0" w:color="auto"/>
              </w:divBdr>
              <w:divsChild>
                <w:div w:id="2047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8484804">
      <w:bodyDiv w:val="1"/>
      <w:marLeft w:val="0"/>
      <w:marRight w:val="0"/>
      <w:marTop w:val="0"/>
      <w:marBottom w:val="0"/>
      <w:divBdr>
        <w:top w:val="none" w:sz="0" w:space="0" w:color="auto"/>
        <w:left w:val="none" w:sz="0" w:space="0" w:color="auto"/>
        <w:bottom w:val="none" w:sz="0" w:space="0" w:color="auto"/>
        <w:right w:val="none" w:sz="0" w:space="0" w:color="auto"/>
      </w:divBdr>
      <w:divsChild>
        <w:div w:id="1604461546">
          <w:marLeft w:val="0"/>
          <w:marRight w:val="0"/>
          <w:marTop w:val="0"/>
          <w:marBottom w:val="0"/>
          <w:divBdr>
            <w:top w:val="none" w:sz="0" w:space="0" w:color="auto"/>
            <w:left w:val="none" w:sz="0" w:space="0" w:color="auto"/>
            <w:bottom w:val="none" w:sz="0" w:space="0" w:color="auto"/>
            <w:right w:val="none" w:sz="0" w:space="0" w:color="auto"/>
          </w:divBdr>
          <w:divsChild>
            <w:div w:id="1001196524">
              <w:marLeft w:val="0"/>
              <w:marRight w:val="0"/>
              <w:marTop w:val="0"/>
              <w:marBottom w:val="0"/>
              <w:divBdr>
                <w:top w:val="none" w:sz="0" w:space="0" w:color="auto"/>
                <w:left w:val="none" w:sz="0" w:space="0" w:color="auto"/>
                <w:bottom w:val="none" w:sz="0" w:space="0" w:color="auto"/>
                <w:right w:val="none" w:sz="0" w:space="0" w:color="auto"/>
              </w:divBdr>
              <w:divsChild>
                <w:div w:id="536358553">
                  <w:marLeft w:val="0"/>
                  <w:marRight w:val="0"/>
                  <w:marTop w:val="0"/>
                  <w:marBottom w:val="0"/>
                  <w:divBdr>
                    <w:top w:val="none" w:sz="0" w:space="0" w:color="auto"/>
                    <w:left w:val="none" w:sz="0" w:space="0" w:color="auto"/>
                    <w:bottom w:val="none" w:sz="0" w:space="0" w:color="auto"/>
                    <w:right w:val="none" w:sz="0" w:space="0" w:color="auto"/>
                  </w:divBdr>
                  <w:divsChild>
                    <w:div w:id="1055080187">
                      <w:marLeft w:val="0"/>
                      <w:marRight w:val="0"/>
                      <w:marTop w:val="0"/>
                      <w:marBottom w:val="0"/>
                      <w:divBdr>
                        <w:top w:val="none" w:sz="0" w:space="0" w:color="auto"/>
                        <w:left w:val="none" w:sz="0" w:space="0" w:color="auto"/>
                        <w:bottom w:val="none" w:sz="0" w:space="0" w:color="auto"/>
                        <w:right w:val="none" w:sz="0" w:space="0" w:color="auto"/>
                      </w:divBdr>
                    </w:div>
                    <w:div w:id="1011296770">
                      <w:marLeft w:val="0"/>
                      <w:marRight w:val="0"/>
                      <w:marTop w:val="0"/>
                      <w:marBottom w:val="0"/>
                      <w:divBdr>
                        <w:top w:val="none" w:sz="0" w:space="0" w:color="auto"/>
                        <w:left w:val="none" w:sz="0" w:space="0" w:color="auto"/>
                        <w:bottom w:val="none" w:sz="0" w:space="0" w:color="auto"/>
                        <w:right w:val="none" w:sz="0" w:space="0" w:color="auto"/>
                      </w:divBdr>
                    </w:div>
                    <w:div w:id="658726455">
                      <w:marLeft w:val="0"/>
                      <w:marRight w:val="0"/>
                      <w:marTop w:val="0"/>
                      <w:marBottom w:val="0"/>
                      <w:divBdr>
                        <w:top w:val="none" w:sz="0" w:space="0" w:color="auto"/>
                        <w:left w:val="none" w:sz="0" w:space="0" w:color="auto"/>
                        <w:bottom w:val="none" w:sz="0" w:space="0" w:color="auto"/>
                        <w:right w:val="none" w:sz="0" w:space="0" w:color="auto"/>
                      </w:divBdr>
                    </w:div>
                    <w:div w:id="165168728">
                      <w:marLeft w:val="0"/>
                      <w:marRight w:val="0"/>
                      <w:marTop w:val="0"/>
                      <w:marBottom w:val="0"/>
                      <w:divBdr>
                        <w:top w:val="none" w:sz="0" w:space="0" w:color="auto"/>
                        <w:left w:val="none" w:sz="0" w:space="0" w:color="auto"/>
                        <w:bottom w:val="none" w:sz="0" w:space="0" w:color="auto"/>
                        <w:right w:val="none" w:sz="0" w:space="0" w:color="auto"/>
                      </w:divBdr>
                    </w:div>
                    <w:div w:id="10890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6507739">
      <w:bodyDiv w:val="1"/>
      <w:marLeft w:val="0"/>
      <w:marRight w:val="0"/>
      <w:marTop w:val="0"/>
      <w:marBottom w:val="0"/>
      <w:divBdr>
        <w:top w:val="none" w:sz="0" w:space="0" w:color="auto"/>
        <w:left w:val="none" w:sz="0" w:space="0" w:color="auto"/>
        <w:bottom w:val="none" w:sz="0" w:space="0" w:color="auto"/>
        <w:right w:val="none" w:sz="0" w:space="0" w:color="auto"/>
      </w:divBdr>
      <w:divsChild>
        <w:div w:id="1149398339">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179073">
      <w:bodyDiv w:val="1"/>
      <w:marLeft w:val="0"/>
      <w:marRight w:val="0"/>
      <w:marTop w:val="0"/>
      <w:marBottom w:val="0"/>
      <w:divBdr>
        <w:top w:val="none" w:sz="0" w:space="0" w:color="auto"/>
        <w:left w:val="none" w:sz="0" w:space="0" w:color="auto"/>
        <w:bottom w:val="none" w:sz="0" w:space="0" w:color="auto"/>
        <w:right w:val="none" w:sz="0" w:space="0" w:color="auto"/>
      </w:divBdr>
    </w:div>
    <w:div w:id="1549873752">
      <w:bodyDiv w:val="1"/>
      <w:marLeft w:val="0"/>
      <w:marRight w:val="0"/>
      <w:marTop w:val="0"/>
      <w:marBottom w:val="0"/>
      <w:divBdr>
        <w:top w:val="none" w:sz="0" w:space="0" w:color="auto"/>
        <w:left w:val="none" w:sz="0" w:space="0" w:color="auto"/>
        <w:bottom w:val="none" w:sz="0" w:space="0" w:color="auto"/>
        <w:right w:val="none" w:sz="0" w:space="0" w:color="auto"/>
      </w:divBdr>
    </w:div>
    <w:div w:id="1593707357">
      <w:bodyDiv w:val="1"/>
      <w:marLeft w:val="0"/>
      <w:marRight w:val="0"/>
      <w:marTop w:val="0"/>
      <w:marBottom w:val="0"/>
      <w:divBdr>
        <w:top w:val="none" w:sz="0" w:space="0" w:color="auto"/>
        <w:left w:val="none" w:sz="0" w:space="0" w:color="auto"/>
        <w:bottom w:val="none" w:sz="0" w:space="0" w:color="auto"/>
        <w:right w:val="none" w:sz="0" w:space="0" w:color="auto"/>
      </w:divBdr>
      <w:divsChild>
        <w:div w:id="594630761">
          <w:marLeft w:val="0"/>
          <w:marRight w:val="0"/>
          <w:marTop w:val="0"/>
          <w:marBottom w:val="0"/>
          <w:divBdr>
            <w:top w:val="none" w:sz="0" w:space="0" w:color="auto"/>
            <w:left w:val="none" w:sz="0" w:space="0" w:color="auto"/>
            <w:bottom w:val="none" w:sz="0" w:space="0" w:color="auto"/>
            <w:right w:val="none" w:sz="0" w:space="0" w:color="auto"/>
          </w:divBdr>
          <w:divsChild>
            <w:div w:id="2103528734">
              <w:marLeft w:val="0"/>
              <w:marRight w:val="0"/>
              <w:marTop w:val="0"/>
              <w:marBottom w:val="0"/>
              <w:divBdr>
                <w:top w:val="none" w:sz="0" w:space="0" w:color="auto"/>
                <w:left w:val="none" w:sz="0" w:space="0" w:color="auto"/>
                <w:bottom w:val="none" w:sz="0" w:space="0" w:color="auto"/>
                <w:right w:val="none" w:sz="0" w:space="0" w:color="auto"/>
              </w:divBdr>
              <w:divsChild>
                <w:div w:id="532572454">
                  <w:marLeft w:val="0"/>
                  <w:marRight w:val="0"/>
                  <w:marTop w:val="0"/>
                  <w:marBottom w:val="0"/>
                  <w:divBdr>
                    <w:top w:val="none" w:sz="0" w:space="0" w:color="auto"/>
                    <w:left w:val="none" w:sz="0" w:space="0" w:color="auto"/>
                    <w:bottom w:val="none" w:sz="0" w:space="0" w:color="auto"/>
                    <w:right w:val="none" w:sz="0" w:space="0" w:color="auto"/>
                  </w:divBdr>
                  <w:divsChild>
                    <w:div w:id="4307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43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be7355cd51354392bb8e35a397007bec" PartId="4a8e0e4485764516bc9f81ea98915a8c">
    <Part Type="preambule" DocPartId="44e03aeb45d241fc8b52f8f64213b62d" PartId="eccff2b38a724e359470da4f27d116bb"/>
    <Part Type="punktas" Nr="1" Abbr="1 p." DocPartId="11ee4474486a488480bd1fd4cff36b6d" PartId="31829b03eed240b3a4a3ebe3fc2f42b4">
      <Part Type="papunktis" Nr="1.1" Abbr="1.1 pp." DocPartId="828aba1ae5a94c10ae44487d3782079c" PartId="5c4ea13643bb42c2a4f139b0b297a232"/>
      <Part Type="papunktis" Nr="1.2" Abbr="1.2 pp." DocPartId="0a034394d34447ca81e386688aa6444b" PartId="d1d20305c50e4bc7b7f8967fa80840cd"/>
      <Part Type="papunktis" Nr="1.3" Abbr="1.3 pp." DocPartId="d5efde35af1c43da8ee44f6d32e14ef1" PartId="49ef15a0938145819cf04c650441e911"/>
      <Part Type="papunktis" Nr="1.4" Abbr="1.4 pp." DocPartId="7a6f9f1f95154acc8e07c694af26088b" PartId="3bfed6b07f1841799270713c786d4a77"/>
      <Part Type="papunktis" Nr="1.5" Abbr="1.5 pp." DocPartId="be5b885c89824d4bae7f57a966f89c10" PartId="99f65e7aaa894de2806fad774d10a887"/>
      <Part Type="papunktis" Nr="1.6" Abbr="1.6 pp." DocPartId="7f00714e2dde412bba9f0b78958bac5b" PartId="8ce1fc5d611e42f0b15dbf3387bc0f4a"/>
    </Part>
    <Part Type="punktas" Nr="2" Abbr="2 p." DocPartId="33534036a68f4f4187f05d017c45ec5e" PartId="f3008c170b3c4cba9ae017e0c957e53e"/>
    <Part Type="signatura" DocPartId="18608d6716ce4a33bfca2e5428a72b59" PartId="f05f608083f641408887d3c415cca48d"/>
  </Part>
</Parts>
</file>

<file path=customXml/itemProps1.xml><?xml version="1.0" encoding="utf-8"?>
<ds:datastoreItem xmlns:ds="http://schemas.openxmlformats.org/officeDocument/2006/customXml" ds:itemID="{5241C174-8086-46CC-A6C0-7CA5A8811173}">
  <ds:schemaRefs>
    <ds:schemaRef ds:uri="http://schemas.openxmlformats.org/officeDocument/2006/bibliography"/>
  </ds:schemaRefs>
</ds:datastoreItem>
</file>

<file path=customXml/itemProps2.xml><?xml version="1.0" encoding="utf-8"?>
<ds:datastoreItem xmlns:ds="http://schemas.openxmlformats.org/officeDocument/2006/customXml" ds:itemID="{65CC3E52-807F-40B0-B68E-101BEC2947E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5577</Characters>
  <Application>Microsoft Office Word</Application>
  <DocSecurity>4</DocSecurity>
  <Lines>91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6375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2020-06-22T10:26:00Z</dcterms:created>
  <dc:creator>lrvk</dc:creator>
  <cp:lastModifiedBy>Asseco</cp:lastModifiedBy>
  <cp:lastPrinted>2019-05-14T10:22:00Z</cp:lastPrinted>
  <dcterms:modified xsi:type="dcterms:W3CDTF">2020-06-22T10:26:00Z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-1211964656</vt:i4>
  </property>
  <property fmtid="{D5CDD505-2E9C-101B-9397-08002B2CF9AE}" pid="3" name="_NewReviewCycle">
    <vt:lpwstr/>
  </property>
  <property fmtid="{D5CDD505-2E9C-101B-9397-08002B2CF9AE}" pid="4" name="_EmailSubject">
    <vt:lpwstr>Smulkiu ukininku isvada (Tomilinas)</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880186603</vt:i4>
  </property>
  <property fmtid="{D5CDD505-2E9C-101B-9397-08002B2CF9AE}" pid="8" name="_ReviewingToolsShownOnce">
    <vt:lpwstr/>
  </property>
</Properties>
</file>