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ABA6A" w14:textId="77777777" w:rsidR="00335B57" w:rsidRPr="005A3A2F" w:rsidRDefault="00335B57" w:rsidP="00335B57">
      <w:pPr>
        <w:jc w:val="center"/>
        <w:rPr>
          <w:b/>
          <w:bCs/>
        </w:rPr>
      </w:pPr>
      <w:r w:rsidRPr="005A3A2F">
        <w:rPr>
          <w:b/>
          <w:bCs/>
        </w:rPr>
        <w:t>DERINIMO PAŽYMA</w:t>
      </w:r>
    </w:p>
    <w:p w14:paraId="414E44C2" w14:textId="77777777" w:rsidR="00335B57" w:rsidRPr="005A3A2F" w:rsidRDefault="00335B57" w:rsidP="00335B57">
      <w:pPr>
        <w:autoSpaceDE w:val="0"/>
        <w:autoSpaceDN w:val="0"/>
        <w:adjustRightInd w:val="0"/>
        <w:jc w:val="center"/>
        <w:rPr>
          <w:b/>
          <w:caps/>
          <w:color w:val="000000" w:themeColor="text1"/>
        </w:rPr>
      </w:pPr>
      <w:r w:rsidRPr="005A3A2F">
        <w:rPr>
          <w:b/>
          <w:bCs/>
          <w:caps/>
        </w:rPr>
        <w:t xml:space="preserve">DĖL </w:t>
      </w:r>
      <w:r w:rsidRPr="005A3A2F">
        <w:rPr>
          <w:b/>
          <w:caps/>
          <w:color w:val="000000" w:themeColor="text1"/>
        </w:rPr>
        <w:t>Lietuvos Respublikos Vyriausybės nutarimo „Dėl Šventosios jūrų uosto žemės nuomos konkurso tvarkos</w:t>
      </w:r>
    </w:p>
    <w:p w14:paraId="72B08E8E" w14:textId="77777777" w:rsidR="00335B57" w:rsidRPr="005A3A2F" w:rsidRDefault="00335B57" w:rsidP="00335B57">
      <w:pPr>
        <w:autoSpaceDE w:val="0"/>
        <w:autoSpaceDN w:val="0"/>
        <w:adjustRightInd w:val="0"/>
        <w:jc w:val="center"/>
        <w:rPr>
          <w:b/>
          <w:caps/>
          <w:color w:val="000000" w:themeColor="text1"/>
        </w:rPr>
      </w:pPr>
      <w:r w:rsidRPr="005A3A2F">
        <w:rPr>
          <w:b/>
          <w:caps/>
          <w:color w:val="000000" w:themeColor="text1"/>
        </w:rPr>
        <w:t>aprašo, Šventosios jūrų uosto žemės nuomos sutarties pavyzdinės formos ir Šventosios jūrų uosto</w:t>
      </w:r>
    </w:p>
    <w:p w14:paraId="7A59D3BF" w14:textId="77777777" w:rsidR="00335B57" w:rsidRPr="005A3A2F" w:rsidRDefault="00335B57" w:rsidP="00335B57">
      <w:pPr>
        <w:ind w:firstLine="1298"/>
        <w:jc w:val="center"/>
        <w:rPr>
          <w:b/>
          <w:caps/>
        </w:rPr>
      </w:pPr>
      <w:r w:rsidRPr="005A3A2F">
        <w:rPr>
          <w:b/>
          <w:caps/>
          <w:color w:val="000000" w:themeColor="text1"/>
        </w:rPr>
        <w:t>žemės nuomos mokesčio apskaičiavimo tvarkos aprašo patvirtinimo“ projekto</w:t>
      </w:r>
    </w:p>
    <w:p w14:paraId="631D3175" w14:textId="77777777" w:rsidR="00335B57" w:rsidRPr="005A3A2F" w:rsidRDefault="00335B57" w:rsidP="00335B57">
      <w:pPr>
        <w:ind w:firstLine="1298"/>
        <w:jc w:val="center"/>
        <w:rPr>
          <w:b/>
          <w:bCs/>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56"/>
        <w:gridCol w:w="6630"/>
        <w:gridCol w:w="6633"/>
      </w:tblGrid>
      <w:tr w:rsidR="00335B57" w:rsidRPr="005A3A2F" w14:paraId="4F20C31F" w14:textId="77777777" w:rsidTr="006A4979">
        <w:tc>
          <w:tcPr>
            <w:tcW w:w="781" w:type="pct"/>
            <w:tcMar>
              <w:top w:w="0" w:type="dxa"/>
              <w:left w:w="108" w:type="dxa"/>
              <w:bottom w:w="0" w:type="dxa"/>
              <w:right w:w="108" w:type="dxa"/>
            </w:tcMar>
          </w:tcPr>
          <w:p w14:paraId="71FF4512" w14:textId="77777777" w:rsidR="00335B57" w:rsidRPr="005A3A2F" w:rsidRDefault="00335B57" w:rsidP="000A0D1C">
            <w:pPr>
              <w:jc w:val="center"/>
              <w:rPr>
                <w:b/>
                <w:bCs/>
              </w:rPr>
            </w:pPr>
            <w:r w:rsidRPr="005A3A2F">
              <w:rPr>
                <w:b/>
              </w:rPr>
              <w:t>Pastabas ir (arba) pasiūlymus pateikusių asmenų, institucijų pavadinimas arba vardas, pavardė</w:t>
            </w:r>
          </w:p>
        </w:tc>
        <w:tc>
          <w:tcPr>
            <w:tcW w:w="2109" w:type="pct"/>
            <w:tcMar>
              <w:top w:w="0" w:type="dxa"/>
              <w:left w:w="108" w:type="dxa"/>
              <w:bottom w:w="0" w:type="dxa"/>
              <w:right w:w="108" w:type="dxa"/>
            </w:tcMar>
            <w:vAlign w:val="center"/>
          </w:tcPr>
          <w:p w14:paraId="6909AF22" w14:textId="6A01D735" w:rsidR="00335B57" w:rsidRPr="005A3A2F" w:rsidRDefault="00335B57" w:rsidP="000A0D1C">
            <w:pPr>
              <w:ind w:left="338"/>
              <w:jc w:val="center"/>
              <w:rPr>
                <w:b/>
                <w:bCs/>
              </w:rPr>
            </w:pPr>
            <w:r w:rsidRPr="005A3A2F">
              <w:rPr>
                <w:b/>
              </w:rPr>
              <w:t xml:space="preserve">Pastabos ir (ar) pasiūlymai, </w:t>
            </w:r>
            <w:r w:rsidRPr="005A3A2F">
              <w:rPr>
                <w:b/>
                <w:bCs/>
              </w:rPr>
              <w:t>į kuriuos neatsižvelgta ar atsižvelgta iš dalies</w:t>
            </w:r>
          </w:p>
        </w:tc>
        <w:tc>
          <w:tcPr>
            <w:tcW w:w="2110" w:type="pct"/>
            <w:tcMar>
              <w:top w:w="0" w:type="dxa"/>
              <w:left w:w="108" w:type="dxa"/>
              <w:bottom w:w="0" w:type="dxa"/>
              <w:right w:w="108" w:type="dxa"/>
            </w:tcMar>
            <w:vAlign w:val="center"/>
          </w:tcPr>
          <w:p w14:paraId="3390A543" w14:textId="11DBEC6A" w:rsidR="00335B57" w:rsidRPr="005A3A2F" w:rsidRDefault="000A0D1C" w:rsidP="000A0D1C">
            <w:pPr>
              <w:ind w:left="319"/>
              <w:jc w:val="center"/>
              <w:rPr>
                <w:b/>
              </w:rPr>
            </w:pPr>
            <w:r w:rsidRPr="005A3A2F">
              <w:rPr>
                <w:b/>
              </w:rPr>
              <w:t>Argumentai, kodėl neatsižvelgta arba tik iš dalies atsižvelgta į pastabas ir (ar) pasiūlymus</w:t>
            </w:r>
          </w:p>
        </w:tc>
      </w:tr>
      <w:tr w:rsidR="00496BEC" w:rsidRPr="005A3A2F" w14:paraId="57483D90" w14:textId="77777777" w:rsidTr="006A4979">
        <w:tc>
          <w:tcPr>
            <w:tcW w:w="781" w:type="pct"/>
            <w:vMerge w:val="restart"/>
            <w:tcMar>
              <w:top w:w="0" w:type="dxa"/>
              <w:left w:w="108" w:type="dxa"/>
              <w:bottom w:w="0" w:type="dxa"/>
              <w:right w:w="108" w:type="dxa"/>
            </w:tcMar>
          </w:tcPr>
          <w:p w14:paraId="36EA568D" w14:textId="541CC6FE" w:rsidR="00496BEC" w:rsidRPr="005A3A2F" w:rsidRDefault="00496BEC" w:rsidP="006A4979">
            <w:r w:rsidRPr="005A3A2F">
              <w:t xml:space="preserve">Lietuvos  Respublikos </w:t>
            </w:r>
            <w:r w:rsidR="000A0D1C" w:rsidRPr="005A3A2F">
              <w:t>t</w:t>
            </w:r>
            <w:r w:rsidRPr="005A3A2F">
              <w:t xml:space="preserve">eisingumo ministerijos 2018-07-18 išvada Nr. 18-8405. </w:t>
            </w:r>
          </w:p>
        </w:tc>
        <w:tc>
          <w:tcPr>
            <w:tcW w:w="2109" w:type="pct"/>
            <w:tcMar>
              <w:top w:w="0" w:type="dxa"/>
              <w:left w:w="108" w:type="dxa"/>
              <w:bottom w:w="0" w:type="dxa"/>
              <w:right w:w="108" w:type="dxa"/>
            </w:tcMar>
          </w:tcPr>
          <w:p w14:paraId="57073457" w14:textId="77777777" w:rsidR="00496BEC" w:rsidRPr="005A3A2F" w:rsidRDefault="00496BEC" w:rsidP="006A4979">
            <w:pPr>
              <w:pStyle w:val="ListParagraph"/>
              <w:tabs>
                <w:tab w:val="left" w:pos="55"/>
                <w:tab w:val="left" w:pos="196"/>
                <w:tab w:val="left" w:pos="511"/>
              </w:tabs>
              <w:ind w:left="61"/>
              <w:jc w:val="both"/>
            </w:pPr>
            <w:r w:rsidRPr="005A3A2F">
              <w:t xml:space="preserve">9. Konkurso tvarkos aprašo projekto 36 punkte nurodoma, kad pasiūlymų vertinimo kriterijai turi būti skelbiami informaciniame pranešime apie konkursą, tačiau pastebėtina, kad Konkurso tvarkos aprašo projekto 16 punkte, reglamentuojančiame informacinio pranešimo turinį, tai nenurodoma. </w:t>
            </w:r>
          </w:p>
        </w:tc>
        <w:tc>
          <w:tcPr>
            <w:tcW w:w="2110" w:type="pct"/>
            <w:tcMar>
              <w:top w:w="0" w:type="dxa"/>
              <w:left w:w="108" w:type="dxa"/>
              <w:bottom w:w="0" w:type="dxa"/>
              <w:right w:w="108" w:type="dxa"/>
            </w:tcMar>
          </w:tcPr>
          <w:p w14:paraId="4A6FD4A2" w14:textId="77777777" w:rsidR="00496BEC" w:rsidRPr="005A3A2F" w:rsidRDefault="00496BEC" w:rsidP="006A4979">
            <w:pPr>
              <w:jc w:val="both"/>
              <w:rPr>
                <w:b/>
                <w:color w:val="000000" w:themeColor="text1"/>
              </w:rPr>
            </w:pPr>
            <w:r w:rsidRPr="005A3A2F">
              <w:rPr>
                <w:b/>
                <w:color w:val="000000" w:themeColor="text1"/>
              </w:rPr>
              <w:t>Atsižvelgt</w:t>
            </w:r>
            <w:r w:rsidR="00AC5BE1" w:rsidRPr="005A3A2F">
              <w:rPr>
                <w:b/>
                <w:color w:val="000000" w:themeColor="text1"/>
              </w:rPr>
              <w:t>a</w:t>
            </w:r>
            <w:r w:rsidRPr="005A3A2F">
              <w:rPr>
                <w:b/>
                <w:color w:val="000000" w:themeColor="text1"/>
              </w:rPr>
              <w:t xml:space="preserve"> iš dalies.</w:t>
            </w:r>
          </w:p>
          <w:p w14:paraId="3F3D1B53" w14:textId="77777777" w:rsidR="00496BEC" w:rsidRPr="005A3A2F" w:rsidRDefault="00496BEC" w:rsidP="006A4979">
            <w:pPr>
              <w:tabs>
                <w:tab w:val="left" w:pos="851"/>
              </w:tabs>
              <w:ind w:left="14"/>
              <w:jc w:val="both"/>
            </w:pPr>
            <w:r w:rsidRPr="005A3A2F">
              <w:t xml:space="preserve">Konkurso tvarkos aprašo projekto 14 punktas numato, kad </w:t>
            </w:r>
            <w:r w:rsidRPr="005A3A2F">
              <w:rPr>
                <w:color w:val="000000" w:themeColor="text1"/>
              </w:rPr>
              <w:t>Taryba</w:t>
            </w:r>
            <w:r w:rsidRPr="005A3A2F">
              <w:t>, prieš skelbdama konkursą, patvirtina konkurso sąlygas, kurias sudaro:</w:t>
            </w:r>
          </w:p>
          <w:p w14:paraId="264E1C24" w14:textId="77777777" w:rsidR="00496BEC" w:rsidRPr="005A3A2F" w:rsidRDefault="00496BEC" w:rsidP="006A4979">
            <w:pPr>
              <w:tabs>
                <w:tab w:val="left" w:pos="851"/>
              </w:tabs>
              <w:jc w:val="both"/>
            </w:pPr>
            <w:r w:rsidRPr="005A3A2F">
              <w:t>&lt;...14.8. pasiūlymų vertinimo kriterijai;...&gt;</w:t>
            </w:r>
          </w:p>
          <w:p w14:paraId="1D9A5484" w14:textId="4654BF7A" w:rsidR="00496BEC" w:rsidRPr="005A3A2F" w:rsidRDefault="00496BEC" w:rsidP="006A4979">
            <w:pPr>
              <w:tabs>
                <w:tab w:val="left" w:pos="851"/>
              </w:tabs>
              <w:jc w:val="both"/>
            </w:pPr>
            <w:r w:rsidRPr="005A3A2F">
              <w:t>Konkurso tvarkos aprašo projekto 16 punk</w:t>
            </w:r>
            <w:r w:rsidR="00E65826" w:rsidRPr="005A3A2F">
              <w:t>to</w:t>
            </w:r>
            <w:r w:rsidRPr="005A3A2F">
              <w:t>, reglamentuojanči</w:t>
            </w:r>
            <w:r w:rsidR="00E65826" w:rsidRPr="005A3A2F">
              <w:t>o</w:t>
            </w:r>
            <w:r w:rsidRPr="005A3A2F">
              <w:t xml:space="preserve"> informacinio pranešimo turinį, </w:t>
            </w:r>
            <w:r w:rsidR="00E65826" w:rsidRPr="005A3A2F">
              <w:t xml:space="preserve">16.7 papunktyje </w:t>
            </w:r>
            <w:r w:rsidRPr="005A3A2F">
              <w:t xml:space="preserve">nurodoma, jog informaciniame pranešime nurodomos konkurso sąlygos.  </w:t>
            </w:r>
          </w:p>
          <w:p w14:paraId="44A911B6" w14:textId="057E3BB8" w:rsidR="00496BEC" w:rsidRPr="005A3A2F" w:rsidRDefault="00496BEC" w:rsidP="006A4979">
            <w:pPr>
              <w:tabs>
                <w:tab w:val="left" w:pos="851"/>
              </w:tabs>
              <w:ind w:left="14"/>
              <w:jc w:val="both"/>
            </w:pPr>
            <w:r w:rsidRPr="005A3A2F">
              <w:t xml:space="preserve">Konkurso tvarkos aprašo projekto 36 punkto </w:t>
            </w:r>
            <w:r w:rsidR="000A0D1C" w:rsidRPr="005A3A2F">
              <w:t>pirma</w:t>
            </w:r>
            <w:r w:rsidRPr="005A3A2F">
              <w:t>sis sakinys patikslintas nuostata dėl konkurso sąlygomis nustatytų vertinimo kriterijų ir išdėstytas taip:</w:t>
            </w:r>
          </w:p>
          <w:p w14:paraId="25195114" w14:textId="08554867" w:rsidR="00496BEC" w:rsidRPr="005A3A2F" w:rsidRDefault="00496BEC" w:rsidP="006A4979">
            <w:pPr>
              <w:tabs>
                <w:tab w:val="left" w:pos="851"/>
              </w:tabs>
              <w:ind w:left="14"/>
              <w:jc w:val="both"/>
              <w:rPr>
                <w:color w:val="1F497D"/>
              </w:rPr>
            </w:pPr>
            <w:r w:rsidRPr="005A3A2F">
              <w:t xml:space="preserve">„Konkurso komisijai atlikus Tvarkos aprašo 34 punkte ir, jeigu buvo reikalinga, 35 punkte nurodytus veiksmus, pagal </w:t>
            </w:r>
            <w:r w:rsidRPr="005A3A2F">
              <w:rPr>
                <w:i/>
              </w:rPr>
              <w:t>konkurso sąlygo</w:t>
            </w:r>
            <w:r w:rsidR="000A0D1C" w:rsidRPr="005A3A2F">
              <w:rPr>
                <w:i/>
              </w:rPr>
              <w:t>mis</w:t>
            </w:r>
            <w:r w:rsidRPr="005A3A2F">
              <w:t xml:space="preserve"> nustatytus vertinimo kriterijus, kurie buvo paskelbti informaciniame skelbime, balais įvertinami kiekvieno konkurso dalyvio, kurių pasiūlymai nebuvo atmesti, pasiūlymai ir nustatoma konkurso dalyvių pasiūlymų eilė, ją sudarant balų mažėjimo tvarka (toliau – pasiūlymų eilė)...&gt;“. </w:t>
            </w:r>
          </w:p>
        </w:tc>
      </w:tr>
      <w:tr w:rsidR="00496BEC" w:rsidRPr="005A3A2F" w14:paraId="0296A469" w14:textId="77777777" w:rsidTr="006A4979">
        <w:tc>
          <w:tcPr>
            <w:tcW w:w="781" w:type="pct"/>
            <w:vMerge/>
            <w:tcMar>
              <w:top w:w="0" w:type="dxa"/>
              <w:left w:w="108" w:type="dxa"/>
              <w:bottom w:w="0" w:type="dxa"/>
              <w:right w:w="108" w:type="dxa"/>
            </w:tcMar>
          </w:tcPr>
          <w:p w14:paraId="096E9A3A" w14:textId="77777777" w:rsidR="00496BEC" w:rsidRPr="005A3A2F" w:rsidRDefault="00496BEC" w:rsidP="006A4979">
            <w:pPr>
              <w:ind w:firstLine="1298"/>
            </w:pPr>
          </w:p>
        </w:tc>
        <w:tc>
          <w:tcPr>
            <w:tcW w:w="2109" w:type="pct"/>
            <w:tcMar>
              <w:top w:w="0" w:type="dxa"/>
              <w:left w:w="108" w:type="dxa"/>
              <w:bottom w:w="0" w:type="dxa"/>
              <w:right w:w="108" w:type="dxa"/>
            </w:tcMar>
          </w:tcPr>
          <w:p w14:paraId="731F5F89" w14:textId="257DF370" w:rsidR="00496BEC" w:rsidRPr="005A3A2F" w:rsidRDefault="00496BEC" w:rsidP="00FD36AF">
            <w:pPr>
              <w:pStyle w:val="ListParagraph"/>
              <w:tabs>
                <w:tab w:val="left" w:pos="55"/>
                <w:tab w:val="left" w:pos="511"/>
              </w:tabs>
              <w:ind w:left="61"/>
              <w:jc w:val="both"/>
            </w:pPr>
            <w:r w:rsidRPr="005A3A2F">
              <w:t xml:space="preserve">19. Sutarties pavyzdinės formos projekto Sutarties 1 priedo 2 punkto nuostatas siūlytina perkelti ir dėstyti prie Sutarties 1 priedo 9 punkto. </w:t>
            </w:r>
          </w:p>
        </w:tc>
        <w:tc>
          <w:tcPr>
            <w:tcW w:w="2110" w:type="pct"/>
            <w:tcMar>
              <w:top w:w="0" w:type="dxa"/>
              <w:left w:w="108" w:type="dxa"/>
              <w:bottom w:w="0" w:type="dxa"/>
              <w:right w:w="108" w:type="dxa"/>
            </w:tcMar>
          </w:tcPr>
          <w:p w14:paraId="15A0FB04" w14:textId="77777777" w:rsidR="00496BEC" w:rsidRPr="005A3A2F" w:rsidRDefault="00496BEC" w:rsidP="006A4979">
            <w:pPr>
              <w:jc w:val="both"/>
              <w:rPr>
                <w:b/>
              </w:rPr>
            </w:pPr>
            <w:r w:rsidRPr="005A3A2F">
              <w:rPr>
                <w:b/>
              </w:rPr>
              <w:t>Neatsižvelgt</w:t>
            </w:r>
            <w:r w:rsidR="00AC5BE1" w:rsidRPr="005A3A2F">
              <w:rPr>
                <w:b/>
              </w:rPr>
              <w:t>a</w:t>
            </w:r>
            <w:r w:rsidRPr="005A3A2F">
              <w:rPr>
                <w:b/>
              </w:rPr>
              <w:t>.</w:t>
            </w:r>
          </w:p>
          <w:p w14:paraId="5BCA7FD3" w14:textId="76E35597" w:rsidR="00496BEC" w:rsidRPr="005A3A2F" w:rsidRDefault="00496BEC" w:rsidP="006A4979">
            <w:pPr>
              <w:jc w:val="both"/>
              <w:rPr>
                <w:b/>
                <w:color w:val="1F497D"/>
              </w:rPr>
            </w:pPr>
            <w:r w:rsidRPr="005A3A2F">
              <w:t xml:space="preserve">Sutarties pavyzdinės formos projekto Sutarties 1 priedo 2 punkto nuostatos apibrėžia </w:t>
            </w:r>
            <w:r w:rsidRPr="005A3A2F">
              <w:rPr>
                <w:b/>
              </w:rPr>
              <w:t>Nuomotojo</w:t>
            </w:r>
            <w:r w:rsidRPr="005A3A2F">
              <w:t xml:space="preserve"> pareigas ir įsipareigojimus, 9 punkto nuostatos – </w:t>
            </w:r>
            <w:r w:rsidRPr="005A3A2F">
              <w:rPr>
                <w:b/>
              </w:rPr>
              <w:t>Nuomininko.</w:t>
            </w:r>
          </w:p>
        </w:tc>
      </w:tr>
      <w:tr w:rsidR="00663D70" w:rsidRPr="005A3A2F" w14:paraId="709886F3" w14:textId="77777777" w:rsidTr="006A4979">
        <w:tc>
          <w:tcPr>
            <w:tcW w:w="781" w:type="pct"/>
            <w:vMerge/>
            <w:tcMar>
              <w:top w:w="0" w:type="dxa"/>
              <w:left w:w="108" w:type="dxa"/>
              <w:bottom w:w="0" w:type="dxa"/>
              <w:right w:w="108" w:type="dxa"/>
            </w:tcMar>
          </w:tcPr>
          <w:p w14:paraId="682E130E" w14:textId="77777777" w:rsidR="00663D70" w:rsidRPr="005A3A2F" w:rsidRDefault="00663D70" w:rsidP="00663D70">
            <w:pPr>
              <w:ind w:firstLine="1298"/>
            </w:pPr>
          </w:p>
        </w:tc>
        <w:tc>
          <w:tcPr>
            <w:tcW w:w="2109" w:type="pct"/>
            <w:tcMar>
              <w:top w:w="0" w:type="dxa"/>
              <w:left w:w="108" w:type="dxa"/>
              <w:bottom w:w="0" w:type="dxa"/>
              <w:right w:w="108" w:type="dxa"/>
            </w:tcMar>
          </w:tcPr>
          <w:p w14:paraId="4A9DE1CB" w14:textId="6BF0CB8E" w:rsidR="00663D70" w:rsidRPr="005A3A2F" w:rsidRDefault="00663D70" w:rsidP="00663D70">
            <w:pPr>
              <w:pStyle w:val="ListParagraph"/>
              <w:tabs>
                <w:tab w:val="left" w:pos="511"/>
              </w:tabs>
              <w:ind w:left="61"/>
              <w:jc w:val="both"/>
            </w:pPr>
            <w:r w:rsidRPr="005A3A2F">
              <w:t xml:space="preserve">25. Kalbos požiūriu peržiūrėtina Mokesčio apskaičiavimo tvarkos aprašo projekto 11 punkto pirmojo sakinio formuluotė. </w:t>
            </w:r>
            <w:bookmarkStart w:id="0" w:name="_GoBack"/>
            <w:bookmarkEnd w:id="0"/>
          </w:p>
        </w:tc>
        <w:tc>
          <w:tcPr>
            <w:tcW w:w="2110" w:type="pct"/>
            <w:tcMar>
              <w:top w:w="0" w:type="dxa"/>
              <w:left w:w="108" w:type="dxa"/>
              <w:bottom w:w="0" w:type="dxa"/>
              <w:right w:w="108" w:type="dxa"/>
            </w:tcMar>
          </w:tcPr>
          <w:p w14:paraId="1229F43F" w14:textId="77777777" w:rsidR="00663D70" w:rsidRPr="005A3A2F" w:rsidRDefault="00663D70" w:rsidP="00663D70">
            <w:pPr>
              <w:tabs>
                <w:tab w:val="left" w:pos="1080"/>
              </w:tabs>
              <w:jc w:val="both"/>
              <w:rPr>
                <w:b/>
                <w:color w:val="000000"/>
              </w:rPr>
            </w:pPr>
            <w:r w:rsidRPr="005A3A2F">
              <w:rPr>
                <w:b/>
                <w:color w:val="000000"/>
              </w:rPr>
              <w:t>Atsižvelgta iš dalies.</w:t>
            </w:r>
          </w:p>
          <w:p w14:paraId="6CCF87C5" w14:textId="1A8FEB29" w:rsidR="00663D70" w:rsidRPr="005A3A2F" w:rsidRDefault="00663D70" w:rsidP="00663D70">
            <w:pPr>
              <w:tabs>
                <w:tab w:val="left" w:pos="1080"/>
              </w:tabs>
              <w:jc w:val="both"/>
              <w:rPr>
                <w:color w:val="1F497D"/>
              </w:rPr>
            </w:pPr>
            <w:bookmarkStart w:id="1" w:name="part_eed693c6fa724d3fa49c10d1e413da2b"/>
            <w:bookmarkEnd w:id="1"/>
            <w:r w:rsidRPr="005A3A2F">
              <w:t xml:space="preserve">Mokesčio apskaičiavimo tvarkos aprašo projekto 11 punkto </w:t>
            </w:r>
            <w:r w:rsidR="002A2303" w:rsidRPr="005A3A2F">
              <w:t xml:space="preserve">atsisakyta </w:t>
            </w:r>
            <w:r w:rsidRPr="005A3A2F">
              <w:t xml:space="preserve">kaip neaktualaus – šios nuostatos išdėstytos Sutarties pavyzdinės formos projekto </w:t>
            </w:r>
            <w:r w:rsidRPr="005A3A2F">
              <w:rPr>
                <w:lang w:val="en-US"/>
              </w:rPr>
              <w:t>14</w:t>
            </w:r>
            <w:r w:rsidRPr="005A3A2F">
              <w:t>–16 punktuose, 17.5 papunktyje.</w:t>
            </w:r>
          </w:p>
        </w:tc>
      </w:tr>
      <w:tr w:rsidR="00663D70" w:rsidRPr="005A3A2F" w14:paraId="06C8BAD9" w14:textId="77777777" w:rsidTr="006A4979">
        <w:tc>
          <w:tcPr>
            <w:tcW w:w="781" w:type="pct"/>
            <w:vMerge/>
            <w:tcMar>
              <w:top w:w="0" w:type="dxa"/>
              <w:left w:w="108" w:type="dxa"/>
              <w:bottom w:w="0" w:type="dxa"/>
              <w:right w:w="108" w:type="dxa"/>
            </w:tcMar>
          </w:tcPr>
          <w:p w14:paraId="267E182F" w14:textId="77777777" w:rsidR="00663D70" w:rsidRPr="005A3A2F" w:rsidRDefault="00663D70" w:rsidP="00663D70">
            <w:pPr>
              <w:ind w:firstLine="1298"/>
            </w:pPr>
          </w:p>
        </w:tc>
        <w:tc>
          <w:tcPr>
            <w:tcW w:w="2109" w:type="pct"/>
            <w:tcMar>
              <w:top w:w="0" w:type="dxa"/>
              <w:left w:w="108" w:type="dxa"/>
              <w:bottom w:w="0" w:type="dxa"/>
              <w:right w:w="108" w:type="dxa"/>
            </w:tcMar>
          </w:tcPr>
          <w:p w14:paraId="4E7278F2" w14:textId="77777777" w:rsidR="00663D70" w:rsidRPr="005A3A2F" w:rsidRDefault="00663D70" w:rsidP="00663D70">
            <w:pPr>
              <w:pStyle w:val="ListParagraph"/>
              <w:tabs>
                <w:tab w:val="left" w:pos="55"/>
                <w:tab w:val="left" w:pos="196"/>
                <w:tab w:val="left" w:pos="511"/>
              </w:tabs>
              <w:ind w:left="61"/>
              <w:jc w:val="both"/>
            </w:pPr>
            <w:r w:rsidRPr="005A3A2F">
              <w:rPr>
                <w:lang w:val="en-US"/>
              </w:rPr>
              <w:t>27</w:t>
            </w:r>
            <w:r w:rsidRPr="005A3A2F">
              <w:t xml:space="preserve">. Mokesčio apskaičiavimo tvarkos aprašo projekto 13 punktu nurodoma, kad perskaičiavus uosto žemės nuomos mokesčio dydį </w:t>
            </w:r>
            <w:r w:rsidRPr="005A3A2F">
              <w:lastRenderedPageBreak/>
              <w:t xml:space="preserve">visais atvejais turi būti pakeista uosto žemės nuomos sutartis, kai tuo tarpu Sutarties pavyzdinės formos projekto 12 punkte numatomi atvejai ir nurodomos pasekmės, kai nuomininkas atsisakys pakeisti uosto žemės nuomos sutartį. Siūlytina suderinti. </w:t>
            </w:r>
          </w:p>
        </w:tc>
        <w:tc>
          <w:tcPr>
            <w:tcW w:w="2110" w:type="pct"/>
            <w:tcMar>
              <w:top w:w="0" w:type="dxa"/>
              <w:left w:w="108" w:type="dxa"/>
              <w:bottom w:w="0" w:type="dxa"/>
              <w:right w:w="108" w:type="dxa"/>
            </w:tcMar>
          </w:tcPr>
          <w:p w14:paraId="1896CCC2" w14:textId="77777777" w:rsidR="00663D70" w:rsidRPr="005A3A2F" w:rsidRDefault="00663D70" w:rsidP="00663D70">
            <w:pPr>
              <w:jc w:val="both"/>
              <w:rPr>
                <w:b/>
                <w:color w:val="000000" w:themeColor="text1"/>
              </w:rPr>
            </w:pPr>
            <w:r w:rsidRPr="005A3A2F">
              <w:rPr>
                <w:b/>
                <w:color w:val="000000" w:themeColor="text1"/>
              </w:rPr>
              <w:lastRenderedPageBreak/>
              <w:t>Atsižvelgta iš dalies.</w:t>
            </w:r>
          </w:p>
          <w:p w14:paraId="6C39F714" w14:textId="1EE3A0DE" w:rsidR="00663D70" w:rsidRPr="005A3A2F" w:rsidRDefault="00663D70" w:rsidP="00663D70">
            <w:pPr>
              <w:jc w:val="both"/>
              <w:rPr>
                <w:color w:val="1F497D"/>
              </w:rPr>
            </w:pPr>
            <w:r w:rsidRPr="005A3A2F">
              <w:rPr>
                <w:color w:val="000000" w:themeColor="text1"/>
              </w:rPr>
              <w:t>Mokesčio apskaičiavimo tvarkos aprašo projekto 13 punkto</w:t>
            </w:r>
            <w:r w:rsidR="009B0CBE" w:rsidRPr="005A3A2F">
              <w:rPr>
                <w:color w:val="000000" w:themeColor="text1"/>
              </w:rPr>
              <w:t xml:space="preserve"> </w:t>
            </w:r>
            <w:r w:rsidR="009B0CBE" w:rsidRPr="005A3A2F">
              <w:rPr>
                <w:color w:val="000000" w:themeColor="text1"/>
              </w:rPr>
              <w:lastRenderedPageBreak/>
              <w:t>atsisakyta</w:t>
            </w:r>
            <w:r w:rsidRPr="005A3A2F">
              <w:rPr>
                <w:color w:val="000000" w:themeColor="text1"/>
              </w:rPr>
              <w:t xml:space="preserve"> </w:t>
            </w:r>
            <w:r w:rsidR="009B0CBE" w:rsidRPr="005A3A2F">
              <w:rPr>
                <w:color w:val="000000" w:themeColor="text1"/>
              </w:rPr>
              <w:t xml:space="preserve">kaip neaktualaus – </w:t>
            </w:r>
            <w:r w:rsidRPr="005A3A2F">
              <w:rPr>
                <w:color w:val="000000" w:themeColor="text1"/>
              </w:rPr>
              <w:t xml:space="preserve">Sutarties </w:t>
            </w:r>
            <w:r w:rsidRPr="005A3A2F">
              <w:t>pavyzdinės formos projekto dalykas</w:t>
            </w:r>
            <w:r w:rsidRPr="005A3A2F">
              <w:rPr>
                <w:color w:val="000000" w:themeColor="text1"/>
              </w:rPr>
              <w:t>.</w:t>
            </w:r>
          </w:p>
        </w:tc>
      </w:tr>
      <w:tr w:rsidR="00663D70" w:rsidRPr="005A3A2F" w14:paraId="42F4E8A1" w14:textId="77777777" w:rsidTr="006A4979">
        <w:tc>
          <w:tcPr>
            <w:tcW w:w="781" w:type="pct"/>
            <w:vMerge/>
            <w:tcMar>
              <w:top w:w="0" w:type="dxa"/>
              <w:left w:w="108" w:type="dxa"/>
              <w:bottom w:w="0" w:type="dxa"/>
              <w:right w:w="108" w:type="dxa"/>
            </w:tcMar>
          </w:tcPr>
          <w:p w14:paraId="5DB4BE9E" w14:textId="77777777" w:rsidR="00663D70" w:rsidRPr="005A3A2F" w:rsidRDefault="00663D70" w:rsidP="00663D70">
            <w:pPr>
              <w:ind w:firstLine="1298"/>
            </w:pPr>
          </w:p>
        </w:tc>
        <w:tc>
          <w:tcPr>
            <w:tcW w:w="2109" w:type="pct"/>
            <w:tcMar>
              <w:top w:w="0" w:type="dxa"/>
              <w:left w:w="108" w:type="dxa"/>
              <w:bottom w:w="0" w:type="dxa"/>
              <w:right w:w="108" w:type="dxa"/>
            </w:tcMar>
          </w:tcPr>
          <w:p w14:paraId="7A019E8B" w14:textId="77777777" w:rsidR="00663D70" w:rsidRPr="005A3A2F" w:rsidRDefault="00663D70" w:rsidP="00663D70">
            <w:pPr>
              <w:pStyle w:val="ListParagraph"/>
              <w:tabs>
                <w:tab w:val="left" w:pos="55"/>
                <w:tab w:val="left" w:pos="196"/>
                <w:tab w:val="left" w:pos="511"/>
              </w:tabs>
              <w:ind w:left="61"/>
              <w:jc w:val="both"/>
            </w:pPr>
            <w:r w:rsidRPr="005A3A2F">
              <w:t xml:space="preserve">28. Pažymėtina, kad pagal Šventosios jūrų uosto įstatymo 10 straipsnio 1 ir 2 dalis nutarimo projektu siūlomus tvirtinti teisės aktų projektus Vyriausybei turėtų teikti Palangos miesto savivaldybės administracija. </w:t>
            </w:r>
          </w:p>
        </w:tc>
        <w:tc>
          <w:tcPr>
            <w:tcW w:w="2110" w:type="pct"/>
            <w:tcMar>
              <w:top w:w="0" w:type="dxa"/>
              <w:left w:w="108" w:type="dxa"/>
              <w:bottom w:w="0" w:type="dxa"/>
              <w:right w:w="108" w:type="dxa"/>
            </w:tcMar>
          </w:tcPr>
          <w:p w14:paraId="2B2C30F6" w14:textId="77777777" w:rsidR="00663D70" w:rsidRPr="005A3A2F" w:rsidRDefault="00663D70" w:rsidP="00663D70">
            <w:pPr>
              <w:jc w:val="both"/>
              <w:rPr>
                <w:b/>
                <w:color w:val="000000" w:themeColor="text1"/>
              </w:rPr>
            </w:pPr>
            <w:r w:rsidRPr="005A3A2F">
              <w:rPr>
                <w:b/>
                <w:color w:val="000000" w:themeColor="text1"/>
              </w:rPr>
              <w:t>Atsižvelgta iš dalies.</w:t>
            </w:r>
          </w:p>
          <w:p w14:paraId="595F0796" w14:textId="77777777" w:rsidR="00663D70" w:rsidRPr="005A3A2F" w:rsidRDefault="00663D70" w:rsidP="00663D70">
            <w:pPr>
              <w:jc w:val="both"/>
            </w:pPr>
            <w:r w:rsidRPr="005A3A2F">
              <w:rPr>
                <w:color w:val="000000" w:themeColor="text1"/>
              </w:rPr>
              <w:t xml:space="preserve">Atsižvelgiant į Lietuvos Respublikos </w:t>
            </w:r>
            <w:r w:rsidRPr="005A3A2F">
              <w:t>Šventosios valstybinio jūrų uosto įstatymo Nr. X-910 pakeitimo įstatymo 2 straipsnio 2 dalį, Susisiekimo ministerija ėmėsi iniciatyvos dėl įgyvendinamųjų teisės aktų, tvirtintinų Lietuvos Respublikos Vyriausybės nutarimu (-</w:t>
            </w:r>
            <w:proofErr w:type="spellStart"/>
            <w:r w:rsidRPr="005A3A2F">
              <w:t>ais</w:t>
            </w:r>
            <w:proofErr w:type="spellEnd"/>
            <w:r w:rsidRPr="005A3A2F">
              <w:t>) parengimo.</w:t>
            </w:r>
          </w:p>
          <w:p w14:paraId="2DB2E481" w14:textId="09CD8011" w:rsidR="00663D70" w:rsidRPr="005A3A2F" w:rsidRDefault="00663D70" w:rsidP="00663D70">
            <w:pPr>
              <w:jc w:val="both"/>
              <w:rPr>
                <w:b/>
                <w:color w:val="1F497D"/>
              </w:rPr>
            </w:pPr>
            <w:r w:rsidRPr="005A3A2F">
              <w:t xml:space="preserve">Palangos miesto savivaldybė pateikė išvadą, kad pastabų ir (ar) pasiūlymų </w:t>
            </w:r>
            <w:r w:rsidR="003A6C8B" w:rsidRPr="005A3A2F">
              <w:t xml:space="preserve">dėl nutarimo projekto </w:t>
            </w:r>
            <w:r w:rsidRPr="005A3A2F">
              <w:t xml:space="preserve">neturi.  </w:t>
            </w:r>
          </w:p>
        </w:tc>
      </w:tr>
      <w:tr w:rsidR="00663D70" w:rsidRPr="005A3A2F" w14:paraId="4F415639" w14:textId="77777777" w:rsidTr="006A4979">
        <w:tc>
          <w:tcPr>
            <w:tcW w:w="781" w:type="pct"/>
            <w:vMerge/>
            <w:tcMar>
              <w:top w:w="0" w:type="dxa"/>
              <w:left w:w="108" w:type="dxa"/>
              <w:bottom w:w="0" w:type="dxa"/>
              <w:right w:w="108" w:type="dxa"/>
            </w:tcMar>
          </w:tcPr>
          <w:p w14:paraId="488D3211" w14:textId="77777777" w:rsidR="00663D70" w:rsidRPr="005A3A2F" w:rsidRDefault="00663D70" w:rsidP="00663D70">
            <w:pPr>
              <w:ind w:firstLine="1298"/>
            </w:pPr>
          </w:p>
        </w:tc>
        <w:tc>
          <w:tcPr>
            <w:tcW w:w="2109" w:type="pct"/>
            <w:tcMar>
              <w:top w:w="0" w:type="dxa"/>
              <w:left w:w="108" w:type="dxa"/>
              <w:bottom w:w="0" w:type="dxa"/>
              <w:right w:w="108" w:type="dxa"/>
            </w:tcMar>
          </w:tcPr>
          <w:p w14:paraId="6BC69E40" w14:textId="77777777" w:rsidR="00663D70" w:rsidRPr="005A3A2F" w:rsidRDefault="00663D70" w:rsidP="00663D70">
            <w:pPr>
              <w:pStyle w:val="ListParagraph"/>
              <w:tabs>
                <w:tab w:val="left" w:pos="55"/>
                <w:tab w:val="left" w:pos="196"/>
                <w:tab w:val="left" w:pos="511"/>
              </w:tabs>
              <w:ind w:left="61"/>
              <w:jc w:val="both"/>
              <w:rPr>
                <w:color w:val="000000" w:themeColor="text1"/>
              </w:rPr>
            </w:pPr>
            <w:r w:rsidRPr="005A3A2F">
              <w:rPr>
                <w:color w:val="000000" w:themeColor="text1"/>
              </w:rPr>
              <w:t xml:space="preserve">29. Atkreipiame dėmesį, kad pagal Šventosios jūrų uosto įstatymo 10 straipsnio 3 dalį kaip įstatymo įgyvendinamasis teisės aktas Vyriausybės nutarimu turėtų būti patvirtinta ir Šventosios jūrų uosto žemės laikino perdavimo neatlygintinai naudotis valstybės institucijoms, kurių veikla uoste privaloma pagal Lietuvos Respublikos įstatymus, tvarka. Kyla klausimas, ar šio teisės akto projektas yra parengtas, ir kodėl jis nėra teikiamas tvirtinti nutarimo projektu. </w:t>
            </w:r>
          </w:p>
        </w:tc>
        <w:tc>
          <w:tcPr>
            <w:tcW w:w="2110" w:type="pct"/>
            <w:tcMar>
              <w:top w:w="0" w:type="dxa"/>
              <w:left w:w="108" w:type="dxa"/>
              <w:bottom w:w="0" w:type="dxa"/>
              <w:right w:w="108" w:type="dxa"/>
            </w:tcMar>
          </w:tcPr>
          <w:p w14:paraId="3DB1E28E" w14:textId="77777777" w:rsidR="00663D70" w:rsidRPr="005A3A2F" w:rsidRDefault="00663D70" w:rsidP="00663D70">
            <w:pPr>
              <w:jc w:val="both"/>
              <w:rPr>
                <w:b/>
                <w:color w:val="000000" w:themeColor="text1"/>
              </w:rPr>
            </w:pPr>
            <w:r w:rsidRPr="005A3A2F">
              <w:rPr>
                <w:b/>
                <w:color w:val="000000" w:themeColor="text1"/>
              </w:rPr>
              <w:t>Atsižvelgta iš dalies.</w:t>
            </w:r>
          </w:p>
          <w:p w14:paraId="7914B8D6" w14:textId="54093360" w:rsidR="00663D70" w:rsidRPr="005A3A2F" w:rsidRDefault="00663D70" w:rsidP="00663D70">
            <w:pPr>
              <w:jc w:val="both"/>
              <w:rPr>
                <w:color w:val="000000" w:themeColor="text1"/>
              </w:rPr>
            </w:pPr>
            <w:r w:rsidRPr="005A3A2F">
              <w:rPr>
                <w:color w:val="000000" w:themeColor="text1"/>
              </w:rPr>
              <w:t>Palangos miesto savivaldybės tarybos 2018 m. liepos 19 d. sprendimu Nr. T2-149 nuspręsta sutikti perimti valstybei nuosavybės teise priklausantį ir šiuo metu VĮ Klaipėdos valstybinio jūrų uosto direkcijos patikėjimo teise valdomą Šventosios jūrų uosto turtą valdyti, naudoti ir disponuoti juo patikėjimo teise.</w:t>
            </w:r>
          </w:p>
          <w:p w14:paraId="4B6ABDCF" w14:textId="77777777" w:rsidR="005F3428" w:rsidRPr="005A3A2F" w:rsidRDefault="005F3428" w:rsidP="005F3428">
            <w:pPr>
              <w:jc w:val="both"/>
              <w:rPr>
                <w:color w:val="000000" w:themeColor="text1"/>
              </w:rPr>
            </w:pPr>
            <w:r w:rsidRPr="005A3A2F">
              <w:rPr>
                <w:color w:val="000000" w:themeColor="text1"/>
              </w:rPr>
              <w:t>Lietuvos Respublikos Vyriausybės 2018 m. rugpjūčio 29 d. nutarimu Nr. 856 pakeistas Lietuvos Respublikos Vyriausybės 2009 m. rugsėjo 30 d. nutarimas Nr. 1197 „Dėl Šventosios valstybiniam jūrų uostui priskiriamo žemės sklypo ploto ir išorinės akvatorijos ribų ir ploto nustatymo ir uostui priskirtos žemės ir akvatorijos perdavimo valdyti, naudoti ir disponuoti jomis patikėjimo teise valstybės įmonei Klaipėdos valstybinio jūrų uosto direkcijai“, juo nustatyti Šventosios jūrų uostui priskirtų žemės sklypų plotai, taip pat nustatytos Šventosios jūrų uostui priskirtos akvatorijos ribos ir plotai, kurie perduoti Palangos miesto savivaldybei valdyti, naudoti ir disponuoti jais patikėjimo teise – Šventosios jūrų uosto valdytojo funkcijoms vykdyti.</w:t>
            </w:r>
          </w:p>
          <w:p w14:paraId="590082F1" w14:textId="77777777" w:rsidR="005F3428" w:rsidRPr="005A3A2F" w:rsidRDefault="005F3428" w:rsidP="005F3428">
            <w:pPr>
              <w:jc w:val="both"/>
              <w:rPr>
                <w:color w:val="000000" w:themeColor="text1"/>
              </w:rPr>
            </w:pPr>
            <w:r w:rsidRPr="005A3A2F">
              <w:rPr>
                <w:color w:val="000000" w:themeColor="text1"/>
              </w:rPr>
              <w:t>Lietuvos Respublikos Vyriausybės 2018-08-29 nutarimu Nr. 857 „</w:t>
            </w:r>
            <w:r w:rsidRPr="005A3A2F">
              <w:rPr>
                <w:rFonts w:eastAsia="Calibri"/>
                <w:color w:val="000000" w:themeColor="text1"/>
              </w:rPr>
              <w:t xml:space="preserve">Dėl </w:t>
            </w:r>
            <w:r w:rsidRPr="005A3A2F">
              <w:rPr>
                <w:bCs/>
                <w:color w:val="000000" w:themeColor="text1"/>
              </w:rPr>
              <w:t xml:space="preserve">turto perdavimo valdyti, naudoti ir disponuoti juo patikėjimo </w:t>
            </w:r>
            <w:r w:rsidRPr="005A3A2F">
              <w:rPr>
                <w:bCs/>
                <w:color w:val="000000" w:themeColor="text1"/>
              </w:rPr>
              <w:lastRenderedPageBreak/>
              <w:t>teise Palangos miesto savivaldybei</w:t>
            </w:r>
            <w:r w:rsidRPr="005A3A2F">
              <w:rPr>
                <w:color w:val="000000" w:themeColor="text1"/>
              </w:rPr>
              <w:t xml:space="preserve">“ perduotas Palangos miesto savivaldybei valdyti, naudoti ir disponuoti juo patikėjimo teise valstybinei (valstybės perduotai savivaldybei) funkcijai įgyvendinti valstybei nuosavybės teise priklausantis ir valstybės įmonės Klaipėdos valstybinio jūrų uosto direkcijos patikėjimo teise valdytas nekilnojamasis, ilgalaikis materialusis ir nematerialusis turtas.  </w:t>
            </w:r>
          </w:p>
          <w:p w14:paraId="457BCE09" w14:textId="07F2D8F0" w:rsidR="005F3428" w:rsidRPr="005A3A2F" w:rsidRDefault="005F3428" w:rsidP="005F3428">
            <w:pPr>
              <w:jc w:val="both"/>
              <w:rPr>
                <w:color w:val="000000" w:themeColor="text1"/>
              </w:rPr>
            </w:pPr>
            <w:r w:rsidRPr="005A3A2F">
              <w:rPr>
                <w:color w:val="000000" w:themeColor="text1"/>
              </w:rPr>
              <w:t>Valstybinės žemės perdavimo neatlygintinai naudotis taisyklės, patvirtintos Lietuvos Respublikos Vyriausybės</w:t>
            </w:r>
            <w:r w:rsidR="00666235" w:rsidRPr="005A3A2F">
              <w:rPr>
                <w:color w:val="000000" w:themeColor="text1"/>
              </w:rPr>
              <w:t xml:space="preserve"> 1995-11-13 nutarimu Nr. 1426.</w:t>
            </w:r>
          </w:p>
          <w:p w14:paraId="7A047D8E" w14:textId="4D6107C9" w:rsidR="00184CCF" w:rsidRPr="005A3A2F" w:rsidRDefault="00184CCF" w:rsidP="005F3428">
            <w:pPr>
              <w:jc w:val="both"/>
              <w:rPr>
                <w:color w:val="000000" w:themeColor="text1"/>
              </w:rPr>
            </w:pPr>
            <w:r w:rsidRPr="005A3A2F">
              <w:rPr>
                <w:color w:val="000000" w:themeColor="text1"/>
              </w:rPr>
              <w:t>Valstybinės žemės perdavimo laikinai neatlygintinai naudotis Klaipėdos valstybiniame jūrų uoste ir Šventosios valstybiniame jūrų uoste tvarkos aprašas</w:t>
            </w:r>
            <w:r w:rsidR="00666235" w:rsidRPr="005A3A2F">
              <w:rPr>
                <w:color w:val="000000" w:themeColor="text1"/>
              </w:rPr>
              <w:t>, patvirtintas Lietuvos Respublikos Vyriausybės 2007-07-04 nutarimu Nr. 747.</w:t>
            </w:r>
          </w:p>
          <w:p w14:paraId="6780B234" w14:textId="07082D23" w:rsidR="00663D70" w:rsidRPr="005A3A2F" w:rsidRDefault="00666235" w:rsidP="006D5061">
            <w:pPr>
              <w:jc w:val="both"/>
              <w:rPr>
                <w:b/>
                <w:color w:val="000000" w:themeColor="text1"/>
              </w:rPr>
            </w:pPr>
            <w:r w:rsidRPr="005A3A2F">
              <w:rPr>
                <w:color w:val="000000" w:themeColor="text1"/>
              </w:rPr>
              <w:t>Palangos miesto savivaldybė perėmusi valstybei nuosavybės teise priklausantį Šventosios jūrų uosto turtą valdyti, naudoti ir disponuoti juo patikėjimo teise, įvertinusi esamą realią situaciją, teiks siūlymus ir pastabas dėl Valstybinės žemės perdavimo laikinai neatlygintinai naudotis Klaipėdos valstybiniame jūrų uoste ir Šventosios valstybiniame jūrų uoste tvarkos aprašo pakeitimo.</w:t>
            </w:r>
          </w:p>
        </w:tc>
      </w:tr>
    </w:tbl>
    <w:p w14:paraId="1895A0AD" w14:textId="77777777" w:rsidR="00422944" w:rsidRPr="005A3A2F" w:rsidRDefault="00422944" w:rsidP="00335B57"/>
    <w:sectPr w:rsidR="00422944" w:rsidRPr="005A3A2F" w:rsidSect="00F84BFF">
      <w:headerReference w:type="default" r:id="rId7"/>
      <w:footerReference w:type="default" r:id="rId8"/>
      <w:pgSz w:w="16838" w:h="11906" w:orient="landscape" w:code="9"/>
      <w:pgMar w:top="567" w:right="567" w:bottom="426" w:left="567"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10232" w14:textId="77777777" w:rsidR="00751B82" w:rsidRDefault="00751B82">
      <w:r>
        <w:separator/>
      </w:r>
    </w:p>
  </w:endnote>
  <w:endnote w:type="continuationSeparator" w:id="0">
    <w:p w14:paraId="06EEC98A" w14:textId="77777777" w:rsidR="00751B82" w:rsidRDefault="0075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A7B3B" w14:textId="77777777" w:rsidR="00523F39" w:rsidRDefault="00751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34F7B" w14:textId="77777777" w:rsidR="00751B82" w:rsidRDefault="00751B82">
      <w:r>
        <w:separator/>
      </w:r>
    </w:p>
  </w:footnote>
  <w:footnote w:type="continuationSeparator" w:id="0">
    <w:p w14:paraId="2C07A58F" w14:textId="77777777" w:rsidR="00751B82" w:rsidRDefault="00751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343FC" w14:textId="77777777" w:rsidR="004018CB" w:rsidRDefault="00B83A6F">
    <w:pPr>
      <w:pStyle w:val="Header"/>
      <w:jc w:val="center"/>
    </w:pPr>
    <w:r>
      <w:fldChar w:fldCharType="begin"/>
    </w:r>
    <w:r>
      <w:instrText xml:space="preserve"> PAGE   \* MERGEFORMAT </w:instrText>
    </w:r>
    <w:r>
      <w:fldChar w:fldCharType="separate"/>
    </w:r>
    <w:r>
      <w:rPr>
        <w:noProof/>
      </w:rPr>
      <w:t>2</w:t>
    </w:r>
    <w:r>
      <w:fldChar w:fldCharType="end"/>
    </w:r>
  </w:p>
  <w:p w14:paraId="5923D67D" w14:textId="77777777" w:rsidR="004018CB" w:rsidRDefault="00751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B5FE0"/>
    <w:multiLevelType w:val="hybridMultilevel"/>
    <w:tmpl w:val="D38AF63A"/>
    <w:lvl w:ilvl="0" w:tplc="6C72DF1A">
      <w:start w:val="1"/>
      <w:numFmt w:val="decimal"/>
      <w:lvlText w:val="%1."/>
      <w:lvlJc w:val="left"/>
      <w:pPr>
        <w:ind w:left="5747" w:hanging="360"/>
      </w:pPr>
      <w:rPr>
        <w:rFonts w:hint="default"/>
        <w:b/>
        <w:color w:val="auto"/>
      </w:rPr>
    </w:lvl>
    <w:lvl w:ilvl="1" w:tplc="04270019" w:tentative="1">
      <w:start w:val="1"/>
      <w:numFmt w:val="lowerLetter"/>
      <w:lvlText w:val="%2."/>
      <w:lvlJc w:val="left"/>
      <w:pPr>
        <w:ind w:left="6958" w:hanging="360"/>
      </w:pPr>
    </w:lvl>
    <w:lvl w:ilvl="2" w:tplc="0427001B" w:tentative="1">
      <w:start w:val="1"/>
      <w:numFmt w:val="lowerRoman"/>
      <w:lvlText w:val="%3."/>
      <w:lvlJc w:val="right"/>
      <w:pPr>
        <w:ind w:left="7678" w:hanging="180"/>
      </w:pPr>
    </w:lvl>
    <w:lvl w:ilvl="3" w:tplc="0427000F" w:tentative="1">
      <w:start w:val="1"/>
      <w:numFmt w:val="decimal"/>
      <w:lvlText w:val="%4."/>
      <w:lvlJc w:val="left"/>
      <w:pPr>
        <w:ind w:left="8398" w:hanging="360"/>
      </w:pPr>
    </w:lvl>
    <w:lvl w:ilvl="4" w:tplc="04270019" w:tentative="1">
      <w:start w:val="1"/>
      <w:numFmt w:val="lowerLetter"/>
      <w:lvlText w:val="%5."/>
      <w:lvlJc w:val="left"/>
      <w:pPr>
        <w:ind w:left="9118" w:hanging="360"/>
      </w:pPr>
    </w:lvl>
    <w:lvl w:ilvl="5" w:tplc="0427001B" w:tentative="1">
      <w:start w:val="1"/>
      <w:numFmt w:val="lowerRoman"/>
      <w:lvlText w:val="%6."/>
      <w:lvlJc w:val="right"/>
      <w:pPr>
        <w:ind w:left="9838" w:hanging="180"/>
      </w:pPr>
    </w:lvl>
    <w:lvl w:ilvl="6" w:tplc="0427000F" w:tentative="1">
      <w:start w:val="1"/>
      <w:numFmt w:val="decimal"/>
      <w:lvlText w:val="%7."/>
      <w:lvlJc w:val="left"/>
      <w:pPr>
        <w:ind w:left="10558" w:hanging="360"/>
      </w:pPr>
    </w:lvl>
    <w:lvl w:ilvl="7" w:tplc="04270019" w:tentative="1">
      <w:start w:val="1"/>
      <w:numFmt w:val="lowerLetter"/>
      <w:lvlText w:val="%8."/>
      <w:lvlJc w:val="left"/>
      <w:pPr>
        <w:ind w:left="11278" w:hanging="360"/>
      </w:pPr>
    </w:lvl>
    <w:lvl w:ilvl="8" w:tplc="0427001B" w:tentative="1">
      <w:start w:val="1"/>
      <w:numFmt w:val="lowerRoman"/>
      <w:lvlText w:val="%9."/>
      <w:lvlJc w:val="right"/>
      <w:pPr>
        <w:ind w:left="119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B57"/>
    <w:rsid w:val="000412BE"/>
    <w:rsid w:val="00092FED"/>
    <w:rsid w:val="000A0D1C"/>
    <w:rsid w:val="00162CE2"/>
    <w:rsid w:val="00182ABB"/>
    <w:rsid w:val="00184CCF"/>
    <w:rsid w:val="002A2303"/>
    <w:rsid w:val="00335B57"/>
    <w:rsid w:val="00350FF6"/>
    <w:rsid w:val="00372E1E"/>
    <w:rsid w:val="00387950"/>
    <w:rsid w:val="003A6C8B"/>
    <w:rsid w:val="00422944"/>
    <w:rsid w:val="00496BEC"/>
    <w:rsid w:val="005A3A2F"/>
    <w:rsid w:val="005F3428"/>
    <w:rsid w:val="00663D70"/>
    <w:rsid w:val="00666235"/>
    <w:rsid w:val="006D5061"/>
    <w:rsid w:val="006E350F"/>
    <w:rsid w:val="00751B82"/>
    <w:rsid w:val="00756C87"/>
    <w:rsid w:val="007626F9"/>
    <w:rsid w:val="007C7AC1"/>
    <w:rsid w:val="00813C3E"/>
    <w:rsid w:val="009B0CBE"/>
    <w:rsid w:val="00A653EE"/>
    <w:rsid w:val="00AA082A"/>
    <w:rsid w:val="00AC5BE1"/>
    <w:rsid w:val="00B83A6F"/>
    <w:rsid w:val="00D208FA"/>
    <w:rsid w:val="00D22D33"/>
    <w:rsid w:val="00E06B8F"/>
    <w:rsid w:val="00E65826"/>
    <w:rsid w:val="00E71E1B"/>
    <w:rsid w:val="00F12799"/>
    <w:rsid w:val="00F514C1"/>
    <w:rsid w:val="00FD3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DD84A"/>
  <w15:docId w15:val="{904013F0-0C9B-438E-9772-11EB1ABA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B57"/>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5B57"/>
    <w:pPr>
      <w:tabs>
        <w:tab w:val="center" w:pos="4819"/>
        <w:tab w:val="right" w:pos="9638"/>
      </w:tabs>
    </w:pPr>
  </w:style>
  <w:style w:type="character" w:customStyle="1" w:styleId="HeaderChar">
    <w:name w:val="Header Char"/>
    <w:basedOn w:val="DefaultParagraphFont"/>
    <w:link w:val="Header"/>
    <w:uiPriority w:val="99"/>
    <w:rsid w:val="00335B57"/>
    <w:rPr>
      <w:rFonts w:ascii="Times New Roman" w:eastAsia="Times New Roman" w:hAnsi="Times New Roman" w:cs="Times New Roman"/>
      <w:sz w:val="24"/>
      <w:szCs w:val="24"/>
      <w:lang w:eastAsia="lt-LT"/>
    </w:rPr>
  </w:style>
  <w:style w:type="paragraph" w:styleId="Footer">
    <w:name w:val="footer"/>
    <w:basedOn w:val="Normal"/>
    <w:link w:val="FooterChar"/>
    <w:rsid w:val="00335B57"/>
    <w:pPr>
      <w:tabs>
        <w:tab w:val="center" w:pos="4819"/>
        <w:tab w:val="right" w:pos="9638"/>
      </w:tabs>
    </w:pPr>
  </w:style>
  <w:style w:type="character" w:customStyle="1" w:styleId="FooterChar">
    <w:name w:val="Footer Char"/>
    <w:basedOn w:val="DefaultParagraphFont"/>
    <w:link w:val="Footer"/>
    <w:rsid w:val="00335B57"/>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335B57"/>
    <w:rPr>
      <w:color w:val="0000FF"/>
      <w:u w:val="single"/>
    </w:rPr>
  </w:style>
  <w:style w:type="paragraph" w:styleId="ListParagraph">
    <w:name w:val="List Paragraph"/>
    <w:basedOn w:val="Normal"/>
    <w:uiPriority w:val="34"/>
    <w:qFormat/>
    <w:rsid w:val="00335B57"/>
    <w:pPr>
      <w:ind w:left="720"/>
      <w:contextualSpacing/>
    </w:pPr>
  </w:style>
  <w:style w:type="character" w:customStyle="1" w:styleId="FontStyle11">
    <w:name w:val="Font Style11"/>
    <w:basedOn w:val="DefaultParagraphFont"/>
    <w:uiPriority w:val="99"/>
    <w:rsid w:val="00335B57"/>
    <w:rPr>
      <w:rFonts w:ascii="Times New Roman" w:hAnsi="Times New Roman" w:cs="Times New Roman"/>
      <w:color w:val="000000"/>
      <w:sz w:val="22"/>
      <w:szCs w:val="22"/>
    </w:rPr>
  </w:style>
  <w:style w:type="paragraph" w:customStyle="1" w:styleId="normal-p">
    <w:name w:val="normal-p"/>
    <w:basedOn w:val="Normal"/>
    <w:rsid w:val="00335B57"/>
  </w:style>
  <w:style w:type="character" w:customStyle="1" w:styleId="normal-h">
    <w:name w:val="normal-h"/>
    <w:basedOn w:val="DefaultParagraphFont"/>
    <w:rsid w:val="00335B57"/>
  </w:style>
  <w:style w:type="paragraph" w:customStyle="1" w:styleId="bodytext-p">
    <w:name w:val="bodytext-p"/>
    <w:basedOn w:val="Normal"/>
    <w:rsid w:val="00335B57"/>
    <w:pPr>
      <w:spacing w:after="150"/>
    </w:pPr>
  </w:style>
  <w:style w:type="character" w:customStyle="1" w:styleId="bodytext-h">
    <w:name w:val="bodytext-h"/>
    <w:basedOn w:val="DefaultParagraphFont"/>
    <w:rsid w:val="00335B57"/>
  </w:style>
  <w:style w:type="character" w:styleId="CommentReference">
    <w:name w:val="annotation reference"/>
    <w:basedOn w:val="DefaultParagraphFont"/>
    <w:uiPriority w:val="99"/>
    <w:semiHidden/>
    <w:unhideWhenUsed/>
    <w:rsid w:val="000A0D1C"/>
    <w:rPr>
      <w:sz w:val="16"/>
      <w:szCs w:val="16"/>
    </w:rPr>
  </w:style>
  <w:style w:type="paragraph" w:styleId="CommentText">
    <w:name w:val="annotation text"/>
    <w:basedOn w:val="Normal"/>
    <w:link w:val="CommentTextChar"/>
    <w:uiPriority w:val="99"/>
    <w:semiHidden/>
    <w:unhideWhenUsed/>
    <w:rsid w:val="000A0D1C"/>
    <w:rPr>
      <w:sz w:val="20"/>
      <w:szCs w:val="20"/>
    </w:rPr>
  </w:style>
  <w:style w:type="character" w:customStyle="1" w:styleId="CommentTextChar">
    <w:name w:val="Comment Text Char"/>
    <w:basedOn w:val="DefaultParagraphFont"/>
    <w:link w:val="CommentText"/>
    <w:uiPriority w:val="99"/>
    <w:semiHidden/>
    <w:rsid w:val="000A0D1C"/>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0A0D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D1C"/>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635203">
      <w:bodyDiv w:val="1"/>
      <w:marLeft w:val="0"/>
      <w:marRight w:val="0"/>
      <w:marTop w:val="0"/>
      <w:marBottom w:val="0"/>
      <w:divBdr>
        <w:top w:val="none" w:sz="0" w:space="0" w:color="auto"/>
        <w:left w:val="none" w:sz="0" w:space="0" w:color="auto"/>
        <w:bottom w:val="none" w:sz="0" w:space="0" w:color="auto"/>
        <w:right w:val="none" w:sz="0" w:space="0" w:color="auto"/>
      </w:divBdr>
    </w:div>
    <w:div w:id="1085030787">
      <w:bodyDiv w:val="1"/>
      <w:marLeft w:val="0"/>
      <w:marRight w:val="0"/>
      <w:marTop w:val="0"/>
      <w:marBottom w:val="0"/>
      <w:divBdr>
        <w:top w:val="none" w:sz="0" w:space="0" w:color="auto"/>
        <w:left w:val="none" w:sz="0" w:space="0" w:color="auto"/>
        <w:bottom w:val="none" w:sz="0" w:space="0" w:color="auto"/>
        <w:right w:val="none" w:sz="0" w:space="0" w:color="auto"/>
      </w:divBdr>
      <w:divsChild>
        <w:div w:id="825822054">
          <w:marLeft w:val="0"/>
          <w:marRight w:val="0"/>
          <w:marTop w:val="0"/>
          <w:marBottom w:val="0"/>
          <w:divBdr>
            <w:top w:val="none" w:sz="0" w:space="0" w:color="auto"/>
            <w:left w:val="none" w:sz="0" w:space="0" w:color="auto"/>
            <w:bottom w:val="none" w:sz="0" w:space="0" w:color="auto"/>
            <w:right w:val="none" w:sz="0" w:space="0" w:color="auto"/>
          </w:divBdr>
        </w:div>
      </w:divsChild>
    </w:div>
    <w:div w:id="110692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4138</Words>
  <Characters>2359</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2018-08-24T01:31:00Z</dcterms:created>
  <dc:creator>User</dc:creator>
  <cp:lastModifiedBy>Vaida Ubartaitė</cp:lastModifiedBy>
  <dcterms:modified xsi:type="dcterms:W3CDTF">2018-09-06T10:05:00Z</dcterms:modified>
  <cp:revision>23</cp:revision>
</cp:coreProperties>
</file>