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53E7" w14:textId="77777777" w:rsidR="00B564EE" w:rsidRPr="00B564EE" w:rsidRDefault="00B564EE" w:rsidP="00B564EE">
      <w:pPr>
        <w:spacing w:after="0" w:line="240" w:lineRule="auto"/>
        <w:jc w:val="center"/>
        <w:rPr>
          <w:rFonts w:ascii="Times New Roman" w:eastAsia="Times New Roman" w:hAnsi="Times New Roman" w:cs="Times New Roman"/>
          <w:sz w:val="20"/>
          <w:szCs w:val="20"/>
          <w:lang w:val="en-US"/>
        </w:rPr>
      </w:pPr>
      <w:r w:rsidRPr="00B564EE">
        <w:rPr>
          <w:rFonts w:ascii="Times New Roman" w:eastAsia="Times New Roman" w:hAnsi="Times New Roman" w:cs="Times New Roman"/>
          <w:noProof/>
          <w:sz w:val="20"/>
          <w:szCs w:val="20"/>
          <w:lang w:eastAsia="lt-LT"/>
        </w:rPr>
        <w:drawing>
          <wp:inline distT="0" distB="0" distL="0" distR="0" wp14:anchorId="29DBB9DB" wp14:editId="6D75C1AD">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37D26EE1" w14:textId="77777777" w:rsidR="00B564EE" w:rsidRPr="00B564EE" w:rsidRDefault="00B564EE" w:rsidP="00B564EE">
      <w:pPr>
        <w:spacing w:after="0" w:line="240" w:lineRule="auto"/>
        <w:jc w:val="center"/>
        <w:rPr>
          <w:rFonts w:ascii="Times New Roman" w:eastAsia="Times New Roman" w:hAnsi="Times New Roman" w:cs="Times New Roman"/>
          <w:sz w:val="16"/>
          <w:szCs w:val="16"/>
          <w:lang w:val="en-US"/>
        </w:rPr>
      </w:pPr>
    </w:p>
    <w:p w14:paraId="1EF47CCA" w14:textId="77777777" w:rsidR="00B564EE" w:rsidRPr="00B564EE" w:rsidRDefault="00B564EE" w:rsidP="00B564EE">
      <w:pPr>
        <w:spacing w:after="0" w:line="240" w:lineRule="auto"/>
        <w:jc w:val="center"/>
        <w:rPr>
          <w:rFonts w:ascii="Times New Roman" w:eastAsia="Times New Roman" w:hAnsi="Times New Roman" w:cs="Times New Roman"/>
          <w:b/>
          <w:sz w:val="24"/>
          <w:szCs w:val="24"/>
        </w:rPr>
      </w:pPr>
      <w:r w:rsidRPr="00B564EE">
        <w:rPr>
          <w:rFonts w:ascii="Times New Roman" w:eastAsia="Times New Roman" w:hAnsi="Times New Roman" w:cs="Times New Roman"/>
          <w:b/>
          <w:sz w:val="24"/>
          <w:szCs w:val="24"/>
          <w:lang w:val="pt-BR"/>
        </w:rPr>
        <w:t>VILNIAUS MIESTO SAVIVALDYBĖS ADMINISTRACIJA</w:t>
      </w:r>
    </w:p>
    <w:p w14:paraId="24641D10" w14:textId="77777777" w:rsidR="00B564EE" w:rsidRPr="00B564EE" w:rsidRDefault="00B564EE" w:rsidP="00B564EE">
      <w:pPr>
        <w:spacing w:after="0" w:line="240" w:lineRule="auto"/>
        <w:jc w:val="center"/>
        <w:rPr>
          <w:rFonts w:ascii="Times New Roman" w:eastAsia="Times New Roman" w:hAnsi="Times New Roman" w:cs="Times New Roman"/>
          <w:b/>
          <w:sz w:val="16"/>
          <w:szCs w:val="16"/>
        </w:rPr>
      </w:pPr>
    </w:p>
    <w:p w14:paraId="2FBBB3D3" w14:textId="77777777" w:rsidR="00B564EE" w:rsidRPr="00B564EE" w:rsidRDefault="00B564EE" w:rsidP="00B564EE">
      <w:pPr>
        <w:spacing w:after="0" w:line="240" w:lineRule="auto"/>
        <w:rPr>
          <w:rFonts w:ascii="Times New Roman" w:eastAsia="Times New Roman" w:hAnsi="Times New Roman" w:cs="Times New Roman"/>
          <w:sz w:val="4"/>
          <w:szCs w:val="4"/>
          <w:lang w:val="en-US"/>
        </w:rPr>
      </w:pPr>
    </w:p>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B564EE" w:rsidRPr="00B564EE" w14:paraId="126BA59E" w14:textId="77777777" w:rsidTr="00873B54">
        <w:tc>
          <w:tcPr>
            <w:tcW w:w="4820" w:type="dxa"/>
          </w:tcPr>
          <w:p w14:paraId="4EEE644B" w14:textId="77777777" w:rsidR="00B564EE" w:rsidRPr="00B564EE" w:rsidRDefault="00B564EE" w:rsidP="00B564EE">
            <w:pPr>
              <w:spacing w:after="0" w:line="240" w:lineRule="auto"/>
              <w:rPr>
                <w:rFonts w:ascii="Times New Roman" w:eastAsia="Times New Roman" w:hAnsi="Times New Roman" w:cs="Times New Roman"/>
                <w:sz w:val="24"/>
                <w:szCs w:val="24"/>
              </w:rPr>
            </w:pPr>
          </w:p>
        </w:tc>
        <w:tc>
          <w:tcPr>
            <w:tcW w:w="383" w:type="dxa"/>
          </w:tcPr>
          <w:p w14:paraId="2A8A6564" w14:textId="77777777" w:rsidR="00B564EE" w:rsidRPr="00B564EE" w:rsidRDefault="00B564EE" w:rsidP="00B564EE">
            <w:pPr>
              <w:spacing w:after="0" w:line="240" w:lineRule="auto"/>
              <w:ind w:left="33" w:hanging="33"/>
              <w:rPr>
                <w:rFonts w:ascii="Times New Roman" w:eastAsia="Times New Roman" w:hAnsi="Times New Roman" w:cs="Times New Roman"/>
                <w:sz w:val="24"/>
                <w:szCs w:val="24"/>
                <w:lang w:val="en-US"/>
              </w:rPr>
            </w:pPr>
          </w:p>
        </w:tc>
        <w:tc>
          <w:tcPr>
            <w:tcW w:w="1240" w:type="dxa"/>
          </w:tcPr>
          <w:p w14:paraId="1A60867F" w14:textId="77777777" w:rsidR="00B564EE" w:rsidRPr="00B564EE" w:rsidRDefault="00B564EE" w:rsidP="00B564EE">
            <w:pPr>
              <w:spacing w:after="0" w:line="240" w:lineRule="auto"/>
              <w:ind w:right="-108" w:hanging="108"/>
              <w:rPr>
                <w:rFonts w:ascii="Times New Roman" w:eastAsia="Times New Roman" w:hAnsi="Times New Roman" w:cs="Times New Roman"/>
                <w:sz w:val="24"/>
                <w:szCs w:val="24"/>
                <w:lang w:val="en-US"/>
              </w:rPr>
            </w:pPr>
          </w:p>
        </w:tc>
        <w:tc>
          <w:tcPr>
            <w:tcW w:w="503" w:type="dxa"/>
          </w:tcPr>
          <w:p w14:paraId="04146F76" w14:textId="77777777" w:rsidR="00B564EE" w:rsidRPr="00B564EE" w:rsidRDefault="00B564EE" w:rsidP="00B564EE">
            <w:pPr>
              <w:spacing w:after="0" w:line="240" w:lineRule="auto"/>
              <w:ind w:right="-250"/>
              <w:rPr>
                <w:rFonts w:ascii="Times New Roman" w:eastAsia="Times New Roman" w:hAnsi="Times New Roman" w:cs="Times New Roman"/>
                <w:sz w:val="24"/>
                <w:szCs w:val="24"/>
                <w:lang w:val="en-US"/>
              </w:rPr>
            </w:pPr>
          </w:p>
        </w:tc>
        <w:tc>
          <w:tcPr>
            <w:tcW w:w="3162" w:type="dxa"/>
          </w:tcPr>
          <w:p w14:paraId="1F04B39F" w14:textId="77777777" w:rsidR="00B564EE" w:rsidRPr="00B564EE" w:rsidRDefault="00B564EE" w:rsidP="00B564EE">
            <w:pPr>
              <w:spacing w:after="0" w:line="240" w:lineRule="auto"/>
              <w:rPr>
                <w:rFonts w:ascii="Times New Roman" w:eastAsia="Times New Roman" w:hAnsi="Times New Roman" w:cs="Times New Roman"/>
                <w:sz w:val="24"/>
                <w:szCs w:val="24"/>
              </w:rPr>
            </w:pPr>
          </w:p>
        </w:tc>
      </w:tr>
      <w:tr w:rsidR="00B564EE" w:rsidRPr="00B564EE" w14:paraId="5EE0AC64" w14:textId="77777777" w:rsidTr="00873B54">
        <w:tc>
          <w:tcPr>
            <w:tcW w:w="4820" w:type="dxa"/>
          </w:tcPr>
          <w:p w14:paraId="46BD637B" w14:textId="77777777" w:rsidR="00B564EE" w:rsidRPr="00B564EE" w:rsidRDefault="00B564EE" w:rsidP="00B564EE">
            <w:pPr>
              <w:spacing w:after="0" w:line="240" w:lineRule="auto"/>
              <w:rPr>
                <w:rFonts w:ascii="Times New Roman" w:eastAsia="Times New Roman" w:hAnsi="Times New Roman" w:cs="Times New Roman"/>
                <w:sz w:val="24"/>
                <w:szCs w:val="24"/>
              </w:rPr>
            </w:pPr>
            <w:r w:rsidRPr="00B564EE">
              <w:rPr>
                <w:rFonts w:ascii="Times New Roman" w:eastAsia="Times New Roman" w:hAnsi="Times New Roman" w:cs="Times New Roman"/>
                <w:sz w:val="24"/>
                <w:szCs w:val="24"/>
              </w:rPr>
              <w:t>Lietuvos Respublikos</w:t>
            </w:r>
          </w:p>
        </w:tc>
        <w:tc>
          <w:tcPr>
            <w:tcW w:w="383" w:type="dxa"/>
          </w:tcPr>
          <w:p w14:paraId="6A9E51A7" w14:textId="77777777" w:rsidR="00B564EE" w:rsidRPr="00B564EE" w:rsidRDefault="00B564EE" w:rsidP="00B564EE">
            <w:pPr>
              <w:spacing w:after="0" w:line="240" w:lineRule="auto"/>
              <w:ind w:left="33" w:hanging="33"/>
              <w:rPr>
                <w:rFonts w:ascii="Times New Roman" w:eastAsia="Times New Roman" w:hAnsi="Times New Roman" w:cs="Times New Roman"/>
                <w:sz w:val="24"/>
                <w:szCs w:val="24"/>
                <w:lang w:val="en-US"/>
              </w:rPr>
            </w:pPr>
          </w:p>
        </w:tc>
        <w:tc>
          <w:tcPr>
            <w:tcW w:w="1240" w:type="dxa"/>
          </w:tcPr>
          <w:p w14:paraId="56AF6A0E" w14:textId="77777777" w:rsidR="00B564EE" w:rsidRPr="00B564EE" w:rsidRDefault="00B564EE" w:rsidP="00B564EE">
            <w:pPr>
              <w:spacing w:after="0" w:line="240" w:lineRule="auto"/>
              <w:ind w:right="-108" w:hanging="108"/>
              <w:rPr>
                <w:rFonts w:ascii="Times New Roman" w:eastAsia="Times New Roman" w:hAnsi="Times New Roman" w:cs="Times New Roman"/>
                <w:sz w:val="24"/>
                <w:szCs w:val="24"/>
                <w:lang w:val="en-US"/>
              </w:rPr>
            </w:pPr>
            <w:r w:rsidRPr="00B564EE">
              <w:rPr>
                <w:rFonts w:ascii="Times New Roman" w:eastAsia="Times New Roman" w:hAnsi="Times New Roman" w:cs="Times New Roman"/>
                <w:sz w:val="24"/>
                <w:szCs w:val="24"/>
                <w:lang w:val="en-US"/>
              </w:rPr>
              <w:t>2019-10-</w:t>
            </w:r>
          </w:p>
        </w:tc>
        <w:tc>
          <w:tcPr>
            <w:tcW w:w="503" w:type="dxa"/>
          </w:tcPr>
          <w:p w14:paraId="228474A1" w14:textId="77777777" w:rsidR="00B564EE" w:rsidRPr="00B564EE" w:rsidRDefault="00B564EE" w:rsidP="00B564EE">
            <w:pPr>
              <w:spacing w:after="0" w:line="240" w:lineRule="auto"/>
              <w:ind w:right="-250"/>
              <w:rPr>
                <w:rFonts w:ascii="Times New Roman" w:eastAsia="Times New Roman" w:hAnsi="Times New Roman" w:cs="Times New Roman"/>
                <w:sz w:val="24"/>
                <w:szCs w:val="24"/>
                <w:lang w:val="en-US"/>
              </w:rPr>
            </w:pPr>
          </w:p>
        </w:tc>
        <w:tc>
          <w:tcPr>
            <w:tcW w:w="3162" w:type="dxa"/>
          </w:tcPr>
          <w:p w14:paraId="4E7AFA49" w14:textId="77777777" w:rsidR="00B564EE" w:rsidRPr="00B564EE" w:rsidRDefault="00B564EE" w:rsidP="00B564EE">
            <w:pPr>
              <w:tabs>
                <w:tab w:val="left" w:pos="1060"/>
              </w:tabs>
              <w:spacing w:after="0" w:line="240" w:lineRule="auto"/>
              <w:ind w:right="-109"/>
              <w:jc w:val="both"/>
              <w:rPr>
                <w:rFonts w:ascii="Times New Roman" w:eastAsia="Times New Roman" w:hAnsi="Times New Roman" w:cs="Times New Roman"/>
                <w:sz w:val="24"/>
                <w:szCs w:val="24"/>
                <w:lang w:val="en-US"/>
              </w:rPr>
            </w:pPr>
            <w:r w:rsidRPr="00B564EE">
              <w:rPr>
                <w:rFonts w:ascii="Times New Roman" w:eastAsia="Times New Roman" w:hAnsi="Times New Roman" w:cs="Times New Roman"/>
                <w:sz w:val="24"/>
                <w:szCs w:val="24"/>
                <w:lang w:val="en-US"/>
              </w:rPr>
              <w:t>Nr. A51-</w:t>
            </w:r>
          </w:p>
        </w:tc>
      </w:tr>
      <w:tr w:rsidR="00B564EE" w:rsidRPr="00B564EE" w14:paraId="4C66FB7D" w14:textId="77777777" w:rsidTr="00873B54">
        <w:tc>
          <w:tcPr>
            <w:tcW w:w="4820" w:type="dxa"/>
          </w:tcPr>
          <w:p w14:paraId="6C426B6A" w14:textId="77777777" w:rsidR="00B564EE" w:rsidRPr="00B564EE" w:rsidRDefault="00B564EE" w:rsidP="00B564EE">
            <w:pPr>
              <w:spacing w:after="0" w:line="240" w:lineRule="auto"/>
              <w:rPr>
                <w:rFonts w:ascii="Times New Roman" w:eastAsia="Times New Roman" w:hAnsi="Times New Roman" w:cs="Times New Roman"/>
                <w:sz w:val="24"/>
                <w:szCs w:val="24"/>
              </w:rPr>
            </w:pPr>
            <w:r w:rsidRPr="00B564EE">
              <w:rPr>
                <w:rFonts w:ascii="Times New Roman" w:eastAsia="Times New Roman" w:hAnsi="Times New Roman" w:cs="Times New Roman"/>
                <w:sz w:val="24"/>
                <w:szCs w:val="24"/>
              </w:rPr>
              <w:t>švietimo, mokslo ir sporto ministerijai</w:t>
            </w:r>
          </w:p>
          <w:p w14:paraId="4B1FC1B6" w14:textId="77777777" w:rsidR="00B564EE" w:rsidRPr="00B564EE" w:rsidRDefault="00B564EE" w:rsidP="00B564EE">
            <w:pPr>
              <w:spacing w:after="0" w:line="240" w:lineRule="auto"/>
              <w:rPr>
                <w:rFonts w:ascii="Times New Roman" w:eastAsia="Times New Roman" w:hAnsi="Times New Roman" w:cs="Times New Roman"/>
                <w:sz w:val="24"/>
                <w:szCs w:val="24"/>
              </w:rPr>
            </w:pPr>
            <w:r w:rsidRPr="00B564EE">
              <w:rPr>
                <w:rFonts w:ascii="Times New Roman" w:eastAsia="Times New Roman" w:hAnsi="Times New Roman" w:cs="Times New Roman"/>
                <w:sz w:val="24"/>
                <w:szCs w:val="24"/>
              </w:rPr>
              <w:t xml:space="preserve">A. </w:t>
            </w:r>
            <w:proofErr w:type="spellStart"/>
            <w:r w:rsidRPr="00B564EE">
              <w:rPr>
                <w:rFonts w:ascii="Times New Roman" w:eastAsia="Times New Roman" w:hAnsi="Times New Roman" w:cs="Times New Roman"/>
                <w:sz w:val="24"/>
                <w:szCs w:val="24"/>
              </w:rPr>
              <w:t>Volano</w:t>
            </w:r>
            <w:proofErr w:type="spellEnd"/>
            <w:r w:rsidRPr="00B564EE">
              <w:rPr>
                <w:rFonts w:ascii="Times New Roman" w:eastAsia="Times New Roman" w:hAnsi="Times New Roman" w:cs="Times New Roman"/>
                <w:sz w:val="24"/>
                <w:szCs w:val="24"/>
              </w:rPr>
              <w:t xml:space="preserve"> g. 2</w:t>
            </w:r>
          </w:p>
          <w:p w14:paraId="1C5734DE" w14:textId="77777777" w:rsidR="00B564EE" w:rsidRPr="00B564EE" w:rsidRDefault="00B564EE" w:rsidP="00B564EE">
            <w:pPr>
              <w:spacing w:after="0" w:line="240" w:lineRule="auto"/>
              <w:rPr>
                <w:rFonts w:ascii="Times New Roman" w:eastAsia="Times New Roman" w:hAnsi="Times New Roman" w:cs="Times New Roman"/>
                <w:sz w:val="24"/>
                <w:szCs w:val="24"/>
                <w:lang w:val="en-US"/>
              </w:rPr>
            </w:pPr>
            <w:hyperlink r:id="rId5" w:history="1">
              <w:r w:rsidRPr="00B564EE">
                <w:rPr>
                  <w:rFonts w:ascii="Times New Roman" w:eastAsia="Times New Roman" w:hAnsi="Times New Roman" w:cs="Times New Roman"/>
                  <w:color w:val="0000FF"/>
                  <w:sz w:val="24"/>
                  <w:szCs w:val="24"/>
                  <w:u w:val="single"/>
                </w:rPr>
                <w:t>smmin</w:t>
              </w:r>
              <w:r w:rsidRPr="00B564EE">
                <w:rPr>
                  <w:rFonts w:ascii="Times New Roman" w:eastAsia="Times New Roman" w:hAnsi="Times New Roman" w:cs="Times New Roman"/>
                  <w:color w:val="0000FF"/>
                  <w:sz w:val="24"/>
                  <w:szCs w:val="24"/>
                  <w:u w:val="single"/>
                  <w:lang w:val="en-US"/>
                </w:rPr>
                <w:t>@</w:t>
              </w:r>
              <w:proofErr w:type="spellStart"/>
              <w:r w:rsidRPr="00B564EE">
                <w:rPr>
                  <w:rFonts w:ascii="Times New Roman" w:eastAsia="Times New Roman" w:hAnsi="Times New Roman" w:cs="Times New Roman"/>
                  <w:color w:val="0000FF"/>
                  <w:sz w:val="24"/>
                  <w:szCs w:val="24"/>
                  <w:u w:val="single"/>
                  <w:lang w:val="en-US"/>
                </w:rPr>
                <w:t>smm.lt</w:t>
              </w:r>
              <w:proofErr w:type="spellEnd"/>
            </w:hyperlink>
            <w:r w:rsidRPr="00B564EE">
              <w:rPr>
                <w:rFonts w:ascii="Times New Roman" w:eastAsia="Times New Roman" w:hAnsi="Times New Roman" w:cs="Times New Roman"/>
                <w:sz w:val="24"/>
                <w:szCs w:val="24"/>
                <w:lang w:val="en-US"/>
              </w:rPr>
              <w:t xml:space="preserve"> </w:t>
            </w:r>
          </w:p>
          <w:p w14:paraId="5893E2A4" w14:textId="77777777" w:rsidR="00B564EE" w:rsidRPr="00B564EE" w:rsidRDefault="00B564EE" w:rsidP="00B564EE">
            <w:pPr>
              <w:spacing w:after="0" w:line="240" w:lineRule="auto"/>
              <w:rPr>
                <w:rFonts w:ascii="Times New Roman" w:eastAsia="Times New Roman" w:hAnsi="Times New Roman" w:cs="Times New Roman"/>
                <w:sz w:val="24"/>
                <w:szCs w:val="24"/>
              </w:rPr>
            </w:pPr>
          </w:p>
        </w:tc>
        <w:tc>
          <w:tcPr>
            <w:tcW w:w="383" w:type="dxa"/>
          </w:tcPr>
          <w:p w14:paraId="3C6A9E0C" w14:textId="77777777" w:rsidR="00B564EE" w:rsidRPr="00B564EE" w:rsidRDefault="00B564EE" w:rsidP="00B564EE">
            <w:pPr>
              <w:spacing w:after="0" w:line="240" w:lineRule="auto"/>
              <w:ind w:left="33" w:hanging="33"/>
              <w:rPr>
                <w:rFonts w:ascii="Times New Roman" w:eastAsia="Times New Roman" w:hAnsi="Times New Roman" w:cs="Times New Roman"/>
                <w:sz w:val="24"/>
                <w:szCs w:val="24"/>
                <w:lang w:val="en-US"/>
              </w:rPr>
            </w:pPr>
          </w:p>
        </w:tc>
        <w:tc>
          <w:tcPr>
            <w:tcW w:w="1240" w:type="dxa"/>
          </w:tcPr>
          <w:p w14:paraId="613DFE7C" w14:textId="77777777" w:rsidR="00B564EE" w:rsidRPr="00B564EE" w:rsidRDefault="00B564EE" w:rsidP="00B564EE">
            <w:pPr>
              <w:spacing w:after="0" w:line="240" w:lineRule="auto"/>
              <w:ind w:right="-108" w:hanging="108"/>
              <w:rPr>
                <w:rFonts w:ascii="Times New Roman" w:eastAsia="Times New Roman" w:hAnsi="Times New Roman" w:cs="Times New Roman"/>
                <w:sz w:val="24"/>
                <w:szCs w:val="24"/>
                <w:lang w:val="en-US"/>
              </w:rPr>
            </w:pPr>
          </w:p>
        </w:tc>
        <w:tc>
          <w:tcPr>
            <w:tcW w:w="503" w:type="dxa"/>
          </w:tcPr>
          <w:p w14:paraId="2258C9DE" w14:textId="77777777" w:rsidR="00B564EE" w:rsidRPr="00B564EE" w:rsidRDefault="00B564EE" w:rsidP="00B564EE">
            <w:pPr>
              <w:spacing w:after="0" w:line="240" w:lineRule="auto"/>
              <w:ind w:right="-250"/>
              <w:rPr>
                <w:rFonts w:ascii="Times New Roman" w:eastAsia="Times New Roman" w:hAnsi="Times New Roman" w:cs="Times New Roman"/>
                <w:sz w:val="24"/>
                <w:szCs w:val="24"/>
                <w:lang w:val="en-US"/>
              </w:rPr>
            </w:pPr>
          </w:p>
        </w:tc>
        <w:tc>
          <w:tcPr>
            <w:tcW w:w="3162" w:type="dxa"/>
          </w:tcPr>
          <w:p w14:paraId="434515ED" w14:textId="77777777" w:rsidR="00B564EE" w:rsidRPr="00B564EE" w:rsidRDefault="00B564EE" w:rsidP="00B564EE">
            <w:pPr>
              <w:tabs>
                <w:tab w:val="left" w:pos="1060"/>
              </w:tabs>
              <w:spacing w:after="0" w:line="240" w:lineRule="auto"/>
              <w:ind w:right="-109"/>
              <w:jc w:val="both"/>
              <w:rPr>
                <w:rFonts w:ascii="Times New Roman" w:eastAsia="Times New Roman" w:hAnsi="Times New Roman" w:cs="Times New Roman"/>
                <w:sz w:val="20"/>
                <w:szCs w:val="20"/>
                <w:lang w:val="en-US"/>
              </w:rPr>
            </w:pPr>
          </w:p>
        </w:tc>
      </w:tr>
      <w:tr w:rsidR="00B564EE" w:rsidRPr="00B564EE" w14:paraId="42873A5C" w14:textId="77777777" w:rsidTr="00873B54">
        <w:tc>
          <w:tcPr>
            <w:tcW w:w="4820" w:type="dxa"/>
          </w:tcPr>
          <w:p w14:paraId="25CAD4CF" w14:textId="77777777" w:rsidR="00B564EE" w:rsidRPr="00B564EE" w:rsidRDefault="00B564EE" w:rsidP="00B564EE">
            <w:pPr>
              <w:spacing w:after="0" w:line="240" w:lineRule="auto"/>
              <w:rPr>
                <w:rFonts w:ascii="Times New Roman" w:eastAsia="Times New Roman" w:hAnsi="Times New Roman" w:cs="Times New Roman"/>
                <w:sz w:val="24"/>
                <w:szCs w:val="24"/>
              </w:rPr>
            </w:pPr>
          </w:p>
        </w:tc>
        <w:tc>
          <w:tcPr>
            <w:tcW w:w="383" w:type="dxa"/>
          </w:tcPr>
          <w:p w14:paraId="7152E057" w14:textId="77777777" w:rsidR="00B564EE" w:rsidRPr="00B564EE" w:rsidRDefault="00B564EE" w:rsidP="00B564EE">
            <w:pPr>
              <w:spacing w:after="0" w:line="240" w:lineRule="auto"/>
              <w:ind w:left="33" w:hanging="33"/>
              <w:rPr>
                <w:rFonts w:ascii="Times New Roman" w:eastAsia="Times New Roman" w:hAnsi="Times New Roman" w:cs="Times New Roman"/>
                <w:sz w:val="24"/>
                <w:szCs w:val="24"/>
                <w:lang w:val="en-US"/>
              </w:rPr>
            </w:pPr>
          </w:p>
        </w:tc>
        <w:tc>
          <w:tcPr>
            <w:tcW w:w="1240" w:type="dxa"/>
          </w:tcPr>
          <w:p w14:paraId="13754CF7" w14:textId="77777777" w:rsidR="00B564EE" w:rsidRPr="00B564EE" w:rsidRDefault="00B564EE" w:rsidP="00B564EE">
            <w:pPr>
              <w:spacing w:after="0" w:line="240" w:lineRule="auto"/>
              <w:ind w:right="-108" w:hanging="108"/>
              <w:rPr>
                <w:rFonts w:ascii="Times New Roman" w:eastAsia="Times New Roman" w:hAnsi="Times New Roman" w:cs="Times New Roman"/>
                <w:sz w:val="24"/>
                <w:szCs w:val="24"/>
                <w:lang w:val="en-US"/>
              </w:rPr>
            </w:pPr>
          </w:p>
        </w:tc>
        <w:tc>
          <w:tcPr>
            <w:tcW w:w="503" w:type="dxa"/>
          </w:tcPr>
          <w:p w14:paraId="16164DD0" w14:textId="77777777" w:rsidR="00B564EE" w:rsidRPr="00B564EE" w:rsidRDefault="00B564EE" w:rsidP="00B564EE">
            <w:pPr>
              <w:spacing w:after="0" w:line="240" w:lineRule="auto"/>
              <w:ind w:right="-250"/>
              <w:rPr>
                <w:rFonts w:ascii="Times New Roman" w:eastAsia="Times New Roman" w:hAnsi="Times New Roman" w:cs="Times New Roman"/>
                <w:sz w:val="24"/>
                <w:szCs w:val="24"/>
                <w:lang w:val="en-US"/>
              </w:rPr>
            </w:pPr>
          </w:p>
        </w:tc>
        <w:tc>
          <w:tcPr>
            <w:tcW w:w="3162" w:type="dxa"/>
          </w:tcPr>
          <w:p w14:paraId="70B3F33C" w14:textId="77777777" w:rsidR="00B564EE" w:rsidRPr="00B564EE" w:rsidRDefault="00B564EE" w:rsidP="00B564EE">
            <w:pPr>
              <w:tabs>
                <w:tab w:val="left" w:pos="1060"/>
              </w:tabs>
              <w:spacing w:after="0" w:line="240" w:lineRule="auto"/>
              <w:ind w:right="-109"/>
              <w:jc w:val="both"/>
              <w:rPr>
                <w:rFonts w:ascii="Times New Roman" w:eastAsia="Times New Roman" w:hAnsi="Times New Roman" w:cs="Times New Roman"/>
                <w:sz w:val="20"/>
                <w:szCs w:val="20"/>
                <w:lang w:val="en-US"/>
              </w:rPr>
            </w:pPr>
          </w:p>
        </w:tc>
      </w:tr>
    </w:tbl>
    <w:p w14:paraId="58D6B51C" w14:textId="77777777" w:rsidR="00B564EE" w:rsidRPr="00B564EE" w:rsidRDefault="00B564EE" w:rsidP="00B564EE">
      <w:pPr>
        <w:tabs>
          <w:tab w:val="left" w:pos="195"/>
        </w:tabs>
        <w:spacing w:after="0" w:line="240" w:lineRule="auto"/>
        <w:rPr>
          <w:rFonts w:ascii="Times New Roman" w:eastAsia="Times New Roman" w:hAnsi="Times New Roman" w:cs="Times New Roman"/>
          <w:sz w:val="20"/>
          <w:szCs w:val="20"/>
        </w:rPr>
      </w:pPr>
    </w:p>
    <w:p w14:paraId="3FEEDD45" w14:textId="77777777" w:rsidR="00B564EE" w:rsidRPr="00B564EE" w:rsidRDefault="00B564EE" w:rsidP="00B564EE">
      <w:pPr>
        <w:spacing w:after="0" w:line="240" w:lineRule="auto"/>
        <w:jc w:val="both"/>
        <w:rPr>
          <w:rFonts w:ascii="Times New Roman" w:eastAsia="Times New Roman" w:hAnsi="Times New Roman" w:cs="Times New Roman"/>
          <w:b/>
          <w:color w:val="000000"/>
          <w:sz w:val="24"/>
          <w:szCs w:val="24"/>
        </w:rPr>
      </w:pPr>
      <w:r w:rsidRPr="00B564EE">
        <w:rPr>
          <w:rFonts w:ascii="Times New Roman" w:eastAsia="Times New Roman" w:hAnsi="Times New Roman" w:cs="Times New Roman"/>
          <w:b/>
          <w:bCs/>
          <w:iCs/>
          <w:sz w:val="24"/>
          <w:szCs w:val="24"/>
          <w:lang w:eastAsia="lt-LT"/>
        </w:rPr>
        <w:t>DĖL VIEŠOSIOS ĮSTAIGOS VILNIAUS FUTBOLO AKADEMIJOS VYKDOMO PROJEKTO</w:t>
      </w:r>
    </w:p>
    <w:p w14:paraId="49AB81B3" w14:textId="77777777" w:rsidR="00B564EE" w:rsidRPr="00B564EE" w:rsidRDefault="00B564EE" w:rsidP="00B564EE">
      <w:pPr>
        <w:spacing w:after="0" w:line="240" w:lineRule="auto"/>
        <w:jc w:val="both"/>
        <w:rPr>
          <w:rFonts w:ascii="Times New Roman" w:eastAsia="Times New Roman" w:hAnsi="Times New Roman" w:cs="Times New Roman"/>
          <w:sz w:val="24"/>
          <w:szCs w:val="24"/>
        </w:rPr>
      </w:pPr>
    </w:p>
    <w:p w14:paraId="539B7D81" w14:textId="77777777" w:rsidR="00B564EE" w:rsidRPr="00B564EE" w:rsidRDefault="00B564EE" w:rsidP="00B564EE">
      <w:pPr>
        <w:spacing w:after="0" w:line="360" w:lineRule="auto"/>
        <w:ind w:firstLine="851"/>
        <w:jc w:val="both"/>
        <w:rPr>
          <w:rFonts w:ascii="Times New Roman" w:eastAsia="Times New Roman" w:hAnsi="Times New Roman" w:cs="Times New Roman"/>
          <w:sz w:val="24"/>
          <w:szCs w:val="24"/>
          <w:lang w:eastAsia="lt-LT"/>
        </w:rPr>
      </w:pPr>
      <w:r w:rsidRPr="00B564EE">
        <w:rPr>
          <w:rFonts w:ascii="Times New Roman" w:eastAsia="Times New Roman" w:hAnsi="Times New Roman" w:cs="Times New Roman"/>
          <w:sz w:val="24"/>
          <w:szCs w:val="20"/>
        </w:rPr>
        <w:t xml:space="preserve">Atsakydami į Jūsų raštą „Dėl viešosios įstaigos Vilniaus futbolo akademijos vykdomo futbolo aikštynų Vilniuje, Karklų g. 35, projekto“, pateikiame informaciją apie viešosios įstaigos Vilniaus futbolo akademijos vykdomą futbolo aikštynų Vilniuje, Karklų g. 35, projektą (toliau – Projektas) bei papildome mūsų 2019 m. spalio 8 d. raštu Nr. A51-95170/19(3.3.91E-AD24) teiktą informaciją dėl </w:t>
      </w:r>
      <w:r w:rsidRPr="00B564EE">
        <w:rPr>
          <w:rFonts w:ascii="Times New Roman" w:eastAsia="Times New Roman" w:hAnsi="Times New Roman" w:cs="Times New Roman"/>
          <w:sz w:val="24"/>
          <w:szCs w:val="24"/>
          <w:lang w:eastAsia="lt-LT"/>
        </w:rPr>
        <w:t>Projekto šiuo metu turimo valstybei svarbaus ekonominio projekto statuso išsaugojimo.</w:t>
      </w:r>
    </w:p>
    <w:p w14:paraId="0F2A90AA" w14:textId="77777777" w:rsidR="00B564EE" w:rsidRPr="00B564EE" w:rsidRDefault="00B564EE" w:rsidP="00B564EE">
      <w:pPr>
        <w:tabs>
          <w:tab w:val="left" w:pos="709"/>
        </w:tabs>
        <w:spacing w:after="0" w:line="360" w:lineRule="auto"/>
        <w:jc w:val="both"/>
        <w:rPr>
          <w:rFonts w:ascii="Times New Roman" w:eastAsia="Times New Roman" w:hAnsi="Times New Roman" w:cs="Times New Roman"/>
          <w:sz w:val="24"/>
          <w:szCs w:val="20"/>
        </w:rPr>
      </w:pPr>
      <w:r w:rsidRPr="00B564EE">
        <w:rPr>
          <w:rFonts w:ascii="Times New Roman" w:eastAsia="Times New Roman" w:hAnsi="Times New Roman" w:cs="Times New Roman"/>
          <w:sz w:val="24"/>
          <w:szCs w:val="20"/>
        </w:rPr>
        <w:tab/>
        <w:t>Patvirtiname, kad pagal šiuo metu galiojančią Projektų pripažinimo valstybei svarbiais projektais tvarkos aprašo (patvirtinto Lietuvos Respublikos vyriausybės 2008 m. vasario 13 d. nutarimu Nr. 136 „Dėl Projektų pripažinimo valstybei svarbiais projektais tvarkos aprašo patvirtinimo“) (toliau – Aprašas) redakciją Projektas atitinka Apraše nurodytą šią privalomą informaciją:</w:t>
      </w:r>
    </w:p>
    <w:p w14:paraId="6EFC7237" w14:textId="77777777" w:rsidR="00B564EE" w:rsidRPr="00B564EE" w:rsidRDefault="00B564EE" w:rsidP="00B564EE">
      <w:pPr>
        <w:tabs>
          <w:tab w:val="left" w:pos="709"/>
        </w:tabs>
        <w:spacing w:after="0" w:line="360" w:lineRule="auto"/>
        <w:jc w:val="both"/>
        <w:rPr>
          <w:rFonts w:ascii="Times New Roman" w:eastAsia="Times New Roman" w:hAnsi="Times New Roman" w:cs="Times New Roman"/>
          <w:sz w:val="24"/>
          <w:szCs w:val="20"/>
        </w:rPr>
      </w:pPr>
      <w:r w:rsidRPr="00B564EE">
        <w:rPr>
          <w:rFonts w:ascii="Times New Roman" w:eastAsia="Times New Roman" w:hAnsi="Times New Roman" w:cs="Times New Roman"/>
          <w:sz w:val="24"/>
          <w:szCs w:val="20"/>
        </w:rPr>
        <w:tab/>
        <w:t xml:space="preserve">Aprašo 3.1 papunktis. Įgyvendinus Projektą, bus daromas poveikis ne tik Vilniaus, bet ir aplinkiniams regionams, neturintiems analogiškų sporto bazių. Realizavus Lietuvos futbolo federacijos įgyvendinamą futbolo akademijų plėtros projektą ir įkūrus Vilniaus bei kitas planuojamas futbolo akademijas, Lietuvos futbolo federacija turėtų įgyvendinti vieną iš savo strateginių uždavinių – jaunimo futbolo plėtojimą Lietuvoje. Centralizuotas ir kryptingas sportininkų rengimas ženkliai pagerins visų amžiaus grupių Lietuvos futbolo rinktinių rezultatus, šių rinktinių gabiausi sportininkai papildys Lietuvos nacionalinę rinktinę. Naujojo futbolo aikštyno komplekso atsiradimas pagerins </w:t>
      </w:r>
      <w:r w:rsidRPr="00B564EE">
        <w:rPr>
          <w:rFonts w:ascii="Times New Roman" w:eastAsia="Times New Roman" w:hAnsi="Times New Roman" w:cs="Times New Roman"/>
          <w:sz w:val="24"/>
          <w:szCs w:val="20"/>
        </w:rPr>
        <w:lastRenderedPageBreak/>
        <w:t xml:space="preserve">Lietuvos rinktinės pasirengimo svarbiausioms sezono varžyboms kokybę, suteiks galimybę </w:t>
      </w:r>
      <w:proofErr w:type="spellStart"/>
      <w:r w:rsidRPr="00B564EE">
        <w:rPr>
          <w:rFonts w:ascii="Times New Roman" w:eastAsia="Times New Roman" w:hAnsi="Times New Roman" w:cs="Times New Roman"/>
          <w:sz w:val="24"/>
          <w:szCs w:val="20"/>
        </w:rPr>
        <w:t>visavertiškai</w:t>
      </w:r>
      <w:proofErr w:type="spellEnd"/>
      <w:r w:rsidRPr="00B564EE">
        <w:rPr>
          <w:rFonts w:ascii="Times New Roman" w:eastAsia="Times New Roman" w:hAnsi="Times New Roman" w:cs="Times New Roman"/>
          <w:sz w:val="24"/>
          <w:szCs w:val="20"/>
        </w:rPr>
        <w:t xml:space="preserve"> rengtis pagrindinėms varžyboms vienoje vietoje, žaisti draugiškas rungtynes ir gerokai sumažins Lietuvos futbolo federacijos išlaidas sporto bazių nuomai, apgyvendinimui, maitinimui, transportui ir kt. Į varžybas pritraukiant daugiau žiūrovų bus populiarinamas futbolas Lietuvoje.</w:t>
      </w:r>
    </w:p>
    <w:p w14:paraId="65B6AB7A"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0"/>
        </w:rPr>
      </w:pPr>
      <w:r w:rsidRPr="00B564EE">
        <w:rPr>
          <w:rFonts w:ascii="Times New Roman" w:eastAsia="Times New Roman" w:hAnsi="Times New Roman" w:cs="Times New Roman"/>
          <w:sz w:val="24"/>
          <w:szCs w:val="20"/>
        </w:rPr>
        <w:t>Futbolo aikštynų infrastruktūra bus naudojama įvairiems projektus, susijusiems su sporto plėtra, juos galės įgyvendinti Vilniaus ir kitų miestų bei rajonų savivaldybės, sporto klubai. Tokiu būdu poveikis būtų daromas ne tik Vilniaus regionui, bet ir visos Lietuvos mastu.</w:t>
      </w:r>
    </w:p>
    <w:p w14:paraId="2BDD5F22"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0"/>
        </w:rPr>
      </w:pPr>
      <w:r w:rsidRPr="00B564EE">
        <w:rPr>
          <w:rFonts w:ascii="Times New Roman" w:eastAsia="Times New Roman" w:hAnsi="Times New Roman" w:cs="Times New Roman"/>
          <w:sz w:val="24"/>
          <w:szCs w:val="20"/>
        </w:rPr>
        <w:t>Aprašo 3.2 papunktis. Projekto vyraujantis ekonominis ir (ar) socialinis poveikis, t. y. naudos ir sąnaudų santykis, yra ne mažesnis kaip 1.</w:t>
      </w:r>
    </w:p>
    <w:p w14:paraId="66975FD6"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6"/>
        </w:rPr>
      </w:pPr>
      <w:r w:rsidRPr="00B564EE">
        <w:rPr>
          <w:rFonts w:ascii="Times New Roman" w:eastAsia="Times New Roman" w:hAnsi="Times New Roman" w:cs="Times New Roman"/>
          <w:sz w:val="24"/>
          <w:szCs w:val="26"/>
        </w:rPr>
        <w:t>Aprašo 3.3 papunktis. Projekto investicijų vertė viršija 10 000 000 (dešimt milijonų) Eur. Bendra planuojama Projekto investicijų vertė sudaro 14,5 mln. Eur.</w:t>
      </w:r>
    </w:p>
    <w:p w14:paraId="58446F54"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6"/>
        </w:rPr>
      </w:pPr>
      <w:r w:rsidRPr="00B564EE">
        <w:rPr>
          <w:rFonts w:ascii="Times New Roman" w:eastAsia="Times New Roman" w:hAnsi="Times New Roman" w:cs="Times New Roman"/>
          <w:sz w:val="24"/>
          <w:szCs w:val="26"/>
        </w:rPr>
        <w:t>Aprašo 3.4 papunktis. Projektas įgyvendina Lietuvos Respublikos Seimo 2011 m. kovo 24 d. nutarimu Nr. XI-1296 patvirtintą 2011–2020 metų valstybinę sporto plėtros strategiją.</w:t>
      </w:r>
    </w:p>
    <w:p w14:paraId="546FDA82"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6"/>
        </w:rPr>
      </w:pPr>
      <w:r w:rsidRPr="00B564EE">
        <w:rPr>
          <w:rFonts w:ascii="Times New Roman" w:eastAsia="Times New Roman" w:hAnsi="Times New Roman" w:cs="Times New Roman"/>
          <w:sz w:val="24"/>
          <w:szCs w:val="26"/>
        </w:rPr>
        <w:t>Aprašo 3.5 papunktis. Į Projektą numatoma pritraukti tiesioginių vidaus ir (ar) užsienio investicijų, sudarančių ne mažiau kaip 25 procentus projekto vertės. Yra numatoma Projektui įgyvendinti gauti iš Lietuvos futbolo federacijos bei UEFA.</w:t>
      </w:r>
    </w:p>
    <w:p w14:paraId="621E83C4" w14:textId="77777777" w:rsidR="00B564EE" w:rsidRPr="00B564EE" w:rsidRDefault="00B564EE" w:rsidP="00B564EE">
      <w:pPr>
        <w:spacing w:after="0" w:line="360" w:lineRule="auto"/>
        <w:ind w:firstLine="720"/>
        <w:jc w:val="both"/>
        <w:rPr>
          <w:rFonts w:ascii="Times New Roman" w:eastAsia="Times New Roman" w:hAnsi="Times New Roman" w:cs="Times New Roman"/>
          <w:sz w:val="24"/>
          <w:szCs w:val="20"/>
        </w:rPr>
      </w:pPr>
      <w:r w:rsidRPr="00B564EE">
        <w:rPr>
          <w:rFonts w:ascii="Times New Roman" w:eastAsia="Times New Roman" w:hAnsi="Times New Roman" w:cs="Times New Roman"/>
          <w:sz w:val="24"/>
          <w:szCs w:val="26"/>
        </w:rPr>
        <w:t xml:space="preserve">Aprašo 3.6 papunktis. Projektas turės kompleksinį poveikį sporto, sveikatos ir neformaliojo švietimo plėtojimo srityje. </w:t>
      </w:r>
      <w:r w:rsidRPr="00B564EE">
        <w:rPr>
          <w:rFonts w:ascii="Times New Roman" w:eastAsia="Times New Roman" w:hAnsi="Times New Roman" w:cs="Times New Roman"/>
          <w:sz w:val="24"/>
          <w:szCs w:val="20"/>
        </w:rPr>
        <w:t>Įgyvendinus Projektą, sukurta futbolo aikštynų infrastruktūra bus naudojama įgyvendinant įvairius visuomeninius socialinius projektus – Vilniaus regiono vaikai ir jaunimas komplekso paslaugomis tam tikru nustatytu laiku galės naudotis neatlygintinai.</w:t>
      </w:r>
    </w:p>
    <w:p w14:paraId="47B1EE8A" w14:textId="77777777" w:rsidR="00B564EE" w:rsidRPr="00B564EE" w:rsidRDefault="00B564EE" w:rsidP="00B564EE">
      <w:pPr>
        <w:spacing w:after="0" w:line="360" w:lineRule="auto"/>
        <w:ind w:firstLine="851"/>
        <w:jc w:val="both"/>
        <w:rPr>
          <w:rFonts w:ascii="Times New Roman" w:eastAsia="Times New Roman" w:hAnsi="Times New Roman" w:cs="Times New Roman"/>
          <w:sz w:val="24"/>
          <w:szCs w:val="24"/>
          <w:lang w:eastAsia="lt-LT"/>
        </w:rPr>
      </w:pPr>
    </w:p>
    <w:p w14:paraId="1018F309" w14:textId="77777777" w:rsidR="00B564EE" w:rsidRPr="00B564EE" w:rsidRDefault="00B564EE" w:rsidP="00B564EE">
      <w:pPr>
        <w:spacing w:after="0" w:line="360" w:lineRule="auto"/>
        <w:ind w:firstLine="851"/>
        <w:rPr>
          <w:rFonts w:ascii="Times New Roman" w:eastAsia="Times New Roman" w:hAnsi="Times New Roman" w:cs="Times New Roman"/>
          <w:sz w:val="24"/>
          <w:szCs w:val="24"/>
          <w:lang w:eastAsia="lt-LT"/>
        </w:rPr>
      </w:pPr>
    </w:p>
    <w:p w14:paraId="28305E03" w14:textId="77777777" w:rsidR="00B564EE" w:rsidRPr="00B564EE" w:rsidRDefault="00B564EE" w:rsidP="00B564EE">
      <w:pPr>
        <w:spacing w:line="360" w:lineRule="auto"/>
        <w:jc w:val="both"/>
        <w:rPr>
          <w:rFonts w:ascii="Times New Roman" w:eastAsia="Calibri" w:hAnsi="Times New Roman" w:cs="Times New Roman"/>
          <w:sz w:val="24"/>
          <w:szCs w:val="24"/>
        </w:rPr>
      </w:pPr>
    </w:p>
    <w:p w14:paraId="62936657" w14:textId="77777777" w:rsidR="00B564EE" w:rsidRPr="00B564EE" w:rsidRDefault="00B564EE" w:rsidP="00B564EE">
      <w:pPr>
        <w:spacing w:line="360" w:lineRule="auto"/>
        <w:jc w:val="both"/>
        <w:rPr>
          <w:rFonts w:ascii="Times New Roman" w:eastAsia="Calibri" w:hAnsi="Times New Roman" w:cs="Times New Roman"/>
          <w:sz w:val="24"/>
          <w:szCs w:val="24"/>
        </w:rPr>
      </w:pPr>
    </w:p>
    <w:p w14:paraId="4BC9FBDC" w14:textId="77777777" w:rsidR="00B564EE" w:rsidRPr="00B564EE" w:rsidRDefault="00B564EE" w:rsidP="00B564EE">
      <w:pPr>
        <w:spacing w:after="0" w:line="240" w:lineRule="auto"/>
        <w:jc w:val="both"/>
        <w:rPr>
          <w:rFonts w:ascii="Times New Roman" w:eastAsia="Times New Roman" w:hAnsi="Times New Roman" w:cs="Times New Roman"/>
          <w:sz w:val="24"/>
          <w:szCs w:val="24"/>
        </w:rPr>
      </w:pPr>
      <w:r w:rsidRPr="00B564EE">
        <w:rPr>
          <w:rFonts w:ascii="Times New Roman" w:eastAsia="Times New Roman" w:hAnsi="Times New Roman" w:cs="Times New Roman"/>
          <w:sz w:val="24"/>
          <w:szCs w:val="24"/>
        </w:rPr>
        <w:t xml:space="preserve">Administracijos direktoriaus pavaduotoja,    </w:t>
      </w:r>
      <w:r w:rsidRPr="00B564EE">
        <w:rPr>
          <w:rFonts w:ascii="Times New Roman" w:eastAsia="Times New Roman" w:hAnsi="Times New Roman" w:cs="Times New Roman"/>
          <w:sz w:val="24"/>
          <w:szCs w:val="24"/>
        </w:rPr>
        <w:tab/>
        <w:t xml:space="preserve">        </w:t>
      </w:r>
      <w:r w:rsidRPr="00B564EE">
        <w:rPr>
          <w:rFonts w:ascii="Times New Roman" w:eastAsia="Times New Roman" w:hAnsi="Times New Roman" w:cs="Times New Roman"/>
          <w:sz w:val="24"/>
          <w:szCs w:val="24"/>
        </w:rPr>
        <w:tab/>
        <w:t xml:space="preserve">                                               </w:t>
      </w:r>
      <w:r w:rsidRPr="00B564EE">
        <w:rPr>
          <w:rFonts w:ascii="Times New Roman" w:eastAsia="Times New Roman" w:hAnsi="Times New Roman" w:cs="Times New Roman"/>
          <w:sz w:val="24"/>
          <w:szCs w:val="24"/>
        </w:rPr>
        <w:tab/>
        <w:t xml:space="preserve">   </w:t>
      </w:r>
      <w:proofErr w:type="spellStart"/>
      <w:r w:rsidRPr="00B564EE">
        <w:rPr>
          <w:rFonts w:ascii="Times New Roman" w:eastAsia="Times New Roman" w:hAnsi="Times New Roman" w:cs="Times New Roman"/>
          <w:sz w:val="24"/>
          <w:szCs w:val="24"/>
        </w:rPr>
        <w:t>Danuta</w:t>
      </w:r>
      <w:proofErr w:type="spellEnd"/>
      <w:r w:rsidRPr="00B564EE">
        <w:rPr>
          <w:rFonts w:ascii="Times New Roman" w:eastAsia="Times New Roman" w:hAnsi="Times New Roman" w:cs="Times New Roman"/>
          <w:sz w:val="24"/>
          <w:szCs w:val="24"/>
        </w:rPr>
        <w:t xml:space="preserve"> </w:t>
      </w:r>
      <w:proofErr w:type="spellStart"/>
      <w:r w:rsidRPr="00B564EE">
        <w:rPr>
          <w:rFonts w:ascii="Times New Roman" w:eastAsia="Times New Roman" w:hAnsi="Times New Roman" w:cs="Times New Roman"/>
          <w:sz w:val="24"/>
          <w:szCs w:val="24"/>
        </w:rPr>
        <w:t>Narbut</w:t>
      </w:r>
      <w:proofErr w:type="spellEnd"/>
    </w:p>
    <w:p w14:paraId="1ED0021D" w14:textId="77777777" w:rsidR="00B564EE" w:rsidRPr="00B564EE" w:rsidRDefault="00B564EE" w:rsidP="00B564EE">
      <w:pPr>
        <w:spacing w:after="0" w:line="240" w:lineRule="auto"/>
        <w:jc w:val="both"/>
        <w:rPr>
          <w:rFonts w:ascii="Times New Roman" w:eastAsia="Times New Roman" w:hAnsi="Times New Roman" w:cs="Times New Roman"/>
          <w:sz w:val="24"/>
          <w:szCs w:val="24"/>
        </w:rPr>
      </w:pPr>
      <w:r w:rsidRPr="00B564EE">
        <w:rPr>
          <w:rFonts w:ascii="Times New Roman" w:eastAsia="Times New Roman" w:hAnsi="Times New Roman" w:cs="Times New Roman"/>
          <w:sz w:val="24"/>
          <w:szCs w:val="24"/>
        </w:rPr>
        <w:t>pavaduojanti Administracijos direktorių</w:t>
      </w:r>
    </w:p>
    <w:p w14:paraId="2CEDC82F" w14:textId="77777777" w:rsidR="00B564EE" w:rsidRPr="00B564EE" w:rsidRDefault="00B564EE" w:rsidP="00B564EE">
      <w:pPr>
        <w:spacing w:after="0" w:line="240" w:lineRule="auto"/>
        <w:jc w:val="both"/>
        <w:rPr>
          <w:rFonts w:ascii="Times New Roman" w:eastAsia="Times New Roman" w:hAnsi="Times New Roman" w:cs="Times New Roman"/>
          <w:sz w:val="24"/>
          <w:szCs w:val="24"/>
        </w:rPr>
      </w:pPr>
    </w:p>
    <w:p w14:paraId="39258F03"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32"/>
          <w:szCs w:val="20"/>
        </w:rPr>
      </w:pPr>
    </w:p>
    <w:p w14:paraId="70EC3B0E"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32"/>
          <w:szCs w:val="20"/>
        </w:rPr>
      </w:pPr>
    </w:p>
    <w:p w14:paraId="31A2878A"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32"/>
          <w:szCs w:val="20"/>
        </w:rPr>
      </w:pPr>
    </w:p>
    <w:p w14:paraId="4BD8B3D1"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32"/>
          <w:szCs w:val="20"/>
        </w:rPr>
      </w:pPr>
      <w:bookmarkStart w:id="0" w:name="_GoBack"/>
      <w:bookmarkEnd w:id="0"/>
    </w:p>
    <w:p w14:paraId="537738D5"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32"/>
          <w:szCs w:val="20"/>
        </w:rPr>
      </w:pPr>
    </w:p>
    <w:p w14:paraId="1FCC3067"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24"/>
          <w:szCs w:val="20"/>
        </w:rPr>
      </w:pPr>
    </w:p>
    <w:p w14:paraId="77699DE8" w14:textId="77777777" w:rsidR="00B564EE" w:rsidRPr="00B564EE" w:rsidRDefault="00B564EE" w:rsidP="00B564EE">
      <w:pPr>
        <w:tabs>
          <w:tab w:val="left" w:pos="840"/>
        </w:tabs>
        <w:spacing w:after="0" w:line="240" w:lineRule="auto"/>
        <w:jc w:val="both"/>
        <w:rPr>
          <w:rFonts w:ascii="Times New Roman" w:eastAsia="Times New Roman" w:hAnsi="Times New Roman" w:cs="Times New Roman"/>
          <w:sz w:val="20"/>
          <w:szCs w:val="20"/>
        </w:rPr>
      </w:pPr>
      <w:r w:rsidRPr="00B564EE">
        <w:rPr>
          <w:rFonts w:ascii="Times New Roman" w:eastAsia="Times New Roman" w:hAnsi="Times New Roman" w:cs="Times New Roman"/>
          <w:sz w:val="20"/>
          <w:szCs w:val="20"/>
          <w:lang w:val="en-US"/>
        </w:rPr>
        <w:t xml:space="preserve">Saulius </w:t>
      </w:r>
      <w:proofErr w:type="spellStart"/>
      <w:r w:rsidRPr="00B564EE">
        <w:rPr>
          <w:rFonts w:ascii="Times New Roman" w:eastAsia="Times New Roman" w:hAnsi="Times New Roman" w:cs="Times New Roman"/>
          <w:sz w:val="20"/>
          <w:szCs w:val="20"/>
          <w:lang w:val="en-US"/>
        </w:rPr>
        <w:t>Greičius</w:t>
      </w:r>
      <w:proofErr w:type="spellEnd"/>
      <w:r w:rsidRPr="00B564EE">
        <w:rPr>
          <w:rFonts w:ascii="Times New Roman" w:eastAsia="Times New Roman" w:hAnsi="Times New Roman" w:cs="Times New Roman"/>
          <w:sz w:val="20"/>
          <w:szCs w:val="20"/>
          <w:lang w:val="en-US"/>
        </w:rPr>
        <w:t xml:space="preserve">, tel. (8 5)  211 2346, el. p. </w:t>
      </w:r>
      <w:hyperlink r:id="rId6" w:history="1">
        <w:r w:rsidRPr="00B564EE">
          <w:rPr>
            <w:rFonts w:ascii="Times New Roman" w:eastAsia="Times New Roman" w:hAnsi="Times New Roman" w:cs="Times New Roman"/>
            <w:color w:val="0000FF"/>
            <w:sz w:val="20"/>
            <w:szCs w:val="20"/>
            <w:u w:val="single"/>
            <w:lang w:val="en-US"/>
          </w:rPr>
          <w:t>saulius.greicius@vilnius.lt</w:t>
        </w:r>
      </w:hyperlink>
      <w:r w:rsidRPr="00B564EE">
        <w:rPr>
          <w:rFonts w:ascii="Times New Roman" w:eastAsia="Times New Roman" w:hAnsi="Times New Roman" w:cs="Times New Roman"/>
          <w:sz w:val="20"/>
          <w:szCs w:val="20"/>
          <w:lang w:val="en-US"/>
        </w:rPr>
        <w:t xml:space="preserve"> </w:t>
      </w:r>
    </w:p>
    <w:p w14:paraId="4E94726A" w14:textId="77777777" w:rsidR="003F476E" w:rsidRDefault="003F476E"/>
    <w:sectPr w:rsidR="003F476E" w:rsidSect="00404A05">
      <w:footerReference w:type="default" r:id="rId7"/>
      <w:footerReference w:type="first" r:id="rId8"/>
      <w:pgSz w:w="11906" w:h="16838" w:code="9"/>
      <w:pgMar w:top="1134" w:right="567" w:bottom="284" w:left="1701" w:header="567" w:footer="1134"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EFC0" w14:textId="77777777" w:rsidR="00141A89" w:rsidRDefault="00B564EE"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DA76" w14:textId="77777777" w:rsidR="00404A05" w:rsidRDefault="00B564EE" w:rsidP="00404A05">
    <w:pPr>
      <w:rPr>
        <w:sz w:val="16"/>
        <w:szCs w:val="16"/>
      </w:rPr>
    </w:pPr>
    <w:r>
      <w:rPr>
        <w:noProof/>
        <w:sz w:val="16"/>
        <w:szCs w:val="16"/>
        <w:lang w:eastAsia="lt-LT"/>
      </w:rPr>
      <w:drawing>
        <wp:inline distT="0" distB="0" distL="0" distR="0" wp14:anchorId="19AFD126" wp14:editId="08F75F79">
          <wp:extent cx="6115050" cy="57150"/>
          <wp:effectExtent l="0" t="0" r="0" b="0"/>
          <wp:docPr id="2"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12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1134"/>
      <w:gridCol w:w="2694"/>
      <w:gridCol w:w="1984"/>
      <w:gridCol w:w="3544"/>
    </w:tblGrid>
    <w:tr w:rsidR="00D30637" w:rsidRPr="00F5661E" w14:paraId="1330EB77" w14:textId="77777777" w:rsidTr="00F5661E">
      <w:tc>
        <w:tcPr>
          <w:tcW w:w="1134" w:type="dxa"/>
          <w:vMerge w:val="restart"/>
          <w:shd w:val="clear" w:color="auto" w:fill="auto"/>
        </w:tcPr>
        <w:p w14:paraId="1D009EAF" w14:textId="77777777" w:rsidR="00D30637" w:rsidRPr="00F5661E" w:rsidRDefault="00B564EE" w:rsidP="00D30637">
          <w:pPr>
            <w:rPr>
              <w:sz w:val="16"/>
              <w:szCs w:val="16"/>
            </w:rPr>
          </w:pPr>
          <w:r>
            <w:rPr>
              <w:noProof/>
              <w:sz w:val="16"/>
              <w:szCs w:val="16"/>
              <w:lang w:eastAsia="lt-LT"/>
            </w:rPr>
            <w:drawing>
              <wp:inline distT="0" distB="0" distL="0" distR="0" wp14:anchorId="15164F12" wp14:editId="13E41C2A">
                <wp:extent cx="495300" cy="419100"/>
                <wp:effectExtent l="0" t="0" r="0" b="0"/>
                <wp:docPr id="3" name="Paveikslėlis 3"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694" w:type="dxa"/>
          <w:shd w:val="clear" w:color="auto" w:fill="auto"/>
        </w:tcPr>
        <w:p w14:paraId="3BD473CB" w14:textId="77777777" w:rsidR="00D30637" w:rsidRPr="00F5661E" w:rsidRDefault="00B564EE" w:rsidP="00D30637">
          <w:pPr>
            <w:rPr>
              <w:sz w:val="16"/>
              <w:szCs w:val="16"/>
            </w:rPr>
          </w:pPr>
          <w:r w:rsidRPr="00F5661E">
            <w:rPr>
              <w:sz w:val="16"/>
              <w:szCs w:val="16"/>
            </w:rPr>
            <w:t>Biudžetinė įstaiga</w:t>
          </w:r>
        </w:p>
      </w:tc>
      <w:tc>
        <w:tcPr>
          <w:tcW w:w="1984" w:type="dxa"/>
          <w:shd w:val="clear" w:color="auto" w:fill="auto"/>
        </w:tcPr>
        <w:p w14:paraId="606B12E1" w14:textId="77777777" w:rsidR="00D30637" w:rsidRPr="00F5661E" w:rsidRDefault="00B564EE" w:rsidP="00D30637">
          <w:pPr>
            <w:rPr>
              <w:sz w:val="16"/>
              <w:szCs w:val="16"/>
            </w:rPr>
          </w:pPr>
          <w:r w:rsidRPr="00F5661E">
            <w:rPr>
              <w:sz w:val="16"/>
              <w:szCs w:val="16"/>
            </w:rPr>
            <w:t>Konstitucijos pr. 3</w:t>
          </w:r>
        </w:p>
      </w:tc>
      <w:tc>
        <w:tcPr>
          <w:tcW w:w="3544" w:type="dxa"/>
          <w:shd w:val="clear" w:color="auto" w:fill="auto"/>
        </w:tcPr>
        <w:p w14:paraId="06C01D4E" w14:textId="77777777" w:rsidR="00D30637" w:rsidRPr="00F5661E" w:rsidRDefault="00B564EE" w:rsidP="00D30637">
          <w:pPr>
            <w:rPr>
              <w:sz w:val="16"/>
              <w:szCs w:val="16"/>
            </w:rPr>
          </w:pPr>
          <w:r w:rsidRPr="00F5661E">
            <w:rPr>
              <w:sz w:val="16"/>
              <w:szCs w:val="16"/>
            </w:rPr>
            <w:t xml:space="preserve">El. p. </w:t>
          </w:r>
          <w:r w:rsidRPr="00F5661E">
            <w:rPr>
              <w:color w:val="000000"/>
              <w:sz w:val="16"/>
              <w:szCs w:val="16"/>
            </w:rPr>
            <w:t>savivaldybe@vilnius.lt</w:t>
          </w:r>
        </w:p>
      </w:tc>
    </w:tr>
    <w:tr w:rsidR="00D30637" w:rsidRPr="00F5661E" w14:paraId="3DBF3D40" w14:textId="77777777" w:rsidTr="00F5661E">
      <w:tc>
        <w:tcPr>
          <w:tcW w:w="1134" w:type="dxa"/>
          <w:vMerge/>
          <w:shd w:val="clear" w:color="auto" w:fill="auto"/>
        </w:tcPr>
        <w:p w14:paraId="56C5FB90" w14:textId="77777777" w:rsidR="00D30637" w:rsidRPr="00F5661E" w:rsidRDefault="00B564EE" w:rsidP="00D30637">
          <w:pPr>
            <w:rPr>
              <w:sz w:val="16"/>
              <w:szCs w:val="16"/>
            </w:rPr>
          </w:pPr>
        </w:p>
      </w:tc>
      <w:tc>
        <w:tcPr>
          <w:tcW w:w="2694" w:type="dxa"/>
          <w:shd w:val="clear" w:color="auto" w:fill="auto"/>
        </w:tcPr>
        <w:p w14:paraId="04509A29" w14:textId="77777777" w:rsidR="00D30637" w:rsidRPr="00F5661E" w:rsidRDefault="00B564EE" w:rsidP="00D30637">
          <w:pPr>
            <w:rPr>
              <w:sz w:val="16"/>
              <w:szCs w:val="16"/>
            </w:rPr>
          </w:pPr>
          <w:r w:rsidRPr="00F5661E">
            <w:rPr>
              <w:sz w:val="16"/>
              <w:szCs w:val="16"/>
            </w:rPr>
            <w:t>Kodas 188710061</w:t>
          </w:r>
        </w:p>
      </w:tc>
      <w:tc>
        <w:tcPr>
          <w:tcW w:w="1984" w:type="dxa"/>
          <w:shd w:val="clear" w:color="auto" w:fill="auto"/>
        </w:tcPr>
        <w:p w14:paraId="2336B804" w14:textId="77777777" w:rsidR="00D30637" w:rsidRPr="00F5661E" w:rsidRDefault="00B564EE" w:rsidP="00D30637">
          <w:pPr>
            <w:rPr>
              <w:sz w:val="16"/>
              <w:szCs w:val="16"/>
            </w:rPr>
          </w:pPr>
          <w:r w:rsidRPr="00F5661E">
            <w:rPr>
              <w:sz w:val="16"/>
              <w:szCs w:val="16"/>
            </w:rPr>
            <w:t>LT-09601 Vilnius</w:t>
          </w:r>
        </w:p>
      </w:tc>
      <w:tc>
        <w:tcPr>
          <w:tcW w:w="3544" w:type="dxa"/>
          <w:shd w:val="clear" w:color="auto" w:fill="auto"/>
        </w:tcPr>
        <w:p w14:paraId="053E2FDF" w14:textId="77777777" w:rsidR="00D30637" w:rsidRPr="00F5661E" w:rsidRDefault="00B564EE" w:rsidP="00D30637">
          <w:pPr>
            <w:rPr>
              <w:sz w:val="16"/>
              <w:szCs w:val="16"/>
            </w:rPr>
          </w:pPr>
          <w:hyperlink r:id="rId3" w:history="1">
            <w:r w:rsidRPr="00F5661E">
              <w:rPr>
                <w:rStyle w:val="Hipersaitas"/>
                <w:color w:val="000000"/>
                <w:sz w:val="16"/>
                <w:szCs w:val="16"/>
              </w:rPr>
              <w:t>www.vilnius.lt</w:t>
            </w:r>
          </w:hyperlink>
        </w:p>
      </w:tc>
    </w:tr>
    <w:tr w:rsidR="00D30637" w:rsidRPr="00F5661E" w14:paraId="12F14DB2" w14:textId="77777777" w:rsidTr="00F5661E">
      <w:tc>
        <w:tcPr>
          <w:tcW w:w="1134" w:type="dxa"/>
          <w:vMerge/>
          <w:shd w:val="clear" w:color="auto" w:fill="auto"/>
        </w:tcPr>
        <w:p w14:paraId="6C9DA5C7" w14:textId="77777777" w:rsidR="00D30637" w:rsidRPr="00F5661E" w:rsidRDefault="00B564EE" w:rsidP="00D30637">
          <w:pPr>
            <w:rPr>
              <w:sz w:val="16"/>
              <w:szCs w:val="16"/>
            </w:rPr>
          </w:pPr>
        </w:p>
      </w:tc>
      <w:tc>
        <w:tcPr>
          <w:tcW w:w="2694" w:type="dxa"/>
          <w:shd w:val="clear" w:color="auto" w:fill="auto"/>
        </w:tcPr>
        <w:p w14:paraId="76EDA1D9" w14:textId="77777777" w:rsidR="00D30637" w:rsidRPr="00F5661E" w:rsidRDefault="00B564EE" w:rsidP="00D30637">
          <w:pPr>
            <w:rPr>
              <w:sz w:val="16"/>
              <w:szCs w:val="16"/>
            </w:rPr>
          </w:pPr>
          <w:r w:rsidRPr="00F5661E">
            <w:rPr>
              <w:sz w:val="16"/>
              <w:szCs w:val="16"/>
            </w:rPr>
            <w:t>Duomenys kaupiami ir saugomi</w:t>
          </w:r>
        </w:p>
      </w:tc>
      <w:tc>
        <w:tcPr>
          <w:tcW w:w="1984" w:type="dxa"/>
          <w:shd w:val="clear" w:color="auto" w:fill="auto"/>
        </w:tcPr>
        <w:p w14:paraId="15670B07" w14:textId="77777777" w:rsidR="00D30637" w:rsidRPr="00F5661E" w:rsidRDefault="00B564EE" w:rsidP="00D30637">
          <w:pPr>
            <w:rPr>
              <w:sz w:val="16"/>
              <w:szCs w:val="16"/>
            </w:rPr>
          </w:pPr>
          <w:r w:rsidRPr="00F5661E">
            <w:rPr>
              <w:sz w:val="16"/>
              <w:szCs w:val="16"/>
            </w:rPr>
            <w:t>Tel. (8 5)  211 2616</w:t>
          </w:r>
        </w:p>
      </w:tc>
      <w:tc>
        <w:tcPr>
          <w:tcW w:w="3544" w:type="dxa"/>
          <w:shd w:val="clear" w:color="auto" w:fill="auto"/>
        </w:tcPr>
        <w:p w14:paraId="2D1ED580" w14:textId="77777777" w:rsidR="00D30637" w:rsidRPr="00F5661E" w:rsidRDefault="00B564EE" w:rsidP="00D30637">
          <w:pPr>
            <w:rPr>
              <w:sz w:val="16"/>
              <w:szCs w:val="16"/>
            </w:rPr>
          </w:pPr>
        </w:p>
      </w:tc>
    </w:tr>
    <w:tr w:rsidR="00D30637" w:rsidRPr="00F5661E" w14:paraId="04F1EE3A" w14:textId="77777777" w:rsidTr="00F5661E">
      <w:tc>
        <w:tcPr>
          <w:tcW w:w="1134" w:type="dxa"/>
          <w:vMerge/>
          <w:shd w:val="clear" w:color="auto" w:fill="auto"/>
        </w:tcPr>
        <w:p w14:paraId="4E3E4FFF" w14:textId="77777777" w:rsidR="00D30637" w:rsidRPr="00F5661E" w:rsidRDefault="00B564EE" w:rsidP="00D30637">
          <w:pPr>
            <w:rPr>
              <w:sz w:val="16"/>
              <w:szCs w:val="16"/>
            </w:rPr>
          </w:pPr>
        </w:p>
      </w:tc>
      <w:tc>
        <w:tcPr>
          <w:tcW w:w="2694" w:type="dxa"/>
          <w:shd w:val="clear" w:color="auto" w:fill="auto"/>
        </w:tcPr>
        <w:p w14:paraId="478FDB87" w14:textId="77777777" w:rsidR="00D30637" w:rsidRPr="00F5661E" w:rsidRDefault="00B564EE" w:rsidP="00D30637">
          <w:pPr>
            <w:rPr>
              <w:sz w:val="16"/>
              <w:szCs w:val="16"/>
            </w:rPr>
          </w:pPr>
          <w:r w:rsidRPr="00F5661E">
            <w:rPr>
              <w:sz w:val="16"/>
              <w:szCs w:val="16"/>
            </w:rPr>
            <w:t>Juridinių asmenų registre</w:t>
          </w:r>
        </w:p>
      </w:tc>
      <w:tc>
        <w:tcPr>
          <w:tcW w:w="1984" w:type="dxa"/>
          <w:shd w:val="clear" w:color="auto" w:fill="auto"/>
        </w:tcPr>
        <w:p w14:paraId="74E5A77A" w14:textId="77777777" w:rsidR="00D30637" w:rsidRPr="00F5661E" w:rsidRDefault="00B564EE" w:rsidP="00D30637">
          <w:pPr>
            <w:rPr>
              <w:sz w:val="16"/>
              <w:szCs w:val="16"/>
            </w:rPr>
          </w:pPr>
          <w:r w:rsidRPr="00F5661E">
            <w:rPr>
              <w:sz w:val="16"/>
              <w:szCs w:val="16"/>
            </w:rPr>
            <w:t>Faks. (8 5)  211 2222</w:t>
          </w:r>
        </w:p>
      </w:tc>
      <w:tc>
        <w:tcPr>
          <w:tcW w:w="3544" w:type="dxa"/>
          <w:shd w:val="clear" w:color="auto" w:fill="auto"/>
        </w:tcPr>
        <w:p w14:paraId="2956E091" w14:textId="77777777" w:rsidR="00D30637" w:rsidRPr="00F5661E" w:rsidRDefault="00B564EE" w:rsidP="00D30637">
          <w:pPr>
            <w:rPr>
              <w:sz w:val="16"/>
              <w:szCs w:val="16"/>
            </w:rPr>
          </w:pPr>
        </w:p>
      </w:tc>
    </w:tr>
  </w:tbl>
  <w:p w14:paraId="504CC87D" w14:textId="77777777" w:rsidR="00145AF9" w:rsidRDefault="00B564EE" w:rsidP="00145AF9">
    <w:pPr>
      <w:rPr>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EE"/>
    <w:rsid w:val="003F476E"/>
    <w:rsid w:val="00B56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81F6"/>
  <w15:chartTrackingRefBased/>
  <w15:docId w15:val="{8B90BECC-42E8-4B1E-A6DA-9A11169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564EE"/>
    <w:rPr>
      <w:color w:val="0000FF"/>
      <w:u w:val="single"/>
    </w:rPr>
  </w:style>
  <w:style w:type="paragraph" w:styleId="Porat">
    <w:name w:val="footer"/>
    <w:basedOn w:val="prastasis"/>
    <w:link w:val="PoratDiagrama"/>
    <w:rsid w:val="00B564EE"/>
    <w:pPr>
      <w:tabs>
        <w:tab w:val="center" w:pos="4819"/>
        <w:tab w:val="right" w:pos="9638"/>
      </w:tabs>
      <w:spacing w:after="0" w:line="240" w:lineRule="auto"/>
    </w:pPr>
    <w:rPr>
      <w:rFonts w:ascii="Times New Roman" w:eastAsia="Times New Roman" w:hAnsi="Times New Roman" w:cs="Times New Roman"/>
      <w:sz w:val="20"/>
      <w:szCs w:val="20"/>
      <w:lang w:val="en-US"/>
    </w:rPr>
  </w:style>
  <w:style w:type="character" w:customStyle="1" w:styleId="PoratDiagrama">
    <w:name w:val="Poraštė Diagrama"/>
    <w:basedOn w:val="Numatytasispastraiposriftas"/>
    <w:link w:val="Porat"/>
    <w:rsid w:val="00B564E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ailto:smmin@smm.lt" TargetMode="External"
                 Type="http://schemas.openxmlformats.org/officeDocument/2006/relationships/hyperlink"/>
   <Relationship Id="rId6" Target="mailto:saulius.greicius@vilnius.lt" TargetMode="External"
                 Type="http://schemas.openxmlformats.org/officeDocument/2006/relationships/hyperlink"/>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http://www.vilniu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2456</Words>
  <Characters>1401</Characters>
  <Application>Microsoft Office Word</Application>
  <DocSecurity>0</DocSecurity>
  <Lines>11</Lines>
  <Paragraphs>7</Paragraphs>
  <ScaleCrop>false</ScaleCrop>
  <Company>LR Vyriausybės kanceliarija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2020-01-21T07:48:00Z</dcterms:created>
  <dc:creator>Audronė Zdanevičienė</dc:creator>
  <cp:lastModifiedBy>Audronė Zdanevičienė</cp:lastModifiedBy>
  <dcterms:modified xsi:type="dcterms:W3CDTF">2020-01-21T07:49:00Z</dcterms:modified>
  <cp:revision>1</cp:revision>
</cp:coreProperties>
</file>