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D64" w:rsidRPr="00EB7957" w:rsidRDefault="00BE5D64" w:rsidP="00BE5D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EB7957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BE5D64" w:rsidRPr="00EB7957" w:rsidRDefault="00BE5D64" w:rsidP="00BE5D64">
      <w:pPr>
        <w:pStyle w:val="Preformatted"/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POLITIKOS ĮGYVENDINIMO GRUPĖ </w:t>
      </w:r>
    </w:p>
    <w:p w:rsidR="00BE5D64" w:rsidRPr="00EB7957" w:rsidRDefault="00BE5D64" w:rsidP="00BE5D64">
      <w:pPr>
        <w:pStyle w:val="Antraste"/>
        <w:rPr>
          <w:szCs w:val="24"/>
        </w:rPr>
      </w:pPr>
      <w:r w:rsidRPr="00EB7957">
        <w:rPr>
          <w:szCs w:val="24"/>
        </w:rPr>
        <w:t>PAŽYMA</w:t>
      </w:r>
    </w:p>
    <w:p w:rsidR="00BE5D64" w:rsidRDefault="00BE5D64" w:rsidP="00BE5D64">
      <w:pPr>
        <w:jc w:val="center"/>
        <w:rPr>
          <w:b/>
          <w:bCs/>
          <w:szCs w:val="24"/>
        </w:rPr>
      </w:pPr>
      <w:r>
        <w:rPr>
          <w:b/>
          <w:bCs/>
          <w:caps/>
        </w:rPr>
        <w:t xml:space="preserve">DĖL </w:t>
      </w:r>
      <w:r>
        <w:rPr>
          <w:b/>
          <w:caps/>
          <w:szCs w:val="24"/>
          <w:lang w:eastAsia="lt-LT"/>
        </w:rPr>
        <w:t>VYRIAUSYBĖS 2002 m. gegužės 9 d. NUTARIMO Nr. 645 „</w:t>
      </w:r>
      <w:r>
        <w:rPr>
          <w:b/>
          <w:bCs/>
          <w:caps/>
          <w:szCs w:val="24"/>
          <w:lang w:eastAsia="lt-LT"/>
        </w:rPr>
        <w:t>DĖL potencialiai pavojingų įrenginių valstybės registro įsteigimo ir potencialiai pavojingų įrenginių valstybės registro nuostatų patvirtinimo</w:t>
      </w:r>
      <w:r>
        <w:rPr>
          <w:b/>
          <w:caps/>
          <w:szCs w:val="24"/>
          <w:lang w:eastAsia="lt-LT"/>
        </w:rPr>
        <w:t>“ PAKEITIMO</w:t>
      </w:r>
      <w:r w:rsidRPr="00B92382">
        <w:rPr>
          <w:b/>
          <w:bCs/>
          <w:color w:val="000000"/>
        </w:rPr>
        <w:t xml:space="preserve"> (TAP-1</w:t>
      </w:r>
      <w:r>
        <w:rPr>
          <w:b/>
          <w:bCs/>
          <w:color w:val="000000"/>
        </w:rPr>
        <w:t>8</w:t>
      </w:r>
      <w:r w:rsidRPr="00B92382">
        <w:rPr>
          <w:b/>
          <w:bCs/>
          <w:color w:val="000000"/>
        </w:rPr>
        <w:t>-</w:t>
      </w:r>
      <w:r>
        <w:rPr>
          <w:b/>
          <w:bCs/>
          <w:color w:val="000000"/>
        </w:rPr>
        <w:t>2004(2</w:t>
      </w:r>
      <w:r w:rsidRPr="00B92382">
        <w:rPr>
          <w:b/>
          <w:bCs/>
          <w:color w:val="000000"/>
        </w:rPr>
        <w:t>) (</w:t>
      </w:r>
      <w:r w:rsidRPr="00B92382">
        <w:rPr>
          <w:b/>
          <w:bCs/>
          <w:szCs w:val="24"/>
        </w:rPr>
        <w:t>1</w:t>
      </w:r>
      <w:r>
        <w:rPr>
          <w:b/>
          <w:bCs/>
          <w:szCs w:val="24"/>
        </w:rPr>
        <w:t>8</w:t>
      </w:r>
      <w:r w:rsidRPr="00B92382">
        <w:rPr>
          <w:b/>
          <w:bCs/>
          <w:szCs w:val="24"/>
        </w:rPr>
        <w:t>-</w:t>
      </w:r>
      <w:r w:rsidRPr="00106B7B">
        <w:rPr>
          <w:b/>
          <w:bCs/>
          <w:szCs w:val="24"/>
        </w:rPr>
        <w:t>11</w:t>
      </w:r>
      <w:r>
        <w:rPr>
          <w:b/>
          <w:bCs/>
          <w:szCs w:val="24"/>
        </w:rPr>
        <w:t>876(3</w:t>
      </w:r>
      <w:r w:rsidRPr="00B92382">
        <w:rPr>
          <w:b/>
          <w:bCs/>
          <w:szCs w:val="24"/>
        </w:rPr>
        <w:t>)</w:t>
      </w:r>
    </w:p>
    <w:p w:rsidR="00BE5D64" w:rsidRPr="00B92382" w:rsidRDefault="00BE5D64" w:rsidP="00BE5D64">
      <w:pPr>
        <w:jc w:val="center"/>
        <w:rPr>
          <w:b/>
          <w:bCs/>
          <w:caps/>
          <w:szCs w:val="24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E5D64" w:rsidRPr="00EB7957" w:rsidTr="000D4706">
        <w:tc>
          <w:tcPr>
            <w:tcW w:w="4536" w:type="dxa"/>
          </w:tcPr>
          <w:p w:rsidR="00BE5D64" w:rsidRPr="00EB7957" w:rsidRDefault="00D8776A" w:rsidP="000D4706">
            <w:pPr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A4BFD21578D049AEA73631BC2FD8A751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BE5D64" w:rsidRPr="00EB795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A4BFD21578D049AEA73631BC2FD8A751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BE5D64" w:rsidRPr="00EB7957" w:rsidRDefault="00BE5D64" w:rsidP="00BE5D64">
      <w:pPr>
        <w:jc w:val="center"/>
        <w:rPr>
          <w:spacing w:val="-6"/>
          <w:szCs w:val="24"/>
        </w:rPr>
      </w:pPr>
      <w:r w:rsidRPr="00EB7957">
        <w:rPr>
          <w:szCs w:val="24"/>
        </w:rPr>
        <w:t>Vilnius</w:t>
      </w:r>
    </w:p>
    <w:p w:rsidR="00BE5D64" w:rsidRDefault="00BE5D64" w:rsidP="00BE5D64">
      <w:pPr>
        <w:pStyle w:val="Antraste"/>
      </w:pPr>
    </w:p>
    <w:p w:rsidR="00BE5D64" w:rsidRDefault="00BE5D64" w:rsidP="00BE5D64">
      <w:pPr>
        <w:spacing w:after="120"/>
        <w:jc w:val="left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Projekto rengėjas</w:t>
      </w:r>
      <w:r w:rsidR="0055317E">
        <w:rPr>
          <w:rFonts w:eastAsia="Calibri"/>
          <w:b/>
          <w:szCs w:val="24"/>
          <w:lang w:eastAsia="en-US"/>
        </w:rPr>
        <w:t xml:space="preserve"> –</w:t>
      </w:r>
      <w:r>
        <w:rPr>
          <w:rFonts w:eastAsia="Calibri"/>
          <w:b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Socialinės apsaugos ir darbo ministerija.</w:t>
      </w:r>
    </w:p>
    <w:p w:rsidR="00BE5D64" w:rsidRPr="00DB4478" w:rsidRDefault="0055317E" w:rsidP="00BE5D64">
      <w:pPr>
        <w:spacing w:after="120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Projekto tikslas –</w:t>
      </w:r>
      <w:r w:rsidR="00BE5D64">
        <w:rPr>
          <w:rFonts w:eastAsia="Calibri"/>
          <w:b/>
          <w:szCs w:val="24"/>
          <w:lang w:eastAsia="en-US"/>
        </w:rPr>
        <w:t xml:space="preserve"> </w:t>
      </w:r>
      <w:r w:rsidR="00BE5D64" w:rsidRPr="00BE5D64">
        <w:rPr>
          <w:rFonts w:eastAsia="Calibri"/>
          <w:b/>
          <w:szCs w:val="24"/>
          <w:lang w:eastAsia="en-US"/>
        </w:rPr>
        <w:t>u</w:t>
      </w:r>
      <w:r w:rsidR="00BE5D64" w:rsidRPr="00BE5D64">
        <w:rPr>
          <w:rFonts w:eastAsia="Calibri"/>
          <w:b/>
          <w:szCs w:val="24"/>
        </w:rPr>
        <w:t xml:space="preserve">žtikrinti, kad asmens duomenys </w:t>
      </w:r>
      <w:r w:rsidR="00BE5D64" w:rsidRPr="00BE5D64">
        <w:rPr>
          <w:rFonts w:eastAsia="Calibri"/>
          <w:b/>
          <w:bCs/>
          <w:szCs w:val="24"/>
        </w:rPr>
        <w:t xml:space="preserve">Potencialiai pavojingų įrenginių valstybės registre </w:t>
      </w:r>
      <w:r w:rsidR="00BE5D64" w:rsidRPr="00BE5D64">
        <w:rPr>
          <w:rFonts w:eastAsia="Calibri"/>
          <w:b/>
          <w:szCs w:val="24"/>
        </w:rPr>
        <w:t>būtų tvarkomi pagal Reglamentą dėl fizinių asmenų apsaugos tvarkant asmens duomenis ir Asmens duomenų teisinės apsaugos įstatymą</w:t>
      </w:r>
      <w:r w:rsidR="00BE5D64">
        <w:rPr>
          <w:rFonts w:eastAsia="Calibri"/>
          <w:szCs w:val="24"/>
        </w:rPr>
        <w:t xml:space="preserve">. </w:t>
      </w:r>
    </w:p>
    <w:p w:rsidR="00BE5D64" w:rsidRDefault="00BE5D64" w:rsidP="00BE5D64">
      <w:pPr>
        <w:spacing w:after="120"/>
        <w:rPr>
          <w:szCs w:val="24"/>
          <w:lang w:eastAsia="lt-LT"/>
        </w:rPr>
      </w:pPr>
      <w:r w:rsidRPr="00FE6248">
        <w:rPr>
          <w:rFonts w:eastAsia="Calibri"/>
          <w:b/>
          <w:szCs w:val="24"/>
          <w:lang w:eastAsia="en-US"/>
        </w:rPr>
        <w:t>Dabartinė situacija</w:t>
      </w:r>
      <w:r>
        <w:rPr>
          <w:rFonts w:eastAsia="Calibri"/>
          <w:b/>
          <w:szCs w:val="24"/>
          <w:lang w:eastAsia="en-US"/>
        </w:rPr>
        <w:t>.</w:t>
      </w:r>
      <w:r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bCs/>
          <w:szCs w:val="24"/>
        </w:rPr>
        <w:t xml:space="preserve">Potencialiai pavojingų įrenginių valstybės registro nuostatuose yra nustatytas </w:t>
      </w:r>
      <w:r>
        <w:rPr>
          <w:szCs w:val="24"/>
          <w:lang w:eastAsia="lt-LT"/>
        </w:rPr>
        <w:t>Registre kaupiamų duomenų (tarp jų – asmens duomenų) tvarkymo tikslas – identifikuoti potencialiai pavojingo įrenginio savininką – fizinį asmenį ar juridinį asmenį, kitą organizaciją ar j</w:t>
      </w:r>
      <w:r w:rsidR="00B647B7">
        <w:rPr>
          <w:szCs w:val="24"/>
          <w:lang w:eastAsia="lt-LT"/>
        </w:rPr>
        <w:t>os</w:t>
      </w:r>
      <w:r>
        <w:rPr>
          <w:szCs w:val="24"/>
          <w:lang w:eastAsia="lt-LT"/>
        </w:rPr>
        <w:t xml:space="preserve"> padalinį, tačiau </w:t>
      </w:r>
      <w:r w:rsidRPr="0056215C">
        <w:rPr>
          <w:szCs w:val="24"/>
          <w:u w:val="single"/>
          <w:lang w:eastAsia="lt-LT"/>
        </w:rPr>
        <w:t>nėra nuorodų į duomenų apsaugą reglamentuojančius teisės aktus</w:t>
      </w:r>
      <w:r>
        <w:rPr>
          <w:szCs w:val="24"/>
          <w:lang w:eastAsia="lt-LT"/>
        </w:rPr>
        <w:t xml:space="preserve">, taip pat yra </w:t>
      </w:r>
      <w:r w:rsidRPr="000926CA">
        <w:rPr>
          <w:rFonts w:eastAsia="Calibri"/>
          <w:szCs w:val="24"/>
        </w:rPr>
        <w:t>tikslint</w:t>
      </w:r>
      <w:r>
        <w:rPr>
          <w:rFonts w:eastAsia="Calibri"/>
          <w:szCs w:val="24"/>
        </w:rPr>
        <w:t>inos nuostato</w:t>
      </w:r>
      <w:r w:rsidRPr="000926CA">
        <w:rPr>
          <w:rFonts w:eastAsia="Calibri"/>
          <w:szCs w:val="24"/>
        </w:rPr>
        <w:t>s dėl duomenų apie daugiabučiuose namuose esančių bendrojo naudojimo objektų</w:t>
      </w:r>
      <w:r>
        <w:rPr>
          <w:rFonts w:eastAsia="Calibri"/>
          <w:szCs w:val="24"/>
        </w:rPr>
        <w:t xml:space="preserve"> (</w:t>
      </w:r>
      <w:r w:rsidRPr="000926CA">
        <w:rPr>
          <w:rFonts w:eastAsia="Calibri"/>
          <w:szCs w:val="24"/>
        </w:rPr>
        <w:t>pvz., liftų</w:t>
      </w:r>
      <w:r>
        <w:rPr>
          <w:rFonts w:eastAsia="Calibri"/>
          <w:szCs w:val="24"/>
        </w:rPr>
        <w:t>)</w:t>
      </w:r>
      <w:r w:rsidRPr="000926CA">
        <w:rPr>
          <w:rFonts w:eastAsia="Calibri"/>
          <w:szCs w:val="24"/>
        </w:rPr>
        <w:t xml:space="preserve"> savinink</w:t>
      </w:r>
      <w:r w:rsidR="00B647B7">
        <w:rPr>
          <w:rFonts w:eastAsia="Calibri"/>
          <w:szCs w:val="24"/>
        </w:rPr>
        <w:t>us</w:t>
      </w:r>
      <w:r w:rsidRPr="000926CA">
        <w:rPr>
          <w:rFonts w:eastAsia="Calibri"/>
          <w:szCs w:val="24"/>
        </w:rPr>
        <w:t xml:space="preserve"> pateikimo</w:t>
      </w:r>
      <w:r>
        <w:rPr>
          <w:rFonts w:eastAsia="Calibri"/>
          <w:szCs w:val="24"/>
        </w:rPr>
        <w:t xml:space="preserve"> - </w:t>
      </w:r>
      <w:r w:rsidRPr="000926CA">
        <w:rPr>
          <w:rFonts w:eastAsia="Calibri"/>
          <w:szCs w:val="24"/>
        </w:rPr>
        <w:t>tokio įrenginio savininko pareigas vykdantis asmuo tapatinamas su įrenginio savininku.</w:t>
      </w:r>
    </w:p>
    <w:p w:rsidR="00BE5D64" w:rsidRDefault="00BE5D64" w:rsidP="00BE5D64">
      <w:pPr>
        <w:rPr>
          <w:rFonts w:eastAsia="Calibri"/>
          <w:szCs w:val="24"/>
          <w:lang w:eastAsia="en-US"/>
        </w:rPr>
      </w:pPr>
      <w:r w:rsidRPr="00C26EA6">
        <w:rPr>
          <w:b/>
          <w:szCs w:val="24"/>
        </w:rPr>
        <w:t>Projekto esmė:</w:t>
      </w:r>
      <w:r>
        <w:rPr>
          <w:rFonts w:eastAsia="Calibri"/>
          <w:szCs w:val="24"/>
          <w:lang w:eastAsia="en-US"/>
        </w:rPr>
        <w:t xml:space="preserve"> </w:t>
      </w:r>
    </w:p>
    <w:p w:rsidR="00BE5D64" w:rsidRPr="00A555BA" w:rsidRDefault="00BE5D64" w:rsidP="00BE5D64">
      <w:pPr>
        <w:pStyle w:val="Sraopastraip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Papildoma</w:t>
      </w:r>
      <w:r w:rsidRPr="00A555BA">
        <w:rPr>
          <w:rFonts w:ascii="Times New Roman" w:hAnsi="Times New Roman"/>
          <w:sz w:val="24"/>
          <w:szCs w:val="24"/>
        </w:rPr>
        <w:t xml:space="preserve">, kad </w:t>
      </w:r>
      <w:r w:rsidRPr="00A555BA">
        <w:rPr>
          <w:rFonts w:ascii="Times New Roman" w:hAnsi="Times New Roman"/>
          <w:bCs/>
          <w:sz w:val="24"/>
          <w:szCs w:val="24"/>
        </w:rPr>
        <w:t xml:space="preserve">Potencialiai pavojingų įrenginių valstybės </w:t>
      </w:r>
      <w:r w:rsidRPr="00A555BA">
        <w:rPr>
          <w:rFonts w:ascii="Times New Roman" w:hAnsi="Times New Roman"/>
          <w:bCs/>
          <w:sz w:val="24"/>
          <w:szCs w:val="24"/>
          <w:u w:val="single"/>
        </w:rPr>
        <w:t xml:space="preserve">registras tvarkomas vadovaujantis </w:t>
      </w:r>
      <w:r w:rsidRPr="00A555BA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>-04-27</w:t>
      </w:r>
      <w:r w:rsidRPr="00A555BA">
        <w:rPr>
          <w:rFonts w:ascii="Times New Roman" w:hAnsi="Times New Roman"/>
          <w:sz w:val="24"/>
          <w:szCs w:val="24"/>
        </w:rPr>
        <w:t xml:space="preserve"> Europos Parlamento ir Tarybos </w:t>
      </w:r>
      <w:r w:rsidRPr="0005502C">
        <w:rPr>
          <w:rFonts w:ascii="Times New Roman" w:hAnsi="Times New Roman"/>
          <w:sz w:val="24"/>
          <w:szCs w:val="24"/>
          <w:u w:val="single"/>
        </w:rPr>
        <w:t>reglamentu (ES) 2016/679 dėl fizinių asmenų apsaugos tvarkant asmens duomenis</w:t>
      </w:r>
      <w:r w:rsidRPr="00A555BA">
        <w:rPr>
          <w:rFonts w:ascii="Times New Roman" w:hAnsi="Times New Roman"/>
          <w:sz w:val="24"/>
          <w:szCs w:val="24"/>
        </w:rPr>
        <w:t xml:space="preserve"> ir dėl laisvo tokių duomenų judėjimo ir kuriuo panaikinama Direktyva 95/46/EB, </w:t>
      </w:r>
      <w:r w:rsidRPr="00A555BA">
        <w:rPr>
          <w:rFonts w:ascii="Times New Roman" w:hAnsi="Times New Roman"/>
          <w:sz w:val="24"/>
          <w:szCs w:val="24"/>
          <w:u w:val="single"/>
        </w:rPr>
        <w:t>Asmens duomenų teisinės apsaugos įstatymu</w:t>
      </w:r>
      <w:r w:rsidRPr="00A555BA">
        <w:rPr>
          <w:rFonts w:ascii="Times New Roman" w:hAnsi="Times New Roman"/>
          <w:sz w:val="24"/>
          <w:szCs w:val="24"/>
        </w:rPr>
        <w:t xml:space="preserve"> ir kitais </w:t>
      </w:r>
      <w:r w:rsidRPr="00A555BA">
        <w:rPr>
          <w:rFonts w:ascii="Times New Roman" w:hAnsi="Times New Roman"/>
          <w:sz w:val="24"/>
          <w:szCs w:val="24"/>
          <w:u w:val="single"/>
        </w:rPr>
        <w:t>teisės aktais, reguliuojančiais registrų veiklą ir registro duomenų tvarkymą.</w:t>
      </w:r>
    </w:p>
    <w:p w:rsidR="00BE5D64" w:rsidRPr="00A555BA" w:rsidRDefault="00BE5D64" w:rsidP="00BE5D64">
      <w:pPr>
        <w:pStyle w:val="Sraopastraip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555BA">
        <w:rPr>
          <w:rFonts w:ascii="Times New Roman" w:hAnsi="Times New Roman"/>
          <w:sz w:val="24"/>
          <w:szCs w:val="24"/>
        </w:rPr>
        <w:t>Patikslin</w:t>
      </w:r>
      <w:r>
        <w:rPr>
          <w:rFonts w:ascii="Times New Roman" w:hAnsi="Times New Roman"/>
          <w:sz w:val="24"/>
          <w:szCs w:val="24"/>
        </w:rPr>
        <w:t>ama</w:t>
      </w:r>
      <w:r w:rsidRPr="00A555BA">
        <w:rPr>
          <w:rFonts w:ascii="Times New Roman" w:hAnsi="Times New Roman"/>
          <w:sz w:val="24"/>
          <w:szCs w:val="24"/>
        </w:rPr>
        <w:t xml:space="preserve">, kad </w:t>
      </w:r>
      <w:r w:rsidRPr="00A555BA">
        <w:rPr>
          <w:rFonts w:ascii="Times New Roman" w:hAnsi="Times New Roman"/>
          <w:sz w:val="24"/>
          <w:szCs w:val="24"/>
          <w:u w:val="single"/>
        </w:rPr>
        <w:t xml:space="preserve">tais atvejais, kai </w:t>
      </w:r>
      <w:r w:rsidRPr="00A555BA">
        <w:rPr>
          <w:rFonts w:ascii="Times New Roman" w:hAnsi="Times New Roman"/>
          <w:sz w:val="24"/>
          <w:szCs w:val="24"/>
          <w:u w:val="single"/>
          <w:lang w:eastAsia="lt-LT"/>
        </w:rPr>
        <w:t>įrenginys yra bendrojo naudojimo objektas (pvz., liftas</w:t>
      </w:r>
      <w:r w:rsidRPr="00A555BA">
        <w:rPr>
          <w:rFonts w:ascii="Times New Roman" w:hAnsi="Times New Roman"/>
          <w:sz w:val="24"/>
          <w:szCs w:val="24"/>
          <w:lang w:eastAsia="lt-LT"/>
        </w:rPr>
        <w:t xml:space="preserve">, įrengtas daugiabučiame name, visuomeninės ar kitos paskirties pastate) ir nuosavybės teise priklauso bendraturčiams, </w:t>
      </w:r>
      <w:r w:rsidRPr="00A555BA">
        <w:rPr>
          <w:rFonts w:ascii="Times New Roman" w:hAnsi="Times New Roman"/>
          <w:sz w:val="24"/>
          <w:szCs w:val="24"/>
          <w:u w:val="single"/>
          <w:lang w:eastAsia="lt-LT"/>
        </w:rPr>
        <w:t>Registre nurodoma „savininkai“ ir atitinkamo namo ar pastato adresas, butų ir (ar) kitų patalpų numeriai</w:t>
      </w:r>
      <w:r w:rsidRPr="0056215C">
        <w:rPr>
          <w:rFonts w:ascii="Times New Roman" w:hAnsi="Times New Roman"/>
          <w:sz w:val="24"/>
          <w:szCs w:val="24"/>
          <w:u w:val="single"/>
          <w:lang w:eastAsia="lt-LT"/>
        </w:rPr>
        <w:t>. Taip pat nurodomi asmens, atsakingo už įrenginio (bendrojo naudojimo objekto) savininko pareigų, susijusių su šio įrenginio priežiūra, vykdymą, duomenys</w:t>
      </w:r>
      <w:r>
        <w:rPr>
          <w:rFonts w:ascii="Times New Roman" w:hAnsi="Times New Roman"/>
          <w:sz w:val="24"/>
          <w:szCs w:val="24"/>
          <w:u w:val="single"/>
          <w:lang w:eastAsia="lt-LT"/>
        </w:rPr>
        <w:t xml:space="preserve"> </w:t>
      </w:r>
      <w:r w:rsidRPr="0005502C">
        <w:rPr>
          <w:rFonts w:ascii="Times New Roman" w:hAnsi="Times New Roman"/>
          <w:sz w:val="24"/>
          <w:szCs w:val="24"/>
          <w:lang w:eastAsia="lt-LT"/>
        </w:rPr>
        <w:t>(</w:t>
      </w:r>
      <w:r w:rsidRPr="00A555BA">
        <w:rPr>
          <w:rFonts w:ascii="Times New Roman" w:hAnsi="Times New Roman"/>
          <w:sz w:val="24"/>
          <w:szCs w:val="24"/>
        </w:rPr>
        <w:t xml:space="preserve">įsigaliotų </w:t>
      </w:r>
      <w:r>
        <w:rPr>
          <w:rFonts w:ascii="Times New Roman" w:hAnsi="Times New Roman"/>
          <w:sz w:val="24"/>
          <w:szCs w:val="24"/>
        </w:rPr>
        <w:t>nuo 2019</w:t>
      </w:r>
      <w:r w:rsidR="00B647B7">
        <w:rPr>
          <w:rFonts w:ascii="Times New Roman" w:hAnsi="Times New Roman"/>
          <w:sz w:val="24"/>
          <w:szCs w:val="24"/>
        </w:rPr>
        <w:t>-05-01</w:t>
      </w:r>
      <w:r>
        <w:rPr>
          <w:rFonts w:ascii="Times New Roman" w:hAnsi="Times New Roman"/>
          <w:sz w:val="24"/>
          <w:szCs w:val="24"/>
        </w:rPr>
        <w:t>).</w:t>
      </w:r>
    </w:p>
    <w:p w:rsidR="00BE5D64" w:rsidRPr="00A555BA" w:rsidRDefault="00BE5D64" w:rsidP="00BE5D64">
      <w:pPr>
        <w:pStyle w:val="Sraopastraipa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215C">
        <w:rPr>
          <w:rFonts w:ascii="Times New Roman" w:hAnsi="Times New Roman"/>
          <w:sz w:val="24"/>
          <w:szCs w:val="24"/>
          <w:u w:val="single"/>
        </w:rPr>
        <w:t>Atliekami redakcinio pobūdžio pakeitimai</w:t>
      </w:r>
      <w:r w:rsidRPr="00A555BA">
        <w:rPr>
          <w:rFonts w:ascii="Times New Roman" w:hAnsi="Times New Roman"/>
          <w:sz w:val="24"/>
          <w:szCs w:val="24"/>
        </w:rPr>
        <w:t xml:space="preserve"> pagal teisės aktų projektų rengimo rekomendacijas (atsisak</w:t>
      </w:r>
      <w:r>
        <w:rPr>
          <w:rFonts w:ascii="Times New Roman" w:hAnsi="Times New Roman"/>
          <w:sz w:val="24"/>
          <w:szCs w:val="24"/>
        </w:rPr>
        <w:t>oma</w:t>
      </w:r>
      <w:r w:rsidRPr="00A555BA">
        <w:rPr>
          <w:rFonts w:ascii="Times New Roman" w:hAnsi="Times New Roman"/>
          <w:sz w:val="24"/>
          <w:szCs w:val="24"/>
        </w:rPr>
        <w:t xml:space="preserve"> nuorodų į Valstybės žinias, p</w:t>
      </w:r>
      <w:r>
        <w:rPr>
          <w:rFonts w:ascii="Times New Roman" w:hAnsi="Times New Roman"/>
          <w:sz w:val="24"/>
          <w:szCs w:val="24"/>
        </w:rPr>
        <w:t>atikslinami</w:t>
      </w:r>
      <w:r w:rsidRPr="00A555BA">
        <w:rPr>
          <w:rFonts w:ascii="Times New Roman" w:hAnsi="Times New Roman"/>
          <w:sz w:val="24"/>
          <w:szCs w:val="24"/>
        </w:rPr>
        <w:t xml:space="preserve"> papunkči</w:t>
      </w:r>
      <w:r>
        <w:rPr>
          <w:rFonts w:ascii="Times New Roman" w:hAnsi="Times New Roman"/>
          <w:sz w:val="24"/>
          <w:szCs w:val="24"/>
        </w:rPr>
        <w:t>ai ir kt.)</w:t>
      </w:r>
      <w:r w:rsidRPr="00A555BA">
        <w:rPr>
          <w:rFonts w:ascii="Times New Roman" w:hAnsi="Times New Roman"/>
          <w:sz w:val="24"/>
          <w:szCs w:val="24"/>
        </w:rPr>
        <w:t xml:space="preserve">. </w:t>
      </w:r>
    </w:p>
    <w:p w:rsidR="00BE5D64" w:rsidRDefault="00BE5D64" w:rsidP="00BE5D64">
      <w:pPr>
        <w:spacing w:after="120"/>
        <w:rPr>
          <w:szCs w:val="24"/>
        </w:rPr>
      </w:pPr>
      <w:r>
        <w:rPr>
          <w:rFonts w:eastAsia="Calibri"/>
          <w:b/>
          <w:szCs w:val="24"/>
          <w:lang w:eastAsia="en-US"/>
        </w:rPr>
        <w:t>Derinimas</w:t>
      </w:r>
      <w:r w:rsidR="0055317E">
        <w:rPr>
          <w:rFonts w:eastAsia="Calibri"/>
          <w:b/>
          <w:szCs w:val="24"/>
          <w:lang w:eastAsia="en-US"/>
        </w:rPr>
        <w:t>.</w:t>
      </w:r>
      <w:r>
        <w:rPr>
          <w:rFonts w:eastAsia="Calibri"/>
          <w:b/>
          <w:szCs w:val="24"/>
          <w:lang w:eastAsia="en-US"/>
        </w:rPr>
        <w:t xml:space="preserve"> </w:t>
      </w:r>
      <w:r>
        <w:rPr>
          <w:szCs w:val="24"/>
        </w:rPr>
        <w:t>Projektas be pastabų suderintas su Ūkio ministerija, Energetikos ministerija, Europos teisės departamentu, Valstybine darbo inspekcija ir patikslintas pagal Teisingumo ministerijos ir Valstybinės duomenų apsaugos inspekcijos pastabas.</w:t>
      </w:r>
    </w:p>
    <w:p w:rsidR="00BE5D64" w:rsidRPr="001462B6" w:rsidRDefault="00BE5D64" w:rsidP="00BE5D64">
      <w:pPr>
        <w:spacing w:after="120"/>
        <w:rPr>
          <w:szCs w:val="24"/>
        </w:rPr>
      </w:pPr>
      <w:r>
        <w:rPr>
          <w:color w:val="000000"/>
          <w:szCs w:val="24"/>
          <w:lang w:eastAsia="lt-LT"/>
        </w:rPr>
        <w:t xml:space="preserve">Projektas patikslintas pagal Vyriausybės kanceliarijos Teisės grupės 2018-11-29 išvadoje Nr. NV-3185 pateiktas pastabas. </w:t>
      </w:r>
      <w:r w:rsidRPr="001462B6">
        <w:rPr>
          <w:color w:val="000000"/>
          <w:szCs w:val="24"/>
          <w:lang w:eastAsia="lt-LT"/>
        </w:rPr>
        <w:t xml:space="preserve"> </w:t>
      </w:r>
      <w:r w:rsidRPr="001462B6">
        <w:rPr>
          <w:szCs w:val="24"/>
        </w:rPr>
        <w:t xml:space="preserve"> </w:t>
      </w:r>
    </w:p>
    <w:p w:rsidR="00BE5D64" w:rsidRDefault="00BE5D64" w:rsidP="00BE5D64">
      <w:pPr>
        <w:spacing w:after="120" w:line="264" w:lineRule="auto"/>
        <w:rPr>
          <w:szCs w:val="24"/>
        </w:rPr>
      </w:pPr>
      <w:r>
        <w:rPr>
          <w:b/>
          <w:bCs/>
          <w:szCs w:val="24"/>
        </w:rPr>
        <w:t>Atitiktis Vyriausybės programai</w:t>
      </w:r>
      <w:r w:rsidR="0055317E">
        <w:rPr>
          <w:b/>
          <w:bCs/>
          <w:szCs w:val="24"/>
        </w:rPr>
        <w:t xml:space="preserve">. </w:t>
      </w:r>
      <w:r w:rsidR="0055317E">
        <w:rPr>
          <w:bCs/>
          <w:szCs w:val="24"/>
        </w:rPr>
        <w:t xml:space="preserve">Projektas </w:t>
      </w:r>
      <w:r w:rsidRPr="00BE5D64">
        <w:rPr>
          <w:bCs/>
          <w:szCs w:val="24"/>
        </w:rPr>
        <w:t xml:space="preserve">tiesiogiai </w:t>
      </w:r>
      <w:r w:rsidRPr="00BE5D64">
        <w:rPr>
          <w:szCs w:val="24"/>
        </w:rPr>
        <w:t>Vyriausybės</w:t>
      </w:r>
      <w:r>
        <w:rPr>
          <w:szCs w:val="24"/>
        </w:rPr>
        <w:t xml:space="preserve"> programos nuostatų neįgyvendina.</w:t>
      </w:r>
    </w:p>
    <w:p w:rsidR="00BE5D64" w:rsidRDefault="00BE5D64" w:rsidP="0055317E">
      <w:pPr>
        <w:rPr>
          <w:b/>
          <w:szCs w:val="24"/>
        </w:rPr>
      </w:pPr>
      <w:r w:rsidRPr="004C0394">
        <w:rPr>
          <w:b/>
          <w:szCs w:val="24"/>
        </w:rPr>
        <w:t>Dalykinio vertinimo išvada</w:t>
      </w:r>
      <w:r>
        <w:rPr>
          <w:b/>
          <w:szCs w:val="24"/>
        </w:rPr>
        <w:t xml:space="preserve">. </w:t>
      </w:r>
      <w:r w:rsidR="0055317E" w:rsidRPr="0055317E">
        <w:rPr>
          <w:szCs w:val="24"/>
        </w:rPr>
        <w:t>Siūlome p</w:t>
      </w:r>
      <w:r w:rsidR="00B647B7" w:rsidRPr="0055317E">
        <w:rPr>
          <w:szCs w:val="24"/>
        </w:rPr>
        <w:t>rojektą svarstyti</w:t>
      </w:r>
      <w:r w:rsidR="00B647B7">
        <w:rPr>
          <w:b/>
          <w:szCs w:val="24"/>
        </w:rPr>
        <w:t xml:space="preserve"> Vyriausybės posėd</w:t>
      </w:r>
      <w:r w:rsidR="0055317E">
        <w:rPr>
          <w:b/>
          <w:szCs w:val="24"/>
        </w:rPr>
        <w:t>žio A dalyje</w:t>
      </w:r>
      <w:r w:rsidRPr="006714A0">
        <w:rPr>
          <w:b/>
          <w:szCs w:val="24"/>
        </w:rPr>
        <w:t xml:space="preserve">. </w:t>
      </w:r>
    </w:p>
    <w:p w:rsidR="0055317E" w:rsidRDefault="0055317E" w:rsidP="0055317E">
      <w:pPr>
        <w:rPr>
          <w:b/>
          <w:szCs w:val="24"/>
        </w:rPr>
      </w:pPr>
    </w:p>
    <w:p w:rsidR="0055317E" w:rsidRDefault="0055317E" w:rsidP="0055317E">
      <w:pPr>
        <w:tabs>
          <w:tab w:val="left" w:pos="426"/>
        </w:tabs>
        <w:autoSpaceDE w:val="0"/>
        <w:autoSpaceDN w:val="0"/>
        <w:adjustRightInd w:val="0"/>
        <w:rPr>
          <w:snapToGrid w:val="0"/>
          <w:szCs w:val="24"/>
          <w:lang w:eastAsia="en-US"/>
        </w:rPr>
      </w:pPr>
      <w:r w:rsidRPr="00954083">
        <w:rPr>
          <w:szCs w:val="24"/>
        </w:rPr>
        <w:t xml:space="preserve">Politikos įgyvendinimo grupės patarėja    </w:t>
      </w:r>
      <w:r w:rsidRPr="00954083">
        <w:rPr>
          <w:szCs w:val="24"/>
        </w:rPr>
        <w:tab/>
        <w:t xml:space="preserve"> </w:t>
      </w:r>
      <w:r>
        <w:rPr>
          <w:szCs w:val="24"/>
        </w:rPr>
        <w:t xml:space="preserve">                             </w:t>
      </w:r>
      <w:r w:rsidRPr="00954083">
        <w:rPr>
          <w:szCs w:val="24"/>
        </w:rPr>
        <w:t xml:space="preserve">       Aušra Gratulevičienė</w:t>
      </w:r>
      <w:bookmarkStart w:id="0" w:name="Antraste"/>
      <w:bookmarkEnd w:id="0"/>
    </w:p>
    <w:p w:rsidR="0055317E" w:rsidRPr="00954083" w:rsidRDefault="0055317E" w:rsidP="0055317E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left"/>
        <w:rPr>
          <w:snapToGrid w:val="0"/>
          <w:szCs w:val="24"/>
          <w:lang w:eastAsia="en-US"/>
        </w:rPr>
      </w:pPr>
    </w:p>
    <w:p w:rsidR="0055317E" w:rsidRPr="006714A0" w:rsidRDefault="0055317E" w:rsidP="0055317E">
      <w:pPr>
        <w:spacing w:after="120"/>
        <w:rPr>
          <w:b/>
          <w:szCs w:val="24"/>
        </w:rPr>
      </w:pPr>
      <w:r w:rsidRPr="00954083">
        <w:rPr>
          <w:snapToGrid w:val="0"/>
          <w:szCs w:val="24"/>
          <w:lang w:eastAsia="en-US"/>
        </w:rPr>
        <w:t xml:space="preserve">tel. 8 706 61 803, </w:t>
      </w:r>
      <w:proofErr w:type="spellStart"/>
      <w:r w:rsidRPr="00954083">
        <w:rPr>
          <w:snapToGrid w:val="0"/>
          <w:szCs w:val="24"/>
          <w:lang w:eastAsia="en-US"/>
        </w:rPr>
        <w:t>el.p</w:t>
      </w:r>
      <w:proofErr w:type="spellEnd"/>
      <w:r w:rsidRPr="00954083">
        <w:rPr>
          <w:snapToGrid w:val="0"/>
          <w:szCs w:val="24"/>
          <w:lang w:eastAsia="en-US"/>
        </w:rPr>
        <w:t xml:space="preserve">. </w:t>
      </w:r>
      <w:hyperlink r:id="rId7" w:history="1">
        <w:r w:rsidRPr="00954083">
          <w:rPr>
            <w:snapToGrid w:val="0"/>
            <w:color w:val="008080"/>
            <w:szCs w:val="24"/>
            <w:u w:val="single"/>
            <w:lang w:eastAsia="en-US"/>
          </w:rPr>
          <w:t>ausra.gratuleviciene@lrv.lt</w:t>
        </w:r>
      </w:hyperlink>
      <w:bookmarkStart w:id="1" w:name="_GoBack"/>
      <w:bookmarkEnd w:id="1"/>
    </w:p>
    <w:sectPr w:rsidR="0055317E" w:rsidRPr="006714A0" w:rsidSect="00B647B7">
      <w:headerReference w:type="default" r:id="rId8"/>
      <w:footnotePr>
        <w:pos w:val="beneathText"/>
      </w:footnotePr>
      <w:pgSz w:w="11907" w:h="16840" w:code="9"/>
      <w:pgMar w:top="993" w:right="850" w:bottom="1134" w:left="1276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76A" w:rsidRDefault="00D8776A">
      <w:r>
        <w:separator/>
      </w:r>
    </w:p>
  </w:endnote>
  <w:endnote w:type="continuationSeparator" w:id="0">
    <w:p w:rsidR="00D8776A" w:rsidRDefault="00D8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76A" w:rsidRDefault="00D8776A">
      <w:r>
        <w:separator/>
      </w:r>
    </w:p>
  </w:footnote>
  <w:footnote w:type="continuationSeparator" w:id="0">
    <w:p w:rsidR="00D8776A" w:rsidRDefault="00D8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B647B7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C0781"/>
    <w:multiLevelType w:val="hybridMultilevel"/>
    <w:tmpl w:val="3576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64"/>
    <w:rsid w:val="00022643"/>
    <w:rsid w:val="00163F24"/>
    <w:rsid w:val="0055317E"/>
    <w:rsid w:val="007E1AEA"/>
    <w:rsid w:val="009F30BF"/>
    <w:rsid w:val="00AA762D"/>
    <w:rsid w:val="00AB65B8"/>
    <w:rsid w:val="00B647B7"/>
    <w:rsid w:val="00BE5D64"/>
    <w:rsid w:val="00D8776A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E5A6"/>
  <w15:chartTrackingRefBased/>
  <w15:docId w15:val="{EF843A0F-37D9-4F0E-B14A-EEA720B8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D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E5D6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E5D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BE5D64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BE5D64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BE5D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BE5D6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BE5D6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ausra.gratuleviciene@lrv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BFD21578D049AEA73631BC2FD8A75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A8D13C-3CFB-45B6-B129-A3ABF929C007}"/>
      </w:docPartPr>
      <w:docPartBody>
        <w:p w:rsidR="00792DA2" w:rsidRDefault="005B4033" w:rsidP="005B4033">
          <w:pPr>
            <w:pStyle w:val="A4BFD21578D049AEA73631BC2FD8A751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33"/>
    <w:rsid w:val="005B4033"/>
    <w:rsid w:val="00792DA2"/>
    <w:rsid w:val="007A5047"/>
    <w:rsid w:val="00C57BC5"/>
    <w:rsid w:val="00D954B6"/>
    <w:rsid w:val="00E14173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B4033"/>
  </w:style>
  <w:style w:type="paragraph" w:customStyle="1" w:styleId="A4BFD21578D049AEA73631BC2FD8A751">
    <w:name w:val="A4BFD21578D049AEA73631BC2FD8A751"/>
    <w:rsid w:val="005B4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2018-12-20T09:21:00Z</dcterms:created>
  <dc:creator>Daiva Buivydaitė-Garbštienė</dc:creator>
  <cp:lastModifiedBy>Aušra Gratulevičienė</cp:lastModifiedBy>
  <dcterms:modified xsi:type="dcterms:W3CDTF">2018-12-27T11:45:00Z</dcterms:modified>
  <cp:revision>4</cp:revision>
</cp:coreProperties>
</file>