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4DB84" w14:textId="77777777" w:rsidR="003D141E" w:rsidRPr="00885A25" w:rsidRDefault="003D141E" w:rsidP="003D141E">
      <w:pPr>
        <w:jc w:val="center"/>
        <w:rPr>
          <w:szCs w:val="24"/>
        </w:rPr>
      </w:pPr>
      <w:r w:rsidRPr="00015E40">
        <w:rPr>
          <w:b/>
          <w:bCs/>
          <w:caps/>
          <w:szCs w:val="24"/>
        </w:rPr>
        <w:t>Dėl Lietuvos Respublikos VyriausybėS 20</w:t>
      </w:r>
      <w:r>
        <w:rPr>
          <w:b/>
          <w:bCs/>
          <w:caps/>
          <w:szCs w:val="24"/>
        </w:rPr>
        <w:t>14</w:t>
      </w:r>
      <w:r w:rsidRPr="00015E40">
        <w:rPr>
          <w:b/>
          <w:bCs/>
          <w:caps/>
          <w:szCs w:val="24"/>
        </w:rPr>
        <w:t xml:space="preserve"> m. </w:t>
      </w:r>
      <w:r>
        <w:rPr>
          <w:b/>
          <w:bCs/>
          <w:caps/>
          <w:szCs w:val="24"/>
        </w:rPr>
        <w:t>RUGSĖJO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</w:rPr>
        <w:t>29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1054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Pr="005971D3">
        <w:rPr>
          <w:b/>
          <w:bCs/>
          <w:caps/>
          <w:szCs w:val="24"/>
        </w:rPr>
        <w:t>Dėl VALSTYBĖS IR VYRIAUSYBĖS ATSTOVo TEISMUOSE NUSTATYMO</w:t>
      </w:r>
      <w:r>
        <w:rPr>
          <w:b/>
        </w:rPr>
        <w:t>“ PAKEITIMO</w:t>
      </w:r>
    </w:p>
    <w:p w14:paraId="3C260509" w14:textId="77777777" w:rsidR="003D141E" w:rsidRPr="0048059E" w:rsidRDefault="003D141E" w:rsidP="003D141E">
      <w:pPr>
        <w:pStyle w:val="Antrats"/>
      </w:pPr>
    </w:p>
    <w:p w14:paraId="199BF8F2" w14:textId="77777777" w:rsidR="003D141E" w:rsidRPr="0048059E" w:rsidRDefault="00166629" w:rsidP="003D141E">
      <w:pPr>
        <w:jc w:val="center"/>
      </w:pPr>
      <w:sdt>
        <w:sdtPr>
          <w:tag w:val="registravimoDataIlga"/>
          <w:id w:val="-278879082"/>
          <w:placeholder>
            <w:docPart w:val="0AE4F611A87445CB9018CD2C392FEA26"/>
          </w:placeholder>
          <w:showingPlcHdr/>
        </w:sdtPr>
        <w:sdtEndPr/>
        <w:sdtContent>
          <w:r>
            <w:t/>
          </w:r>
        </w:sdtContent>
      </w:sdt>
      <w:r w:rsidR="003D141E" w:rsidRPr="0048059E">
        <w:t xml:space="preserve"> Nr. </w:t>
      </w:r>
      <w:sdt>
        <w:sdtPr>
          <w:tag w:val="registravimoNr"/>
          <w:id w:val="2002849812"/>
          <w:placeholder>
            <w:docPart w:val="0AE4F611A87445CB9018CD2C392FEA26"/>
          </w:placeholder>
          <w:showingPlcHdr/>
        </w:sdtPr>
        <w:sdtEndPr/>
        <w:sdtContent>
          <w:r>
            <w:t/>
          </w:r>
        </w:sdtContent>
      </w:sdt>
    </w:p>
    <w:p w14:paraId="0FAA2B1E" w14:textId="77777777" w:rsidR="003D141E" w:rsidRPr="0048059E" w:rsidRDefault="003D141E" w:rsidP="003D141E">
      <w:pPr>
        <w:jc w:val="center"/>
      </w:pPr>
      <w:r w:rsidRPr="0048059E">
        <w:t>Vilnius</w:t>
      </w:r>
    </w:p>
    <w:p w14:paraId="0E44D127" w14:textId="77777777" w:rsidR="003D141E" w:rsidRPr="0048059E" w:rsidRDefault="003D141E" w:rsidP="003D141E">
      <w:pPr>
        <w:jc w:val="center"/>
      </w:pPr>
    </w:p>
    <w:bookmarkStart w:id="0" w:name="part_fab8015f835a4a4f9c7603d2fa582b66" w:displacedByCustomXml="next"/>
    <w:bookmarkEnd w:id="0" w:displacedByCustomXml="next"/>
    <w:sdt>
      <w:sdtPr>
        <w:alias w:val="1 p."/>
        <w:tag w:val="part_887562c440644240b4c35770d3db8387"/>
        <w:id w:val="1000165206"/>
      </w:sdtPr>
      <w:sdtEndPr/>
      <w:sdtContent>
        <w:p w14:paraId="011881F0" w14:textId="77777777" w:rsidR="003D141E" w:rsidRPr="00CD53A6" w:rsidRDefault="003D141E" w:rsidP="003D141E">
          <w:pPr>
            <w:ind w:firstLine="720"/>
            <w:jc w:val="both"/>
            <w:rPr>
              <w:szCs w:val="24"/>
            </w:rPr>
          </w:pPr>
          <w:r w:rsidRPr="00CD53A6">
            <w:rPr>
              <w:szCs w:val="24"/>
            </w:rPr>
            <w:t>Lietuvos Respublikos Vyriausybė  n u t a r i a:</w:t>
          </w:r>
        </w:p>
        <w:p w14:paraId="243D9394" w14:textId="77777777" w:rsidR="003D141E" w:rsidRPr="001326BF" w:rsidRDefault="003D141E" w:rsidP="003D141E">
          <w:pPr>
            <w:ind w:firstLine="720"/>
            <w:jc w:val="both"/>
            <w:rPr>
              <w:szCs w:val="24"/>
            </w:rPr>
          </w:pPr>
          <w:bookmarkStart w:id="1" w:name="_Hlk26972003"/>
          <w:r w:rsidRPr="001326BF">
            <w:rPr>
              <w:szCs w:val="24"/>
            </w:rPr>
            <w:t>Pakeisti Lietuvos Respublikos Vyriausybės 2014 m. rugsėjo 29 d. nutarimą Nr. 1054 „Dėl valstybės ir Vyriausybės atstovo teismuose nustatymo“:</w:t>
          </w:r>
        </w:p>
        <w:p w14:paraId="695361DE" w14:textId="77777777" w:rsidR="003D141E" w:rsidRPr="001326BF" w:rsidRDefault="003D141E" w:rsidP="003D141E">
          <w:pPr>
            <w:ind w:firstLine="720"/>
            <w:jc w:val="both"/>
            <w:rPr>
              <w:szCs w:val="24"/>
            </w:rPr>
          </w:pPr>
          <w:r w:rsidRPr="001326BF">
            <w:rPr>
              <w:szCs w:val="24"/>
            </w:rPr>
            <w:t>1. Pakeisti preambulę ir ją išdėstyti taip:</w:t>
          </w:r>
        </w:p>
        <w:p w14:paraId="3A4B97B1" w14:textId="77777777" w:rsidR="003D141E" w:rsidRPr="00D12110" w:rsidRDefault="003D141E" w:rsidP="003D141E">
          <w:pPr>
            <w:tabs>
              <w:tab w:val="left" w:pos="6804"/>
            </w:tabs>
            <w:ind w:firstLine="720"/>
            <w:jc w:val="both"/>
            <w:rPr>
              <w:b/>
              <w:bCs/>
            </w:rPr>
          </w:pPr>
          <w:bookmarkStart w:id="2" w:name="_Hlk48145334"/>
          <w:r>
            <w:t>„</w:t>
          </w:r>
          <w:r w:rsidRPr="00D12110">
            <w:t>Vadovaudamasi Lietuvos Respublikos civilinio proceso kodekso 51 straipsnio 4 dalimi, Lietuvos Respublikos civilinio kodekso 6.273 straipsnio 1 dalimi, Lietuvos Respublikos administracinių bylų teisenos įstatymo 47 straipsnio 2 dalimi, Lietuvos Respublikos žalos, atsiradusios dėl valdžios institucijų neteisėtų veiksmų, atlyginimo ir atstovavimo valstybei ir Lietuvos Respublikos Vyriausybei įstatymo 5 straipsnio 5 dalimi ir 51 straipsniu, Lietuvos Respublikos žemės gelmių įstatymo 27 straipsnio 2 dalimi, Lietuvos Respublikos teismų įstatymo 49 straipsnio 2 dalimi, Lietuvos Respublikos žemės įstatymo 32 straipsnio 2 dalies 5 punktu, Lietuvos Respublikos Prezidento valstybinės rentos įstatymo 7 straipsnio 3 dalimi, Lietuvos Respublikos Lietuvos Nepriklausomybės Akto signatarų ir Lietuvos Laisvės Kovos Sąjūdžio Tarybos 1949 m. vasario 16 d. deklaraciją pasirašiusių asmenų statuso įstatymo 8 straipsniu, Lietuvos Respublikos smurtiniais nusikaltimais padarytos žalos kompensavimo įstatymo 14 straipsnio 4 dalimi, Lietuvos Respublikos finansų rinkos priežiūros sistemos pertvarkos įstatymo 6 straipsnio 2 dalimi</w:t>
          </w:r>
          <w:r>
            <w:rPr>
              <w:b/>
              <w:bCs/>
            </w:rPr>
            <w:t>,</w:t>
          </w:r>
          <w:r w:rsidRPr="00D12110">
            <w:t xml:space="preserve"> </w:t>
          </w:r>
          <w:r w:rsidRPr="00D12110">
            <w:rPr>
              <w:strike/>
            </w:rPr>
            <w:t>ir</w:t>
          </w:r>
          <w:r w:rsidRPr="00D12110">
            <w:t xml:space="preserve"> Lietuvos Respublikos centralizuotai valdomo valstybės turto valdytojo įstatymo 12 straipsniu</w:t>
          </w:r>
          <w:r>
            <w:t xml:space="preserve"> </w:t>
          </w:r>
          <w:r>
            <w:rPr>
              <w:b/>
              <w:bCs/>
            </w:rPr>
            <w:t xml:space="preserve">ir </w:t>
          </w:r>
          <w:r w:rsidRPr="00D12110">
            <w:rPr>
              <w:b/>
              <w:bCs/>
            </w:rPr>
            <w:t>Lietuvos Respublikos pacientų teisių ir žalos sveikatai atlyginimo įstatymo 25 straipsnio 1 dalimi</w:t>
          </w:r>
          <w:r w:rsidRPr="00D12110">
            <w:t>, Lietuvos Respublikos Vyriausybė nutaria:</w:t>
          </w:r>
          <w:r>
            <w:t>“.</w:t>
          </w:r>
        </w:p>
        <w:p w14:paraId="01072C75" w14:textId="77777777" w:rsidR="003D141E" w:rsidRPr="00EE51CA" w:rsidRDefault="003D141E" w:rsidP="003D141E">
          <w:pPr>
            <w:tabs>
              <w:tab w:val="left" w:pos="6804"/>
            </w:tabs>
            <w:ind w:firstLine="720"/>
            <w:jc w:val="both"/>
          </w:pPr>
          <w:r>
            <w:t>2. Papildyti 3.21</w:t>
          </w:r>
          <w:r w:rsidRPr="00D12110">
            <w:rPr>
              <w:vertAlign w:val="superscript"/>
            </w:rPr>
            <w:t>1</w:t>
          </w:r>
          <w:r>
            <w:t> pa</w:t>
          </w:r>
          <w:r w:rsidRPr="00EE51CA">
            <w:t>punk</w:t>
          </w:r>
          <w:r>
            <w:t>čiu</w:t>
          </w:r>
          <w:r w:rsidRPr="00EE51CA">
            <w:t>:</w:t>
          </w:r>
        </w:p>
        <w:p w14:paraId="7421D5C3" w14:textId="0B413F1A" w:rsidR="003D141E" w:rsidRPr="00CD53A6" w:rsidRDefault="003D141E" w:rsidP="003D141E">
          <w:pPr>
            <w:ind w:firstLine="680"/>
            <w:jc w:val="both"/>
            <w:rPr>
              <w:szCs w:val="24"/>
            </w:rPr>
          </w:pPr>
          <w:r w:rsidRPr="00620C3B">
            <w:rPr>
              <w:iCs/>
              <w:szCs w:val="24"/>
            </w:rPr>
            <w:t>„</w:t>
          </w:r>
          <w:r w:rsidRPr="00620C3B">
            <w:rPr>
              <w:b/>
              <w:bCs/>
            </w:rPr>
            <w:t>3.21</w:t>
          </w:r>
          <w:r w:rsidRPr="00620C3B">
            <w:rPr>
              <w:b/>
              <w:bCs/>
              <w:vertAlign w:val="superscript"/>
            </w:rPr>
            <w:t>1</w:t>
          </w:r>
          <w:r w:rsidRPr="00620C3B">
            <w:rPr>
              <w:rFonts w:eastAsia="Calibri"/>
              <w:b/>
              <w:bCs/>
              <w:szCs w:val="24"/>
            </w:rPr>
            <w:t xml:space="preserve">. </w:t>
          </w:r>
          <w:bookmarkStart w:id="3" w:name="_Hlk48144724"/>
          <w:r>
            <w:rPr>
              <w:rFonts w:eastAsia="Calibri"/>
              <w:b/>
              <w:bCs/>
              <w:szCs w:val="24"/>
            </w:rPr>
            <w:t>V</w:t>
          </w:r>
          <w:r w:rsidRPr="00961EC6">
            <w:rPr>
              <w:b/>
              <w:bCs/>
            </w:rPr>
            <w:t>alstybin</w:t>
          </w:r>
          <w:r>
            <w:rPr>
              <w:b/>
              <w:bCs/>
            </w:rPr>
            <w:t>ė</w:t>
          </w:r>
          <w:r w:rsidRPr="00961EC6">
            <w:rPr>
              <w:b/>
              <w:bCs/>
            </w:rPr>
            <w:t xml:space="preserve"> ligonių kas</w:t>
          </w:r>
          <w:r>
            <w:rPr>
              <w:b/>
              <w:bCs/>
            </w:rPr>
            <w:t>a</w:t>
          </w:r>
          <w:r w:rsidRPr="00961EC6">
            <w:rPr>
              <w:b/>
              <w:bCs/>
            </w:rPr>
            <w:t xml:space="preserve"> prie Sveikatos apsaugos ministerijos </w:t>
          </w:r>
          <w:bookmarkEnd w:id="3"/>
          <w:r w:rsidRPr="00620C3B">
            <w:rPr>
              <w:b/>
              <w:bCs/>
            </w:rPr>
            <w:t xml:space="preserve">– </w:t>
          </w:r>
          <w:bookmarkStart w:id="4" w:name="_Hlk48144927"/>
          <w:r w:rsidRPr="00620C3B">
            <w:rPr>
              <w:b/>
              <w:bCs/>
              <w:szCs w:val="24"/>
            </w:rPr>
            <w:t>bylose dėl paciento sveikatai padarytos žalos (turtinės ir neturtinės) atlyginimo</w:t>
          </w:r>
          <w:bookmarkEnd w:id="4"/>
          <w:r w:rsidRPr="00620C3B">
            <w:rPr>
              <w:b/>
              <w:bCs/>
              <w:szCs w:val="24"/>
            </w:rPr>
            <w:t>.</w:t>
          </w:r>
          <w:r w:rsidRPr="00620C3B">
            <w:rPr>
              <w:szCs w:val="24"/>
            </w:rPr>
            <w:t>“</w:t>
          </w:r>
        </w:p>
        <w:bookmarkEnd w:id="2" w:displacedByCustomXml="next"/>
      </w:sdtContent>
    </w:sdt>
    <w:bookmarkEnd w:id="1" w:displacedByCustomXml="prev"/>
    <w:p w14:paraId="51129B64" w14:textId="77777777" w:rsidR="003D141E" w:rsidRPr="0048059E" w:rsidRDefault="003D141E" w:rsidP="003D141E">
      <w:pPr>
        <w:jc w:val="both"/>
      </w:pPr>
    </w:p>
    <w:p w14:paraId="51E0276A" w14:textId="77777777" w:rsidR="003D141E" w:rsidRPr="0048059E" w:rsidRDefault="003D141E" w:rsidP="003D141E">
      <w:pPr>
        <w:jc w:val="both"/>
      </w:pPr>
    </w:p>
    <w:p w14:paraId="1F54F06A" w14:textId="77777777" w:rsidR="003D141E" w:rsidRPr="0048059E" w:rsidRDefault="003D141E" w:rsidP="003D141E">
      <w:pPr>
        <w:pStyle w:val="Antrats"/>
        <w:tabs>
          <w:tab w:val="clear" w:pos="4153"/>
          <w:tab w:val="center" w:pos="-7800"/>
          <w:tab w:val="left" w:pos="6237"/>
        </w:tabs>
      </w:pPr>
      <w:r w:rsidRPr="0048059E">
        <w:t>Ministras Pirmininkas</w:t>
      </w:r>
      <w:r w:rsidRPr="0048059E">
        <w:tab/>
      </w:r>
    </w:p>
    <w:p w14:paraId="1897E35C" w14:textId="77777777" w:rsidR="003D141E" w:rsidRPr="0048059E" w:rsidRDefault="003D141E" w:rsidP="003D141E">
      <w:pPr>
        <w:pStyle w:val="Antrats"/>
        <w:tabs>
          <w:tab w:val="clear" w:pos="4153"/>
          <w:tab w:val="center" w:pos="-7800"/>
          <w:tab w:val="left" w:pos="6237"/>
        </w:tabs>
      </w:pPr>
    </w:p>
    <w:p w14:paraId="15F9F387" w14:textId="77777777" w:rsidR="003D141E" w:rsidRPr="0048059E" w:rsidRDefault="003D141E" w:rsidP="003D141E">
      <w:pPr>
        <w:pStyle w:val="Antrats"/>
        <w:tabs>
          <w:tab w:val="clear" w:pos="4153"/>
          <w:tab w:val="center" w:pos="-7800"/>
          <w:tab w:val="left" w:pos="6237"/>
        </w:tabs>
      </w:pPr>
    </w:p>
    <w:p w14:paraId="310030E0" w14:textId="77777777" w:rsidR="003D141E" w:rsidRPr="0048059E" w:rsidRDefault="003D141E" w:rsidP="003D141E">
      <w:pPr>
        <w:pStyle w:val="Antrats"/>
        <w:tabs>
          <w:tab w:val="clear" w:pos="4153"/>
          <w:tab w:val="center" w:pos="-7800"/>
          <w:tab w:val="left" w:pos="6237"/>
        </w:tabs>
      </w:pPr>
    </w:p>
    <w:p w14:paraId="6F5FC901" w14:textId="77777777" w:rsidR="003D141E" w:rsidRDefault="003D141E" w:rsidP="003D141E">
      <w:pPr>
        <w:pStyle w:val="Antrats"/>
        <w:tabs>
          <w:tab w:val="clear" w:pos="4153"/>
          <w:tab w:val="center" w:pos="-7800"/>
          <w:tab w:val="left" w:pos="6237"/>
        </w:tabs>
      </w:pPr>
      <w:bookmarkStart w:id="5" w:name="_Hlk26972015"/>
      <w:r>
        <w:t>Teisingumo</w:t>
      </w:r>
      <w:r w:rsidRPr="0048059E">
        <w:t xml:space="preserve"> ministras</w:t>
      </w:r>
      <w:bookmarkEnd w:id="5"/>
      <w:r w:rsidRPr="0048059E">
        <w:tab/>
      </w:r>
    </w:p>
    <w:p w14:paraId="48AF1E14" w14:textId="77777777" w:rsidR="003D141E" w:rsidRDefault="003D141E" w:rsidP="003D141E">
      <w:pPr>
        <w:pStyle w:val="Antrats"/>
        <w:tabs>
          <w:tab w:val="clear" w:pos="4153"/>
          <w:tab w:val="center" w:pos="-7800"/>
          <w:tab w:val="left" w:pos="6237"/>
        </w:tabs>
      </w:pPr>
    </w:p>
    <w:p w14:paraId="0121C2B5" w14:textId="77777777" w:rsidR="003D141E" w:rsidRDefault="003D141E" w:rsidP="003D141E"/>
    <w:p w14:paraId="24E04C57" w14:textId="77777777" w:rsidR="00044E9F" w:rsidRDefault="00044E9F"/>
    <w:sectPr w:rsidR="00044E9F" w:rsidSect="009F2B7E">
      <w:headerReference w:type="even" r:id="rId6"/>
      <w:headerReference w:type="default" r:id="rId7"/>
      <w:headerReference w:type="first" r:id="rId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63B65" w14:textId="77777777" w:rsidR="00166629" w:rsidRDefault="00166629">
      <w:r>
        <w:separator/>
      </w:r>
    </w:p>
  </w:endnote>
  <w:endnote w:type="continuationSeparator" w:id="0">
    <w:p w14:paraId="4C708B3D" w14:textId="77777777" w:rsidR="00166629" w:rsidRDefault="0016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6EA28" w14:textId="77777777" w:rsidR="00166629" w:rsidRDefault="00166629">
      <w:r>
        <w:separator/>
      </w:r>
    </w:p>
  </w:footnote>
  <w:footnote w:type="continuationSeparator" w:id="0">
    <w:p w14:paraId="4184814F" w14:textId="77777777" w:rsidR="00166629" w:rsidRDefault="0016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73A47" w14:textId="77777777" w:rsidR="00E42504" w:rsidRDefault="003D141E" w:rsidP="009F2B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C362D3" w14:textId="77777777" w:rsidR="00E42504" w:rsidRDefault="001666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6CEA3" w14:textId="77777777" w:rsidR="00E42504" w:rsidRDefault="003D141E" w:rsidP="009F2B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23B22EAA" w14:textId="77777777" w:rsidR="00E42504" w:rsidRDefault="001666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5E72D" w14:textId="35255BDC" w:rsidR="00E42504" w:rsidRDefault="0002262B" w:rsidP="0002262B">
    <w:pPr>
      <w:ind w:left="3888" w:firstLine="1296"/>
      <w:jc w:val="center"/>
      <w:rPr>
        <w:b/>
      </w:rPr>
    </w:pPr>
    <w:r>
      <w:rPr>
        <w:b/>
      </w:rPr>
      <w:t xml:space="preserve">   </w:t>
    </w:r>
    <w:r w:rsidR="003D141E">
      <w:rPr>
        <w:b/>
      </w:rPr>
      <w:t xml:space="preserve">  </w:t>
    </w:r>
    <w:r w:rsidR="003D141E" w:rsidRPr="002E0066">
      <w:rPr>
        <w:b/>
      </w:rPr>
      <w:t>Projekt</w:t>
    </w:r>
    <w:r>
      <w:rPr>
        <w:b/>
      </w:rPr>
      <w:t>o</w:t>
    </w:r>
  </w:p>
  <w:p w14:paraId="5F7AC442" w14:textId="4FA0CD5E" w:rsidR="0002262B" w:rsidRPr="002E0066" w:rsidRDefault="0002262B" w:rsidP="009F2B7E">
    <w:pPr>
      <w:ind w:left="3888" w:firstLine="1296"/>
      <w:jc w:val="right"/>
      <w:rPr>
        <w:b/>
      </w:rPr>
    </w:pPr>
    <w:r>
      <w:rPr>
        <w:b/>
      </w:rPr>
      <w:t>lyginamasis variantas</w:t>
    </w:r>
  </w:p>
  <w:p w14:paraId="50F25C86" w14:textId="77777777" w:rsidR="00E42504" w:rsidRDefault="003D141E" w:rsidP="009F2B7E">
    <w:pPr>
      <w:ind w:left="6480"/>
      <w:jc w:val="center"/>
    </w:pPr>
    <w:r>
      <w:rPr>
        <w:b/>
      </w:rPr>
      <w:t xml:space="preserve">      </w:t>
    </w:r>
  </w:p>
  <w:p w14:paraId="7CD45CD7" w14:textId="77777777" w:rsidR="00E42504" w:rsidRDefault="00166629" w:rsidP="009F2B7E">
    <w:pPr>
      <w:jc w:val="center"/>
    </w:pPr>
  </w:p>
  <w:p w14:paraId="79FA8DFA" w14:textId="77777777" w:rsidR="00E42504" w:rsidRPr="00194342" w:rsidRDefault="003D141E" w:rsidP="009F2B7E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C25A2FD" w14:textId="77777777" w:rsidR="00E42504" w:rsidRPr="000F4C8C" w:rsidRDefault="00166629" w:rsidP="009F2B7E">
    <w:pPr>
      <w:jc w:val="center"/>
      <w:rPr>
        <w:caps/>
      </w:rPr>
    </w:pPr>
  </w:p>
  <w:p w14:paraId="6AEA7E6D" w14:textId="77777777" w:rsidR="00E42504" w:rsidRDefault="003D141E" w:rsidP="009F2B7E">
    <w:pPr>
      <w:jc w:val="center"/>
      <w:rPr>
        <w:b/>
        <w:caps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1E"/>
    <w:rsid w:val="0002262B"/>
    <w:rsid w:val="00044E9F"/>
    <w:rsid w:val="00166629"/>
    <w:rsid w:val="003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3BCF"/>
  <w15:chartTrackingRefBased/>
  <w15:docId w15:val="{E52D9E46-A4B4-4F06-A03F-ECDAF1D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1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141E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141E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s">
    <w:name w:val="header"/>
    <w:aliases w:val="Char,Diagrama"/>
    <w:basedOn w:val="prastasis"/>
    <w:link w:val="AntratsDiagrama"/>
    <w:rsid w:val="003D141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3D14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3D141E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0226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262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header3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E4F611A87445CB9018CD2C392FEA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2ADCCD-2E7B-4FD9-B9F8-608B10981416}"/>
      </w:docPartPr>
      <w:docPartBody>
        <w:p w:rsidR="00F456A8" w:rsidRDefault="004470C1" w:rsidP="004470C1">
          <w:pPr>
            <w:pStyle w:val="0AE4F611A87445CB9018CD2C392FEA26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C1"/>
    <w:rsid w:val="004470C1"/>
    <w:rsid w:val="009A086C"/>
    <w:rsid w:val="00D44707"/>
    <w:rsid w:val="00F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70C1"/>
  </w:style>
  <w:style w:type="paragraph" w:customStyle="1" w:styleId="0AE4F611A87445CB9018CD2C392FEA26">
    <w:name w:val="0AE4F611A87445CB9018CD2C392FEA26"/>
    <w:rsid w:val="00447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1275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2020-08-12T14:21:00Z</dcterms:created>
  <dc:creator>Aušrinė Storpirštienė</dc:creator>
  <cp:lastModifiedBy>Aušrinė Storpirštienė</cp:lastModifiedBy>
  <dcterms:modified xsi:type="dcterms:W3CDTF">2020-09-03T12:22:00Z</dcterms:modified>
  <cp:revision>2</cp:revision>
</cp:coreProperties>
</file>