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F6" w:rsidRPr="00474140" w:rsidRDefault="00E330F6" w:rsidP="00F05B2E">
      <w:pPr>
        <w:pStyle w:val="Preformatted"/>
        <w:jc w:val="center"/>
        <w:outlineLvl w:val="0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474140">
        <w:rPr>
          <w:rFonts w:ascii="Times New Roman" w:hAnsi="Times New Roman"/>
          <w:b/>
          <w:sz w:val="22"/>
          <w:szCs w:val="22"/>
        </w:rPr>
        <w:t>LIETUVOS RESPUBLIKOS VYRIAUSYBĖS KANCELIARIJOS</w:t>
      </w:r>
    </w:p>
    <w:p w:rsidR="00E330F6" w:rsidRPr="00474140" w:rsidRDefault="00FB6916" w:rsidP="00F05B2E">
      <w:pPr>
        <w:pStyle w:val="Preformatted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474140">
        <w:rPr>
          <w:rFonts w:ascii="Times New Roman" w:hAnsi="Times New Roman"/>
          <w:b/>
          <w:sz w:val="22"/>
          <w:szCs w:val="22"/>
        </w:rPr>
        <w:t xml:space="preserve">EKONOMIKOS </w:t>
      </w:r>
      <w:r w:rsidR="000C75E2" w:rsidRPr="00474140">
        <w:rPr>
          <w:rFonts w:ascii="Times New Roman" w:hAnsi="Times New Roman"/>
          <w:b/>
          <w:sz w:val="22"/>
          <w:szCs w:val="22"/>
        </w:rPr>
        <w:t>POLITIKOS GRUPĖS</w:t>
      </w:r>
    </w:p>
    <w:p w:rsidR="0089376C" w:rsidRPr="00474140" w:rsidRDefault="0089376C" w:rsidP="00F05B2E">
      <w:pPr>
        <w:jc w:val="center"/>
        <w:rPr>
          <w:rFonts w:ascii="Times New Roman" w:hAnsi="Times New Roman"/>
          <w:b/>
          <w:sz w:val="22"/>
          <w:szCs w:val="22"/>
          <w:lang w:val="lt-LT"/>
        </w:rPr>
      </w:pPr>
    </w:p>
    <w:p w:rsidR="008158E8" w:rsidRPr="00474140" w:rsidRDefault="008158E8" w:rsidP="00F05B2E">
      <w:pPr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474140">
        <w:rPr>
          <w:rFonts w:ascii="Times New Roman" w:hAnsi="Times New Roman"/>
          <w:b/>
          <w:sz w:val="22"/>
          <w:szCs w:val="22"/>
          <w:lang w:val="lt-LT"/>
        </w:rPr>
        <w:t>PAŽYMA</w:t>
      </w:r>
    </w:p>
    <w:p w:rsidR="008158E8" w:rsidRPr="00474140" w:rsidRDefault="001624BB" w:rsidP="00F05B2E">
      <w:pPr>
        <w:jc w:val="center"/>
        <w:rPr>
          <w:rFonts w:ascii="Times New Roman" w:hAnsi="Times New Roman"/>
          <w:b/>
          <w:caps/>
          <w:sz w:val="22"/>
          <w:szCs w:val="22"/>
          <w:lang w:val="lt-LT"/>
        </w:rPr>
      </w:pPr>
      <w:r w:rsidRPr="00474140">
        <w:rPr>
          <w:rFonts w:ascii="Times New Roman" w:hAnsi="Times New Roman"/>
          <w:b/>
          <w:caps/>
          <w:sz w:val="22"/>
          <w:szCs w:val="22"/>
          <w:lang w:val="lt-LT"/>
        </w:rPr>
        <w:t>Dėl UAB „</w:t>
      </w:r>
      <w:r w:rsidR="008158E8" w:rsidRPr="00474140">
        <w:rPr>
          <w:rFonts w:ascii="Times New Roman" w:hAnsi="Times New Roman"/>
          <w:b/>
          <w:caps/>
          <w:sz w:val="22"/>
          <w:szCs w:val="22"/>
          <w:lang w:val="lt-LT"/>
        </w:rPr>
        <w:t>I</w:t>
      </w:r>
      <w:r w:rsidRPr="00474140">
        <w:rPr>
          <w:rFonts w:ascii="Times New Roman" w:hAnsi="Times New Roman"/>
          <w:b/>
          <w:caps/>
          <w:sz w:val="22"/>
          <w:szCs w:val="22"/>
          <w:lang w:val="lt-LT"/>
        </w:rPr>
        <w:t>nvesticijų ir verslo garantijos“</w:t>
      </w:r>
      <w:r w:rsidR="008158E8" w:rsidRPr="00474140">
        <w:rPr>
          <w:rFonts w:ascii="Times New Roman" w:hAnsi="Times New Roman"/>
          <w:b/>
          <w:caps/>
          <w:sz w:val="22"/>
          <w:szCs w:val="22"/>
          <w:lang w:val="lt-LT"/>
        </w:rPr>
        <w:t xml:space="preserve"> </w:t>
      </w:r>
      <w:r w:rsidR="00E330F6" w:rsidRPr="00474140">
        <w:rPr>
          <w:rFonts w:ascii="Times New Roman" w:hAnsi="Times New Roman"/>
          <w:b/>
          <w:caps/>
          <w:sz w:val="22"/>
          <w:szCs w:val="22"/>
          <w:lang w:val="lt-LT"/>
        </w:rPr>
        <w:t>201</w:t>
      </w:r>
      <w:r w:rsidR="00FB6916" w:rsidRPr="00474140">
        <w:rPr>
          <w:rFonts w:ascii="Times New Roman" w:hAnsi="Times New Roman"/>
          <w:b/>
          <w:caps/>
          <w:sz w:val="22"/>
          <w:szCs w:val="22"/>
          <w:lang w:val="lt-LT"/>
        </w:rPr>
        <w:t>8</w:t>
      </w:r>
      <w:r w:rsidR="00E330F6" w:rsidRPr="00474140">
        <w:rPr>
          <w:rFonts w:ascii="Times New Roman" w:hAnsi="Times New Roman"/>
          <w:b/>
          <w:caps/>
          <w:sz w:val="22"/>
          <w:szCs w:val="22"/>
          <w:lang w:val="lt-LT"/>
        </w:rPr>
        <w:t xml:space="preserve">M. </w:t>
      </w:r>
      <w:r w:rsidR="008158E8" w:rsidRPr="00474140">
        <w:rPr>
          <w:rFonts w:ascii="Times New Roman" w:hAnsi="Times New Roman"/>
          <w:b/>
          <w:caps/>
          <w:sz w:val="22"/>
          <w:szCs w:val="22"/>
          <w:lang w:val="lt-LT"/>
        </w:rPr>
        <w:t xml:space="preserve">veiklos </w:t>
      </w:r>
      <w:r w:rsidR="00E330F6" w:rsidRPr="00474140">
        <w:rPr>
          <w:rFonts w:ascii="Times New Roman" w:hAnsi="Times New Roman"/>
          <w:b/>
          <w:caps/>
          <w:sz w:val="22"/>
          <w:szCs w:val="22"/>
          <w:lang w:val="lt-LT"/>
        </w:rPr>
        <w:t>ATASKAITOS</w:t>
      </w:r>
    </w:p>
    <w:tbl>
      <w:tblPr>
        <w:tblW w:w="0" w:type="auto"/>
        <w:tblInd w:w="2660" w:type="dxa"/>
        <w:tblLook w:val="04A0" w:firstRow="1" w:lastRow="0" w:firstColumn="1" w:lastColumn="0" w:noHBand="0" w:noVBand="1"/>
      </w:tblPr>
      <w:tblGrid>
        <w:gridCol w:w="4536"/>
      </w:tblGrid>
      <w:tr w:rsidR="005F2C35" w:rsidRPr="00474140" w:rsidTr="00A75380">
        <w:tc>
          <w:tcPr>
            <w:tcW w:w="4536" w:type="dxa"/>
            <w:shd w:val="clear" w:color="auto" w:fill="auto"/>
          </w:tcPr>
          <w:p w:rsidR="005F2C35" w:rsidRPr="00474140" w:rsidRDefault="005F2C35" w:rsidP="00F05B2E">
            <w:pPr>
              <w:jc w:val="center"/>
              <w:rPr>
                <w:rFonts w:ascii="Times New Roman" w:eastAsia="Calibri" w:hAnsi="Times New Roman"/>
                <w:spacing w:val="-6"/>
                <w:sz w:val="22"/>
                <w:szCs w:val="22"/>
              </w:rPr>
            </w:pPr>
            <w:r w:rsidRPr="00474140">
              <w:rPr>
                <w:rFonts w:ascii="Times New Roman" w:eastAsia="Calibri" w:hAnsi="Times New Roman"/>
                <w:spacing w:val="-6"/>
                <w:sz w:val="22"/>
                <w:szCs w:val="22"/>
                <w:lang w:val="lt-LT"/>
              </w:rPr>
              <w:t xml:space="preserve"> </w:t>
            </w:r>
            <w:r w:rsidRPr="00474140">
              <w:rPr>
                <w:rFonts w:ascii="Times New Roman" w:eastAsia="Calibri" w:hAnsi="Times New Roman"/>
                <w:spacing w:val="-6"/>
                <w:sz w:val="22"/>
                <w:szCs w:val="22"/>
              </w:rPr>
              <w:t xml:space="preserve">Nr. </w:t>
            </w:r>
          </w:p>
        </w:tc>
      </w:tr>
    </w:tbl>
    <w:p w:rsidR="005F2C35" w:rsidRPr="00474140" w:rsidRDefault="005F2C35" w:rsidP="00F05B2E">
      <w:pPr>
        <w:jc w:val="center"/>
        <w:rPr>
          <w:rFonts w:ascii="Times New Roman" w:hAnsi="Times New Roman"/>
          <w:spacing w:val="-6"/>
          <w:sz w:val="22"/>
          <w:szCs w:val="22"/>
        </w:rPr>
      </w:pPr>
      <w:r w:rsidRPr="00474140">
        <w:rPr>
          <w:rFonts w:ascii="Times New Roman" w:hAnsi="Times New Roman"/>
          <w:sz w:val="22"/>
          <w:szCs w:val="22"/>
        </w:rPr>
        <w:t>Vilnius</w:t>
      </w:r>
    </w:p>
    <w:p w:rsidR="00E13241" w:rsidRPr="00474140" w:rsidRDefault="00E13241" w:rsidP="00F05B2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474140">
        <w:rPr>
          <w:rFonts w:ascii="Times New Roman" w:hAnsi="Times New Roman"/>
          <w:b/>
          <w:sz w:val="22"/>
          <w:szCs w:val="22"/>
          <w:lang w:val="lt-LT"/>
        </w:rPr>
        <w:t>Ataskaitos teikėjas:</w:t>
      </w:r>
      <w:r w:rsidRPr="00474140">
        <w:rPr>
          <w:rFonts w:ascii="Times New Roman" w:hAnsi="Times New Roman"/>
          <w:sz w:val="22"/>
          <w:szCs w:val="22"/>
          <w:lang w:val="lt-LT"/>
        </w:rPr>
        <w:t xml:space="preserve"> UAB „Investicijų ir verslo garantijos“ (toliau – INVEGA)</w:t>
      </w:r>
      <w:r w:rsidR="001B020B">
        <w:rPr>
          <w:rFonts w:ascii="Times New Roman" w:hAnsi="Times New Roman"/>
          <w:sz w:val="22"/>
          <w:szCs w:val="22"/>
          <w:lang w:val="lt-LT"/>
        </w:rPr>
        <w:t xml:space="preserve">. </w:t>
      </w:r>
    </w:p>
    <w:p w:rsidR="001B020B" w:rsidRDefault="00E13241" w:rsidP="00F05B2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474140">
        <w:rPr>
          <w:rFonts w:ascii="Times New Roman" w:hAnsi="Times New Roman"/>
          <w:b/>
          <w:sz w:val="22"/>
          <w:szCs w:val="22"/>
          <w:lang w:val="lt-LT"/>
        </w:rPr>
        <w:t>Ataskaitos tikslas</w:t>
      </w:r>
      <w:r w:rsidRPr="00474140">
        <w:rPr>
          <w:rFonts w:ascii="Times New Roman" w:hAnsi="Times New Roman"/>
          <w:sz w:val="22"/>
          <w:szCs w:val="22"/>
          <w:lang w:val="lt-LT"/>
        </w:rPr>
        <w:t xml:space="preserve"> – pateikti informaciją apie 201</w:t>
      </w:r>
      <w:r w:rsidR="00FB6916" w:rsidRPr="00474140">
        <w:rPr>
          <w:rFonts w:ascii="Times New Roman" w:hAnsi="Times New Roman"/>
          <w:sz w:val="22"/>
          <w:szCs w:val="22"/>
          <w:lang w:val="lt-LT"/>
        </w:rPr>
        <w:t>8</w:t>
      </w:r>
      <w:r w:rsidRPr="00474140">
        <w:rPr>
          <w:rFonts w:ascii="Times New Roman" w:hAnsi="Times New Roman"/>
          <w:sz w:val="22"/>
          <w:szCs w:val="22"/>
          <w:lang w:val="lt-LT"/>
        </w:rPr>
        <w:t xml:space="preserve"> m. INVEGA pagrindinius veiklos rezultatus.  </w:t>
      </w:r>
    </w:p>
    <w:p w:rsidR="00FD564D" w:rsidRDefault="00FD564D" w:rsidP="00F05B2E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:rsidR="00E13241" w:rsidRPr="00474140" w:rsidRDefault="00E13241" w:rsidP="00FD564D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474140">
        <w:rPr>
          <w:rFonts w:ascii="Times New Roman" w:hAnsi="Times New Roman"/>
          <w:sz w:val="22"/>
          <w:szCs w:val="22"/>
          <w:lang w:val="lt-LT"/>
        </w:rPr>
        <w:t xml:space="preserve">INVEGA įsteigta 2001 metų pabaigoje, sumažinus UAB DĮ „Lietuvos eksporto ir importo draudimas“ įstatinį kapitalą ir suformavus INVEGOS įstatinį kapitalą, kuris šiuo metu sudaro </w:t>
      </w:r>
      <w:r w:rsidRPr="00474140">
        <w:rPr>
          <w:rFonts w:ascii="Times New Roman" w:hAnsi="Times New Roman"/>
          <w:b/>
          <w:sz w:val="22"/>
          <w:szCs w:val="22"/>
          <w:lang w:val="lt-LT"/>
        </w:rPr>
        <w:t>8,688 mln.</w:t>
      </w:r>
      <w:r w:rsidRPr="00474140">
        <w:rPr>
          <w:rFonts w:ascii="Times New Roman" w:hAnsi="Times New Roman"/>
          <w:sz w:val="22"/>
          <w:szCs w:val="22"/>
          <w:lang w:val="lt-LT"/>
        </w:rPr>
        <w:t xml:space="preserve"> Eur. </w:t>
      </w:r>
      <w:r w:rsidR="001B020B" w:rsidRPr="00474140">
        <w:rPr>
          <w:rFonts w:ascii="Times New Roman" w:hAnsi="Times New Roman"/>
          <w:sz w:val="22"/>
          <w:szCs w:val="22"/>
          <w:lang w:val="lt-LT"/>
        </w:rPr>
        <w:t>Vykdydama Valstybės skolos įstatymo reikalavimus INVEGA kasmet atsiskaito Vyriausybei</w:t>
      </w:r>
      <w:r w:rsidR="001B020B">
        <w:rPr>
          <w:rFonts w:ascii="Times New Roman" w:hAnsi="Times New Roman"/>
          <w:sz w:val="22"/>
          <w:szCs w:val="22"/>
          <w:lang w:val="lt-LT"/>
        </w:rPr>
        <w:t>.</w:t>
      </w:r>
    </w:p>
    <w:p w:rsidR="00FD564D" w:rsidRDefault="00FD564D" w:rsidP="00670225">
      <w:pPr>
        <w:jc w:val="both"/>
        <w:rPr>
          <w:rFonts w:ascii="Times New Roman" w:hAnsi="Times New Roman"/>
          <w:b/>
          <w:sz w:val="22"/>
          <w:szCs w:val="22"/>
          <w:lang w:val="lt-LT"/>
        </w:rPr>
      </w:pPr>
    </w:p>
    <w:p w:rsidR="005E2DB3" w:rsidRPr="00474140" w:rsidRDefault="00670225" w:rsidP="00F05B2E">
      <w:pPr>
        <w:jc w:val="both"/>
        <w:rPr>
          <w:rFonts w:ascii="Times New Roman" w:hAnsi="Times New Roman"/>
          <w:b/>
          <w:sz w:val="22"/>
          <w:szCs w:val="22"/>
          <w:lang w:val="lt-LT"/>
        </w:rPr>
      </w:pPr>
      <w:r w:rsidRPr="00670225">
        <w:rPr>
          <w:rFonts w:ascii="Times New Roman" w:hAnsi="Times New Roman"/>
          <w:b/>
          <w:sz w:val="22"/>
          <w:szCs w:val="22"/>
          <w:lang w:val="lt-LT"/>
        </w:rPr>
        <w:t xml:space="preserve">Pagrindinės INVEGOS </w:t>
      </w:r>
      <w:r w:rsidRPr="00670225">
        <w:rPr>
          <w:rFonts w:ascii="Times New Roman" w:hAnsi="Times New Roman"/>
          <w:sz w:val="22"/>
          <w:szCs w:val="22"/>
          <w:lang w:val="lt-LT"/>
        </w:rPr>
        <w:t xml:space="preserve">įgyvendinamos veiklos yra skirtos lengvinti finansavimo prieinamumą verslui ir pirmiausia – smulkiajam ir vidutiniam. </w:t>
      </w:r>
      <w:r w:rsidR="005E2DB3" w:rsidRPr="00474140">
        <w:rPr>
          <w:rFonts w:ascii="Times New Roman" w:hAnsi="Times New Roman"/>
          <w:b/>
          <w:sz w:val="22"/>
          <w:szCs w:val="22"/>
          <w:lang w:val="lt-LT"/>
        </w:rPr>
        <w:t>Pagrindinės INVEGA veiklos yra:</w:t>
      </w:r>
    </w:p>
    <w:p w:rsidR="005E2DB3" w:rsidRPr="00474140" w:rsidRDefault="00F05B2E" w:rsidP="00F05B2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474140">
        <w:rPr>
          <w:rFonts w:ascii="Times New Roman" w:hAnsi="Times New Roman"/>
          <w:sz w:val="22"/>
          <w:szCs w:val="22"/>
          <w:lang w:val="lt-LT"/>
        </w:rPr>
        <w:t xml:space="preserve">• </w:t>
      </w:r>
      <w:r w:rsidR="005E2DB3" w:rsidRPr="00474140">
        <w:rPr>
          <w:rFonts w:ascii="Times New Roman" w:hAnsi="Times New Roman"/>
          <w:sz w:val="22"/>
          <w:szCs w:val="22"/>
          <w:lang w:val="lt-LT"/>
        </w:rPr>
        <w:t>individualių ir portfelinių garantijų teikimas</w:t>
      </w:r>
      <w:r w:rsidRPr="00474140">
        <w:rPr>
          <w:rFonts w:ascii="Times New Roman" w:hAnsi="Times New Roman"/>
          <w:sz w:val="22"/>
          <w:szCs w:val="22"/>
          <w:lang w:val="lt-LT"/>
        </w:rPr>
        <w:t xml:space="preserve"> </w:t>
      </w:r>
      <w:bookmarkStart w:id="1" w:name="_Hlk7778440"/>
      <w:r w:rsidRPr="00474140">
        <w:rPr>
          <w:rFonts w:ascii="Times New Roman" w:hAnsi="Times New Roman"/>
          <w:sz w:val="22"/>
          <w:szCs w:val="22"/>
          <w:lang w:val="lt-LT"/>
        </w:rPr>
        <w:t>•</w:t>
      </w:r>
      <w:bookmarkEnd w:id="1"/>
      <w:r w:rsidR="00292A5A" w:rsidRPr="0047414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5E2DB3" w:rsidRPr="00474140">
        <w:rPr>
          <w:rFonts w:ascii="Times New Roman" w:hAnsi="Times New Roman"/>
          <w:sz w:val="22"/>
          <w:szCs w:val="22"/>
          <w:lang w:val="lt-LT"/>
        </w:rPr>
        <w:t xml:space="preserve">lengvatinių paskolų SVV) teikimas </w:t>
      </w:r>
      <w:r w:rsidRPr="00474140">
        <w:rPr>
          <w:rFonts w:ascii="Times New Roman" w:hAnsi="Times New Roman"/>
          <w:sz w:val="22"/>
          <w:szCs w:val="22"/>
          <w:lang w:val="lt-LT"/>
        </w:rPr>
        <w:t>•</w:t>
      </w:r>
      <w:r w:rsidR="00292A5A" w:rsidRPr="0047414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5E2DB3" w:rsidRPr="00474140">
        <w:rPr>
          <w:rFonts w:ascii="Times New Roman" w:hAnsi="Times New Roman"/>
          <w:sz w:val="22"/>
          <w:szCs w:val="22"/>
          <w:lang w:val="lt-LT"/>
        </w:rPr>
        <w:t>rizikos kapitalo investavimo priemonių</w:t>
      </w:r>
      <w:r w:rsidR="00292A5A" w:rsidRPr="0047414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5E2DB3" w:rsidRPr="00474140">
        <w:rPr>
          <w:rFonts w:ascii="Times New Roman" w:hAnsi="Times New Roman"/>
          <w:sz w:val="22"/>
          <w:szCs w:val="22"/>
          <w:lang w:val="lt-LT"/>
        </w:rPr>
        <w:t>įgyvendinimas</w:t>
      </w:r>
      <w:r w:rsidRPr="00474140">
        <w:rPr>
          <w:rFonts w:ascii="Times New Roman" w:hAnsi="Times New Roman"/>
          <w:sz w:val="22"/>
          <w:szCs w:val="22"/>
          <w:lang w:val="lt-LT"/>
        </w:rPr>
        <w:t xml:space="preserve"> •</w:t>
      </w:r>
      <w:r w:rsidR="00292A5A" w:rsidRPr="0047414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5E2DB3" w:rsidRPr="00474140">
        <w:rPr>
          <w:rFonts w:ascii="Times New Roman" w:hAnsi="Times New Roman"/>
          <w:sz w:val="22"/>
          <w:szCs w:val="22"/>
          <w:lang w:val="lt-LT"/>
        </w:rPr>
        <w:t>palūkanų kompensavimas</w:t>
      </w:r>
      <w:r w:rsidRPr="00474140">
        <w:rPr>
          <w:rFonts w:ascii="Times New Roman" w:hAnsi="Times New Roman"/>
          <w:sz w:val="22"/>
          <w:szCs w:val="22"/>
          <w:lang w:val="lt-LT"/>
        </w:rPr>
        <w:t xml:space="preserve"> •</w:t>
      </w:r>
      <w:r w:rsidR="00292A5A" w:rsidRPr="0047414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5E2DB3" w:rsidRPr="00474140">
        <w:rPr>
          <w:rFonts w:ascii="Times New Roman" w:hAnsi="Times New Roman"/>
          <w:sz w:val="22"/>
          <w:szCs w:val="22"/>
          <w:lang w:val="lt-LT"/>
        </w:rPr>
        <w:t>finansų inžinerijos priemonių ir finansinių</w:t>
      </w:r>
      <w:r w:rsidRPr="0047414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5E2DB3" w:rsidRPr="00474140">
        <w:rPr>
          <w:rFonts w:ascii="Times New Roman" w:hAnsi="Times New Roman"/>
          <w:sz w:val="22"/>
          <w:szCs w:val="22"/>
          <w:lang w:val="lt-LT"/>
        </w:rPr>
        <w:t>priemonių</w:t>
      </w:r>
      <w:r w:rsidRPr="0047414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5E2DB3" w:rsidRPr="00474140">
        <w:rPr>
          <w:rFonts w:ascii="Times New Roman" w:hAnsi="Times New Roman"/>
          <w:sz w:val="22"/>
          <w:szCs w:val="22"/>
          <w:lang w:val="lt-LT"/>
        </w:rPr>
        <w:t>įgyvendinimas</w:t>
      </w:r>
      <w:r w:rsidRPr="00474140">
        <w:rPr>
          <w:rFonts w:ascii="Times New Roman" w:hAnsi="Times New Roman"/>
          <w:sz w:val="22"/>
          <w:szCs w:val="22"/>
          <w:lang w:val="lt-LT"/>
        </w:rPr>
        <w:t xml:space="preserve"> • </w:t>
      </w:r>
      <w:r w:rsidR="005E2DB3" w:rsidRPr="00474140">
        <w:rPr>
          <w:rFonts w:ascii="Times New Roman" w:hAnsi="Times New Roman"/>
          <w:sz w:val="22"/>
          <w:szCs w:val="22"/>
          <w:lang w:val="lt-LT"/>
        </w:rPr>
        <w:t>verslo subjektų turėtų ir valstybės remiamų</w:t>
      </w:r>
      <w:r w:rsidRPr="0047414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5E2DB3" w:rsidRPr="00474140">
        <w:rPr>
          <w:rFonts w:ascii="Times New Roman" w:hAnsi="Times New Roman"/>
          <w:sz w:val="22"/>
          <w:szCs w:val="22"/>
          <w:lang w:val="lt-LT"/>
        </w:rPr>
        <w:t xml:space="preserve">išlaidų </w:t>
      </w:r>
      <w:r w:rsidRPr="00474140">
        <w:rPr>
          <w:rFonts w:ascii="Times New Roman" w:hAnsi="Times New Roman"/>
          <w:sz w:val="22"/>
          <w:szCs w:val="22"/>
          <w:lang w:val="lt-LT"/>
        </w:rPr>
        <w:t>k</w:t>
      </w:r>
      <w:r w:rsidR="005E2DB3" w:rsidRPr="00474140">
        <w:rPr>
          <w:rFonts w:ascii="Times New Roman" w:hAnsi="Times New Roman"/>
          <w:sz w:val="22"/>
          <w:szCs w:val="22"/>
          <w:lang w:val="lt-LT"/>
        </w:rPr>
        <w:t>ompensavimas ir subsidijavimas</w:t>
      </w:r>
      <w:r w:rsidRPr="00474140">
        <w:rPr>
          <w:rFonts w:ascii="Times New Roman" w:hAnsi="Times New Roman"/>
          <w:sz w:val="22"/>
          <w:szCs w:val="22"/>
          <w:lang w:val="lt-LT"/>
        </w:rPr>
        <w:t xml:space="preserve"> • </w:t>
      </w:r>
      <w:r w:rsidR="005E2DB3" w:rsidRPr="00474140">
        <w:rPr>
          <w:rFonts w:ascii="Times New Roman" w:hAnsi="Times New Roman"/>
          <w:sz w:val="22"/>
          <w:szCs w:val="22"/>
          <w:lang w:val="lt-LT"/>
        </w:rPr>
        <w:t>dotacijų ir (ar) subsidijų darbo vietoms kurti</w:t>
      </w:r>
      <w:r w:rsidRPr="0047414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5E2DB3" w:rsidRPr="00474140">
        <w:rPr>
          <w:rFonts w:ascii="Times New Roman" w:hAnsi="Times New Roman"/>
          <w:sz w:val="22"/>
          <w:szCs w:val="22"/>
          <w:lang w:val="lt-LT"/>
        </w:rPr>
        <w:t>ir (ar) išlaikyti, konkurencingumui didinti,</w:t>
      </w:r>
      <w:r w:rsidRPr="0047414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5E2DB3" w:rsidRPr="00474140">
        <w:rPr>
          <w:rFonts w:ascii="Times New Roman" w:hAnsi="Times New Roman"/>
          <w:sz w:val="22"/>
          <w:szCs w:val="22"/>
          <w:lang w:val="lt-LT"/>
        </w:rPr>
        <w:t>teikimas.</w:t>
      </w:r>
    </w:p>
    <w:p w:rsidR="00FD564D" w:rsidRDefault="00FD564D" w:rsidP="00F05B2E">
      <w:pPr>
        <w:jc w:val="both"/>
        <w:rPr>
          <w:rFonts w:ascii="Times New Roman" w:hAnsi="Times New Roman"/>
          <w:b/>
          <w:sz w:val="22"/>
          <w:szCs w:val="22"/>
          <w:lang w:val="lt-LT"/>
        </w:rPr>
      </w:pPr>
    </w:p>
    <w:p w:rsidR="00FD564D" w:rsidRDefault="00E13241" w:rsidP="00F05B2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474140">
        <w:rPr>
          <w:rFonts w:ascii="Times New Roman" w:hAnsi="Times New Roman"/>
          <w:b/>
          <w:sz w:val="22"/>
          <w:szCs w:val="22"/>
          <w:lang w:val="lt-LT"/>
        </w:rPr>
        <w:t>Per 201</w:t>
      </w:r>
      <w:r w:rsidR="00FC6113" w:rsidRPr="00474140">
        <w:rPr>
          <w:rFonts w:ascii="Times New Roman" w:hAnsi="Times New Roman"/>
          <w:b/>
          <w:sz w:val="22"/>
          <w:szCs w:val="22"/>
          <w:lang w:val="lt-LT"/>
        </w:rPr>
        <w:t>8</w:t>
      </w:r>
      <w:r w:rsidRPr="00474140">
        <w:rPr>
          <w:rFonts w:ascii="Times New Roman" w:hAnsi="Times New Roman"/>
          <w:b/>
          <w:sz w:val="22"/>
          <w:szCs w:val="22"/>
          <w:lang w:val="lt-LT"/>
        </w:rPr>
        <w:t xml:space="preserve"> metus INVEGA suteikė</w:t>
      </w:r>
      <w:r w:rsidRPr="0047414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E12E60" w:rsidRPr="00E12E60">
        <w:rPr>
          <w:rFonts w:ascii="Times New Roman" w:hAnsi="Times New Roman"/>
          <w:sz w:val="22"/>
          <w:szCs w:val="22"/>
          <w:lang w:val="lt-LT"/>
        </w:rPr>
        <w:t>425</w:t>
      </w:r>
      <w:r w:rsidRPr="00474140">
        <w:rPr>
          <w:rFonts w:ascii="Times New Roman" w:hAnsi="Times New Roman"/>
          <w:sz w:val="22"/>
          <w:szCs w:val="22"/>
          <w:lang w:val="lt-LT"/>
        </w:rPr>
        <w:t xml:space="preserve"> naujas individualias garantijas, iš kurių – </w:t>
      </w:r>
      <w:r w:rsidR="00E12E60" w:rsidRPr="00E12E60">
        <w:rPr>
          <w:rFonts w:ascii="Times New Roman" w:hAnsi="Times New Roman"/>
          <w:sz w:val="22"/>
          <w:szCs w:val="22"/>
          <w:lang w:val="lt-LT"/>
        </w:rPr>
        <w:t>411</w:t>
      </w:r>
      <w:r w:rsidRPr="00474140">
        <w:rPr>
          <w:rFonts w:ascii="Times New Roman" w:hAnsi="Times New Roman"/>
          <w:sz w:val="22"/>
          <w:szCs w:val="22"/>
          <w:lang w:val="lt-LT"/>
        </w:rPr>
        <w:t xml:space="preserve"> paskolų garantij</w:t>
      </w:r>
      <w:r w:rsidR="001B020B">
        <w:rPr>
          <w:rFonts w:ascii="Times New Roman" w:hAnsi="Times New Roman"/>
          <w:sz w:val="22"/>
          <w:szCs w:val="22"/>
          <w:lang w:val="lt-LT"/>
        </w:rPr>
        <w:t>o</w:t>
      </w:r>
      <w:r w:rsidRPr="00474140">
        <w:rPr>
          <w:rFonts w:ascii="Times New Roman" w:hAnsi="Times New Roman"/>
          <w:sz w:val="22"/>
          <w:szCs w:val="22"/>
          <w:lang w:val="lt-LT"/>
        </w:rPr>
        <w:t xml:space="preserve">s </w:t>
      </w:r>
      <w:r w:rsidR="00B84A88">
        <w:rPr>
          <w:rFonts w:ascii="Times New Roman" w:hAnsi="Times New Roman"/>
          <w:sz w:val="22"/>
          <w:szCs w:val="22"/>
          <w:lang w:val="lt-LT"/>
        </w:rPr>
        <w:t>SVV</w:t>
      </w:r>
      <w:r w:rsidRPr="00474140">
        <w:rPr>
          <w:rFonts w:ascii="Times New Roman" w:hAnsi="Times New Roman"/>
          <w:sz w:val="22"/>
          <w:szCs w:val="22"/>
          <w:lang w:val="lt-LT"/>
        </w:rPr>
        <w:t xml:space="preserve"> subjektams (</w:t>
      </w:r>
      <w:r w:rsidR="00E12E60" w:rsidRPr="00E12E60">
        <w:rPr>
          <w:rFonts w:ascii="Times New Roman" w:hAnsi="Times New Roman"/>
          <w:sz w:val="22"/>
          <w:szCs w:val="22"/>
          <w:lang w:val="lt-LT"/>
        </w:rPr>
        <w:t>35,94</w:t>
      </w:r>
      <w:r w:rsidRPr="00474140">
        <w:rPr>
          <w:rFonts w:ascii="Times New Roman" w:hAnsi="Times New Roman"/>
          <w:sz w:val="22"/>
          <w:szCs w:val="22"/>
          <w:lang w:val="lt-LT"/>
        </w:rPr>
        <w:t xml:space="preserve"> mln. Eur sumai) ir </w:t>
      </w:r>
      <w:r w:rsidR="00E12E60">
        <w:rPr>
          <w:rFonts w:ascii="Times New Roman" w:hAnsi="Times New Roman"/>
          <w:sz w:val="22"/>
          <w:szCs w:val="22"/>
          <w:lang w:val="lt-LT"/>
        </w:rPr>
        <w:t>12</w:t>
      </w:r>
      <w:r w:rsidRPr="00474140">
        <w:rPr>
          <w:rFonts w:ascii="Times New Roman" w:hAnsi="Times New Roman"/>
          <w:sz w:val="22"/>
          <w:szCs w:val="22"/>
          <w:lang w:val="lt-LT"/>
        </w:rPr>
        <w:t xml:space="preserve"> finansinės nuomos (lizingo) garantijų (</w:t>
      </w:r>
      <w:r w:rsidR="00E12E60" w:rsidRPr="00E12E60">
        <w:rPr>
          <w:rFonts w:ascii="Times New Roman" w:hAnsi="Times New Roman"/>
          <w:sz w:val="22"/>
          <w:szCs w:val="22"/>
          <w:lang w:val="lt-LT"/>
        </w:rPr>
        <w:t>0,62</w:t>
      </w:r>
      <w:r w:rsidR="00E12E60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474140">
        <w:rPr>
          <w:rFonts w:ascii="Times New Roman" w:hAnsi="Times New Roman"/>
          <w:sz w:val="22"/>
          <w:szCs w:val="22"/>
          <w:lang w:val="lt-LT"/>
        </w:rPr>
        <w:t>mln. Eur sumai)</w:t>
      </w:r>
      <w:r w:rsidR="00E12E60">
        <w:rPr>
          <w:rFonts w:ascii="Times New Roman" w:hAnsi="Times New Roman"/>
          <w:sz w:val="22"/>
          <w:szCs w:val="22"/>
          <w:lang w:val="lt-LT"/>
        </w:rPr>
        <w:t xml:space="preserve"> ir 2 didelėms įmonėms (2 mln. </w:t>
      </w:r>
      <w:r w:rsidR="00E12E60" w:rsidRPr="00E12E60">
        <w:rPr>
          <w:rFonts w:ascii="Times New Roman" w:hAnsi="Times New Roman"/>
          <w:sz w:val="22"/>
          <w:szCs w:val="22"/>
          <w:lang w:val="lt-LT"/>
        </w:rPr>
        <w:t>Eur sumai</w:t>
      </w:r>
      <w:r w:rsidR="00E12E60">
        <w:rPr>
          <w:rFonts w:ascii="Times New Roman" w:hAnsi="Times New Roman"/>
          <w:sz w:val="22"/>
          <w:szCs w:val="22"/>
          <w:lang w:val="lt-LT"/>
        </w:rPr>
        <w:t xml:space="preserve">). </w:t>
      </w:r>
    </w:p>
    <w:p w:rsidR="00E13241" w:rsidRPr="00474140" w:rsidRDefault="00B84A88" w:rsidP="00F05B2E">
      <w:pPr>
        <w:jc w:val="both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Taip pat 2018 m. naujai pradėtos teikti eksporto kredito garantijos – per 2018 m. suteikta 14 eksporto kredito garantijų 0.54 mln. eurų sumai. </w:t>
      </w:r>
      <w:r w:rsidR="0067188B" w:rsidRPr="00474140">
        <w:rPr>
          <w:rFonts w:ascii="Times New Roman" w:hAnsi="Times New Roman"/>
          <w:b/>
          <w:sz w:val="22"/>
          <w:szCs w:val="22"/>
          <w:lang w:val="lt-LT"/>
        </w:rPr>
        <w:t>201</w:t>
      </w:r>
      <w:r w:rsidR="0067188B">
        <w:rPr>
          <w:rFonts w:ascii="Times New Roman" w:hAnsi="Times New Roman"/>
          <w:b/>
          <w:sz w:val="22"/>
          <w:szCs w:val="22"/>
          <w:lang w:val="lt-LT"/>
        </w:rPr>
        <w:t>8</w:t>
      </w:r>
      <w:r w:rsidR="0067188B" w:rsidRPr="00474140">
        <w:rPr>
          <w:rFonts w:ascii="Times New Roman" w:hAnsi="Times New Roman"/>
          <w:b/>
          <w:sz w:val="22"/>
          <w:szCs w:val="22"/>
          <w:lang w:val="lt-LT"/>
        </w:rPr>
        <w:t xml:space="preserve"> m. INVEGA  neišnaudojo</w:t>
      </w:r>
      <w:r w:rsidR="0067188B" w:rsidRPr="00474140">
        <w:rPr>
          <w:rFonts w:ascii="Times New Roman" w:hAnsi="Times New Roman"/>
          <w:sz w:val="22"/>
          <w:szCs w:val="22"/>
          <w:lang w:val="lt-LT"/>
        </w:rPr>
        <w:t xml:space="preserve"> Vyriausybės nustatyto </w:t>
      </w:r>
      <w:r w:rsidR="0067188B" w:rsidRPr="00AD21E3">
        <w:rPr>
          <w:rFonts w:ascii="Times New Roman" w:hAnsi="Times New Roman"/>
          <w:sz w:val="22"/>
          <w:szCs w:val="22"/>
          <w:lang w:val="lt-LT"/>
        </w:rPr>
        <w:t xml:space="preserve">132 </w:t>
      </w:r>
      <w:r w:rsidR="0067188B">
        <w:rPr>
          <w:rFonts w:ascii="Times New Roman" w:hAnsi="Times New Roman"/>
          <w:sz w:val="22"/>
          <w:szCs w:val="22"/>
          <w:lang w:val="lt-LT"/>
        </w:rPr>
        <w:t>mln. eurų</w:t>
      </w:r>
      <w:r w:rsidR="0067188B" w:rsidRPr="00474140">
        <w:rPr>
          <w:rFonts w:ascii="Times New Roman" w:hAnsi="Times New Roman"/>
          <w:sz w:val="22"/>
          <w:szCs w:val="22"/>
          <w:lang w:val="lt-LT"/>
        </w:rPr>
        <w:t xml:space="preserve"> teikiamų valstybės garantijų limito</w:t>
      </w:r>
      <w:r w:rsidR="0067188B">
        <w:rPr>
          <w:rFonts w:ascii="Times New Roman" w:hAnsi="Times New Roman"/>
          <w:sz w:val="22"/>
          <w:szCs w:val="22"/>
          <w:lang w:val="lt-LT"/>
        </w:rPr>
        <w:t xml:space="preserve">, įsipareigojimai pagal garantijų sutartis sudarė </w:t>
      </w:r>
      <w:r w:rsidR="0067188B" w:rsidRPr="00FD564D">
        <w:rPr>
          <w:rFonts w:ascii="Times New Roman" w:hAnsi="Times New Roman"/>
          <w:sz w:val="22"/>
          <w:szCs w:val="22"/>
          <w:lang w:val="lt-LT"/>
        </w:rPr>
        <w:t>107</w:t>
      </w:r>
      <w:r w:rsidR="0067188B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67188B" w:rsidRPr="00FD564D">
        <w:rPr>
          <w:rFonts w:ascii="Times New Roman" w:hAnsi="Times New Roman"/>
          <w:sz w:val="22"/>
          <w:szCs w:val="22"/>
          <w:lang w:val="lt-LT"/>
        </w:rPr>
        <w:t>319</w:t>
      </w:r>
      <w:r w:rsidR="0067188B" w:rsidRPr="0047414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67188B">
        <w:rPr>
          <w:rFonts w:ascii="Times New Roman" w:hAnsi="Times New Roman"/>
          <w:sz w:val="22"/>
          <w:szCs w:val="22"/>
          <w:lang w:val="lt-LT"/>
        </w:rPr>
        <w:t>eurų.</w:t>
      </w:r>
    </w:p>
    <w:p w:rsidR="00FD564D" w:rsidRDefault="00FD564D" w:rsidP="00B84A88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:rsidR="00E13241" w:rsidRPr="00474140" w:rsidRDefault="00B84A88" w:rsidP="00B84A88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FD564D">
        <w:rPr>
          <w:rFonts w:ascii="Times New Roman" w:hAnsi="Times New Roman"/>
          <w:b/>
          <w:sz w:val="22"/>
          <w:szCs w:val="22"/>
          <w:lang w:val="lt-LT"/>
        </w:rPr>
        <w:t>Per</w:t>
      </w:r>
      <w:r w:rsidRPr="00B84A88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FD564D" w:rsidRPr="00FD564D">
        <w:rPr>
          <w:rFonts w:ascii="Times New Roman" w:hAnsi="Times New Roman"/>
          <w:b/>
          <w:sz w:val="22"/>
          <w:szCs w:val="22"/>
          <w:lang w:val="lt-LT"/>
        </w:rPr>
        <w:t>2018 metus</w:t>
      </w:r>
      <w:r w:rsidR="00FD564D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B84A88">
        <w:rPr>
          <w:rFonts w:ascii="Times New Roman" w:hAnsi="Times New Roman"/>
          <w:b/>
          <w:sz w:val="22"/>
          <w:szCs w:val="22"/>
          <w:lang w:val="lt-LT"/>
        </w:rPr>
        <w:t>garantijų gavėjams buvo išmokėta</w:t>
      </w:r>
      <w:r w:rsidRPr="00B84A88">
        <w:rPr>
          <w:rFonts w:ascii="Times New Roman" w:hAnsi="Times New Roman"/>
          <w:sz w:val="22"/>
          <w:szCs w:val="22"/>
          <w:lang w:val="lt-LT"/>
        </w:rPr>
        <w:t xml:space="preserve"> 0,968 mln. eurų išmokų suma, t. y. 0,495</w:t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B84A88">
        <w:rPr>
          <w:rFonts w:ascii="Times New Roman" w:hAnsi="Times New Roman"/>
          <w:sz w:val="22"/>
          <w:szCs w:val="22"/>
          <w:lang w:val="lt-LT"/>
        </w:rPr>
        <w:t>mln. eurų mažiau, negu buvo išmokėta per 2017 metus</w:t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B84A88">
        <w:rPr>
          <w:rFonts w:ascii="Times New Roman" w:hAnsi="Times New Roman"/>
          <w:sz w:val="22"/>
          <w:szCs w:val="22"/>
          <w:lang w:val="lt-LT"/>
        </w:rPr>
        <w:t>(1,463 mln. eurų).</w:t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B84A88">
        <w:rPr>
          <w:rFonts w:ascii="Times New Roman" w:hAnsi="Times New Roman"/>
          <w:sz w:val="22"/>
          <w:szCs w:val="22"/>
          <w:lang w:val="lt-LT"/>
        </w:rPr>
        <w:t>INVEGA nuo veiklos pradžios (nuo 2002 m.) garantijų</w:t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B84A88">
        <w:rPr>
          <w:rFonts w:ascii="Times New Roman" w:hAnsi="Times New Roman"/>
          <w:sz w:val="22"/>
          <w:szCs w:val="22"/>
          <w:lang w:val="lt-LT"/>
        </w:rPr>
        <w:t>gavėjams jau yra išmokėjusi 23,027 mln. eurų</w:t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B84A88">
        <w:rPr>
          <w:rFonts w:ascii="Times New Roman" w:hAnsi="Times New Roman"/>
          <w:sz w:val="22"/>
          <w:szCs w:val="22"/>
          <w:lang w:val="lt-LT"/>
        </w:rPr>
        <w:t>garantijų išmokų.</w:t>
      </w:r>
    </w:p>
    <w:p w:rsidR="0067188B" w:rsidRDefault="0067188B" w:rsidP="00315B95">
      <w:pPr>
        <w:jc w:val="both"/>
        <w:rPr>
          <w:rFonts w:ascii="Times New Roman" w:hAnsi="Times New Roman"/>
          <w:b/>
          <w:sz w:val="22"/>
          <w:szCs w:val="22"/>
          <w:lang w:val="lt-LT"/>
        </w:rPr>
      </w:pPr>
    </w:p>
    <w:p w:rsidR="00315B95" w:rsidRDefault="00315B95" w:rsidP="00315B95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315B95">
        <w:rPr>
          <w:rFonts w:ascii="Times New Roman" w:hAnsi="Times New Roman"/>
          <w:b/>
          <w:sz w:val="22"/>
          <w:szCs w:val="22"/>
          <w:lang w:val="lt-LT"/>
        </w:rPr>
        <w:t>Per 2018 m. paskolų priemonėms</w:t>
      </w:r>
      <w:r>
        <w:rPr>
          <w:rFonts w:ascii="Times New Roman" w:hAnsi="Times New Roman"/>
          <w:sz w:val="22"/>
          <w:szCs w:val="22"/>
          <w:lang w:val="lt-LT"/>
        </w:rPr>
        <w:t xml:space="preserve"> skirt</w:t>
      </w:r>
      <w:r w:rsidR="00387726">
        <w:rPr>
          <w:rFonts w:ascii="Times New Roman" w:hAnsi="Times New Roman"/>
          <w:sz w:val="22"/>
          <w:szCs w:val="22"/>
          <w:lang w:val="lt-LT"/>
        </w:rPr>
        <w:t>os</w:t>
      </w:r>
      <w:r>
        <w:rPr>
          <w:rFonts w:ascii="Times New Roman" w:hAnsi="Times New Roman"/>
          <w:sz w:val="22"/>
          <w:szCs w:val="22"/>
          <w:lang w:val="lt-LT"/>
        </w:rPr>
        <w:t xml:space="preserve"> sum</w:t>
      </w:r>
      <w:r w:rsidR="00387726">
        <w:rPr>
          <w:rFonts w:ascii="Times New Roman" w:hAnsi="Times New Roman"/>
          <w:sz w:val="22"/>
          <w:szCs w:val="22"/>
          <w:lang w:val="lt-LT"/>
        </w:rPr>
        <w:t>os</w:t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315B95">
        <w:rPr>
          <w:rFonts w:ascii="Times New Roman" w:hAnsi="Times New Roman"/>
          <w:b/>
          <w:sz w:val="22"/>
          <w:szCs w:val="22"/>
          <w:lang w:val="lt-LT"/>
        </w:rPr>
        <w:t>156,89 mln.</w:t>
      </w:r>
      <w:r>
        <w:rPr>
          <w:rFonts w:ascii="Times New Roman" w:hAnsi="Times New Roman"/>
          <w:sz w:val="22"/>
          <w:szCs w:val="22"/>
          <w:lang w:val="lt-LT"/>
        </w:rPr>
        <w:t xml:space="preserve"> eurų, </w:t>
      </w:r>
      <w:r w:rsidR="00387726">
        <w:rPr>
          <w:rFonts w:ascii="Times New Roman" w:hAnsi="Times New Roman"/>
          <w:sz w:val="22"/>
          <w:szCs w:val="22"/>
          <w:lang w:val="lt-LT"/>
        </w:rPr>
        <w:t xml:space="preserve">panaudota </w:t>
      </w:r>
      <w:r w:rsidR="00387726" w:rsidRPr="00387726">
        <w:rPr>
          <w:rFonts w:ascii="Times New Roman" w:hAnsi="Times New Roman"/>
          <w:sz w:val="22"/>
          <w:szCs w:val="22"/>
          <w:lang w:val="lt-LT"/>
        </w:rPr>
        <w:t>41</w:t>
      </w:r>
      <w:r w:rsidR="00387726">
        <w:rPr>
          <w:rFonts w:ascii="Times New Roman" w:hAnsi="Times New Roman"/>
          <w:sz w:val="22"/>
          <w:szCs w:val="22"/>
          <w:lang w:val="lt-LT"/>
        </w:rPr>
        <w:t xml:space="preserve"> proc., o</w:t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387726">
        <w:rPr>
          <w:rFonts w:ascii="Times New Roman" w:hAnsi="Times New Roman"/>
          <w:sz w:val="22"/>
          <w:szCs w:val="22"/>
          <w:lang w:val="lt-LT"/>
        </w:rPr>
        <w:t>tai</w:t>
      </w:r>
      <w:r w:rsidRPr="00315B95">
        <w:rPr>
          <w:rFonts w:ascii="Times New Roman" w:hAnsi="Times New Roman"/>
          <w:sz w:val="22"/>
          <w:szCs w:val="22"/>
          <w:lang w:val="lt-LT"/>
        </w:rPr>
        <w:t xml:space="preserve"> sudaro </w:t>
      </w:r>
      <w:r w:rsidRPr="00387726">
        <w:rPr>
          <w:rFonts w:ascii="Times New Roman" w:hAnsi="Times New Roman"/>
          <w:b/>
          <w:sz w:val="22"/>
          <w:szCs w:val="22"/>
          <w:lang w:val="lt-LT"/>
        </w:rPr>
        <w:t>102.5 proc.</w:t>
      </w:r>
      <w:r w:rsidRPr="00315B95">
        <w:rPr>
          <w:rFonts w:ascii="Times New Roman" w:hAnsi="Times New Roman"/>
          <w:sz w:val="22"/>
          <w:szCs w:val="22"/>
          <w:lang w:val="lt-LT"/>
        </w:rPr>
        <w:t xml:space="preserve"> nuo</w:t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315B95">
        <w:rPr>
          <w:rFonts w:ascii="Times New Roman" w:hAnsi="Times New Roman"/>
          <w:sz w:val="22"/>
          <w:szCs w:val="22"/>
          <w:lang w:val="lt-LT"/>
        </w:rPr>
        <w:t>INVEGOS strateginiame plane nustatyto rodiklio.</w:t>
      </w:r>
    </w:p>
    <w:p w:rsidR="00315B95" w:rsidRDefault="00315B95" w:rsidP="00315B95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:rsidR="00315B95" w:rsidRDefault="00315B95" w:rsidP="00315B95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387726">
        <w:rPr>
          <w:rFonts w:ascii="Times New Roman" w:hAnsi="Times New Roman"/>
          <w:b/>
          <w:sz w:val="22"/>
          <w:szCs w:val="22"/>
          <w:lang w:val="lt-LT"/>
        </w:rPr>
        <w:t>Per 2018 m. iš rizikos kapitalo priemonėms</w:t>
      </w:r>
      <w:r>
        <w:rPr>
          <w:rFonts w:ascii="Times New Roman" w:hAnsi="Times New Roman"/>
          <w:sz w:val="22"/>
          <w:szCs w:val="22"/>
          <w:lang w:val="lt-LT"/>
        </w:rPr>
        <w:t xml:space="preserve"> skirtų </w:t>
      </w:r>
      <w:r w:rsidRPr="00387726">
        <w:rPr>
          <w:rFonts w:ascii="Times New Roman" w:hAnsi="Times New Roman"/>
          <w:b/>
          <w:sz w:val="22"/>
          <w:szCs w:val="22"/>
          <w:lang w:val="lt-LT"/>
        </w:rPr>
        <w:t>109,39 mln.</w:t>
      </w:r>
      <w:r>
        <w:rPr>
          <w:rFonts w:ascii="Times New Roman" w:hAnsi="Times New Roman"/>
          <w:sz w:val="22"/>
          <w:szCs w:val="22"/>
          <w:lang w:val="lt-LT"/>
        </w:rPr>
        <w:t xml:space="preserve"> eurų panaudota </w:t>
      </w:r>
      <w:r w:rsidRPr="00387726">
        <w:rPr>
          <w:rFonts w:ascii="Times New Roman" w:hAnsi="Times New Roman"/>
          <w:b/>
          <w:sz w:val="22"/>
          <w:szCs w:val="22"/>
          <w:lang w:val="lt-LT"/>
        </w:rPr>
        <w:t>11 proc.</w:t>
      </w:r>
      <w:r>
        <w:rPr>
          <w:rFonts w:ascii="Times New Roman" w:hAnsi="Times New Roman"/>
          <w:sz w:val="22"/>
          <w:szCs w:val="22"/>
          <w:lang w:val="lt-LT"/>
        </w:rPr>
        <w:t xml:space="preserve"> o tai sudaro </w:t>
      </w:r>
      <w:r w:rsidRPr="00387726">
        <w:rPr>
          <w:rFonts w:ascii="Times New Roman" w:hAnsi="Times New Roman"/>
          <w:b/>
          <w:sz w:val="22"/>
          <w:szCs w:val="22"/>
          <w:lang w:val="lt-LT"/>
        </w:rPr>
        <w:t>66 proc.</w:t>
      </w:r>
      <w:r>
        <w:rPr>
          <w:rFonts w:ascii="Times New Roman" w:hAnsi="Times New Roman"/>
          <w:sz w:val="22"/>
          <w:szCs w:val="22"/>
          <w:lang w:val="lt-LT"/>
        </w:rPr>
        <w:t xml:space="preserve"> nuo strateginiame plane numatyto rodiklio. D</w:t>
      </w:r>
      <w:r w:rsidRPr="00315B95">
        <w:rPr>
          <w:rFonts w:ascii="Times New Roman" w:hAnsi="Times New Roman"/>
          <w:sz w:val="22"/>
          <w:szCs w:val="22"/>
          <w:lang w:val="lt-LT"/>
        </w:rPr>
        <w:t>idžioji dalis rizikos</w:t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315B95">
        <w:rPr>
          <w:rFonts w:ascii="Times New Roman" w:hAnsi="Times New Roman"/>
          <w:sz w:val="22"/>
          <w:szCs w:val="22"/>
          <w:lang w:val="lt-LT"/>
        </w:rPr>
        <w:t>kapitalo priemonių pradėtos įgyvendinti 2018 m.</w:t>
      </w:r>
      <w:r>
        <w:rPr>
          <w:rFonts w:ascii="Times New Roman" w:hAnsi="Times New Roman"/>
          <w:sz w:val="22"/>
          <w:szCs w:val="22"/>
          <w:lang w:val="lt-LT"/>
        </w:rPr>
        <w:t xml:space="preserve"> b</w:t>
      </w:r>
      <w:r w:rsidRPr="00315B95">
        <w:rPr>
          <w:rFonts w:ascii="Times New Roman" w:hAnsi="Times New Roman"/>
          <w:sz w:val="22"/>
          <w:szCs w:val="22"/>
          <w:lang w:val="lt-LT"/>
        </w:rPr>
        <w:t>e to, šios priemonės išsiskiria ilgu lėšų</w:t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315B95">
        <w:rPr>
          <w:rFonts w:ascii="Times New Roman" w:hAnsi="Times New Roman"/>
          <w:sz w:val="22"/>
          <w:szCs w:val="22"/>
          <w:lang w:val="lt-LT"/>
        </w:rPr>
        <w:t>investavimo laikotarpiu – atskirų priemonių atveju</w:t>
      </w:r>
      <w:r w:rsidR="00387726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315B95">
        <w:rPr>
          <w:rFonts w:ascii="Times New Roman" w:hAnsi="Times New Roman"/>
          <w:sz w:val="22"/>
          <w:szCs w:val="22"/>
          <w:lang w:val="lt-LT"/>
        </w:rPr>
        <w:t>priemonių lėšos bus investuojamos iki 2027 m.</w:t>
      </w:r>
    </w:p>
    <w:p w:rsidR="00771BFF" w:rsidRDefault="00771BFF" w:rsidP="00315B95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:rsidR="00B84A88" w:rsidRPr="00474140" w:rsidRDefault="00E13241" w:rsidP="00B84A88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B84A88">
        <w:rPr>
          <w:rFonts w:ascii="Times New Roman" w:hAnsi="Times New Roman"/>
          <w:b/>
          <w:sz w:val="22"/>
          <w:szCs w:val="22"/>
          <w:lang w:val="lt-LT"/>
        </w:rPr>
        <w:t>201</w:t>
      </w:r>
      <w:r w:rsidR="00AD21E3" w:rsidRPr="00B84A88">
        <w:rPr>
          <w:rFonts w:ascii="Times New Roman" w:hAnsi="Times New Roman"/>
          <w:b/>
          <w:sz w:val="22"/>
          <w:szCs w:val="22"/>
          <w:lang w:val="lt-LT"/>
        </w:rPr>
        <w:t xml:space="preserve">8 </w:t>
      </w:r>
      <w:r w:rsidRPr="00B84A88">
        <w:rPr>
          <w:rFonts w:ascii="Times New Roman" w:hAnsi="Times New Roman"/>
          <w:b/>
          <w:sz w:val="22"/>
          <w:szCs w:val="22"/>
          <w:lang w:val="lt-LT"/>
        </w:rPr>
        <w:t>meta</w:t>
      </w:r>
      <w:r w:rsidR="004E7BF0">
        <w:rPr>
          <w:rFonts w:ascii="Times New Roman" w:hAnsi="Times New Roman"/>
          <w:b/>
          <w:sz w:val="22"/>
          <w:szCs w:val="22"/>
          <w:lang w:val="lt-LT"/>
        </w:rPr>
        <w:t xml:space="preserve">is </w:t>
      </w:r>
      <w:r w:rsidR="00B84A88" w:rsidRPr="00B84A88">
        <w:rPr>
          <w:rFonts w:ascii="Times New Roman" w:hAnsi="Times New Roman"/>
          <w:sz w:val="22"/>
          <w:szCs w:val="22"/>
          <w:lang w:val="lt-LT"/>
        </w:rPr>
        <w:t xml:space="preserve">bendra </w:t>
      </w:r>
      <w:r w:rsidR="00B84A88" w:rsidRPr="00A14239">
        <w:rPr>
          <w:rFonts w:ascii="Times New Roman" w:hAnsi="Times New Roman"/>
          <w:b/>
          <w:sz w:val="22"/>
          <w:szCs w:val="22"/>
          <w:lang w:val="lt-LT"/>
        </w:rPr>
        <w:t>pritrauktų privačių lėšų suma sudarė</w:t>
      </w:r>
      <w:r w:rsidR="00B84A88" w:rsidRPr="00B84A88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B84A88" w:rsidRPr="004E7BF0">
        <w:rPr>
          <w:rFonts w:ascii="Times New Roman" w:hAnsi="Times New Roman"/>
          <w:b/>
          <w:sz w:val="22"/>
          <w:szCs w:val="22"/>
          <w:lang w:val="lt-LT"/>
        </w:rPr>
        <w:t>299,34</w:t>
      </w:r>
      <w:r w:rsidR="00B84A88" w:rsidRPr="00B84A88">
        <w:rPr>
          <w:rFonts w:ascii="Times New Roman" w:hAnsi="Times New Roman"/>
          <w:sz w:val="22"/>
          <w:szCs w:val="22"/>
          <w:lang w:val="lt-LT"/>
        </w:rPr>
        <w:t xml:space="preserve"> mln. Eur, t. y. </w:t>
      </w:r>
      <w:r w:rsidR="00B84A88" w:rsidRPr="004E7BF0">
        <w:rPr>
          <w:rFonts w:ascii="Times New Roman" w:hAnsi="Times New Roman"/>
          <w:b/>
          <w:sz w:val="22"/>
          <w:szCs w:val="22"/>
          <w:lang w:val="lt-LT"/>
        </w:rPr>
        <w:t>106 proc.</w:t>
      </w:r>
      <w:r w:rsidR="00B84A88" w:rsidRPr="00B84A88">
        <w:rPr>
          <w:rFonts w:ascii="Times New Roman" w:hAnsi="Times New Roman"/>
          <w:sz w:val="22"/>
          <w:szCs w:val="22"/>
          <w:lang w:val="lt-LT"/>
        </w:rPr>
        <w:t xml:space="preserve"> nuo INVEGOS</w:t>
      </w:r>
      <w:r w:rsidR="004E7BF0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B84A88" w:rsidRPr="00B84A88">
        <w:rPr>
          <w:rFonts w:ascii="Times New Roman" w:hAnsi="Times New Roman"/>
          <w:sz w:val="22"/>
          <w:szCs w:val="22"/>
          <w:lang w:val="lt-LT"/>
        </w:rPr>
        <w:t>strateginiame plane nustatyto atitinkamo rodiklio.</w:t>
      </w:r>
      <w:r w:rsidR="004E7BF0">
        <w:rPr>
          <w:rFonts w:ascii="Times New Roman" w:hAnsi="Times New Roman"/>
          <w:sz w:val="22"/>
          <w:szCs w:val="22"/>
          <w:lang w:val="lt-LT"/>
        </w:rPr>
        <w:t xml:space="preserve"> Daugiausia privačių lėšų pritraukta per garantijų priemones. </w:t>
      </w:r>
    </w:p>
    <w:p w:rsidR="00670225" w:rsidRDefault="00670225" w:rsidP="00F05B2E">
      <w:pPr>
        <w:jc w:val="both"/>
        <w:rPr>
          <w:rFonts w:ascii="Times New Roman" w:hAnsi="Times New Roman"/>
          <w:b/>
          <w:sz w:val="22"/>
          <w:szCs w:val="22"/>
          <w:lang w:val="lt-LT"/>
        </w:rPr>
      </w:pPr>
    </w:p>
    <w:p w:rsidR="00E13241" w:rsidRPr="00474140" w:rsidRDefault="00E13241" w:rsidP="00F05B2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474140">
        <w:rPr>
          <w:rFonts w:ascii="Times New Roman" w:hAnsi="Times New Roman"/>
          <w:b/>
          <w:sz w:val="22"/>
          <w:szCs w:val="22"/>
          <w:lang w:val="lt-LT"/>
        </w:rPr>
        <w:t>Per 201</w:t>
      </w:r>
      <w:r w:rsidR="00C34173">
        <w:rPr>
          <w:rFonts w:ascii="Times New Roman" w:hAnsi="Times New Roman"/>
          <w:b/>
          <w:sz w:val="22"/>
          <w:szCs w:val="22"/>
          <w:lang w:val="lt-LT"/>
        </w:rPr>
        <w:t>8</w:t>
      </w:r>
      <w:r w:rsidRPr="00474140">
        <w:rPr>
          <w:rFonts w:ascii="Times New Roman" w:hAnsi="Times New Roman"/>
          <w:b/>
          <w:sz w:val="22"/>
          <w:szCs w:val="22"/>
          <w:lang w:val="lt-LT"/>
        </w:rPr>
        <w:t xml:space="preserve"> m. INVEGA uždirbo </w:t>
      </w:r>
      <w:r w:rsidR="004E7BF0" w:rsidRPr="004E7BF0">
        <w:rPr>
          <w:rFonts w:ascii="Times New Roman" w:hAnsi="Times New Roman"/>
          <w:b/>
          <w:sz w:val="22"/>
          <w:szCs w:val="22"/>
          <w:lang w:val="lt-LT"/>
        </w:rPr>
        <w:t>298</w:t>
      </w:r>
      <w:r w:rsidR="004E7BF0">
        <w:rPr>
          <w:rFonts w:ascii="Times New Roman" w:hAnsi="Times New Roman"/>
          <w:b/>
          <w:sz w:val="22"/>
          <w:szCs w:val="22"/>
          <w:lang w:val="lt-LT"/>
        </w:rPr>
        <w:t xml:space="preserve"> </w:t>
      </w:r>
      <w:r w:rsidR="004E7BF0" w:rsidRPr="004E7BF0">
        <w:rPr>
          <w:rFonts w:ascii="Times New Roman" w:hAnsi="Times New Roman"/>
          <w:b/>
          <w:sz w:val="22"/>
          <w:szCs w:val="22"/>
          <w:lang w:val="lt-LT"/>
        </w:rPr>
        <w:t xml:space="preserve">468 </w:t>
      </w:r>
      <w:r w:rsidR="004E7BF0">
        <w:rPr>
          <w:rFonts w:ascii="Times New Roman" w:hAnsi="Times New Roman"/>
          <w:b/>
          <w:sz w:val="22"/>
          <w:szCs w:val="22"/>
          <w:lang w:val="lt-LT"/>
        </w:rPr>
        <w:t>e</w:t>
      </w:r>
      <w:r w:rsidRPr="00474140">
        <w:rPr>
          <w:rFonts w:ascii="Times New Roman" w:hAnsi="Times New Roman"/>
          <w:b/>
          <w:sz w:val="22"/>
          <w:szCs w:val="22"/>
          <w:lang w:val="lt-LT"/>
        </w:rPr>
        <w:t xml:space="preserve">urų grynojo konsoliduoto pelno ir sumokėjo 312 tūkst. Eur. dividendų. </w:t>
      </w:r>
      <w:r w:rsidRPr="00474140">
        <w:rPr>
          <w:rFonts w:ascii="Times New Roman" w:hAnsi="Times New Roman"/>
          <w:sz w:val="22"/>
          <w:szCs w:val="22"/>
          <w:lang w:val="lt-LT"/>
        </w:rPr>
        <w:t>Bendrovės veikla buvo pelninga, mokumas bei likvidumas užtikrinti. 201</w:t>
      </w:r>
      <w:r w:rsidR="00670225">
        <w:rPr>
          <w:rFonts w:ascii="Times New Roman" w:hAnsi="Times New Roman"/>
          <w:sz w:val="22"/>
          <w:szCs w:val="22"/>
          <w:lang w:val="lt-LT"/>
        </w:rPr>
        <w:t>8</w:t>
      </w:r>
      <w:r w:rsidRPr="00474140">
        <w:rPr>
          <w:rFonts w:ascii="Times New Roman" w:hAnsi="Times New Roman"/>
          <w:sz w:val="22"/>
          <w:szCs w:val="22"/>
          <w:lang w:val="lt-LT"/>
        </w:rPr>
        <w:t xml:space="preserve"> m. veiklos pelno marža siekė </w:t>
      </w:r>
      <w:r w:rsidR="00C34173" w:rsidRPr="00C34173">
        <w:rPr>
          <w:rFonts w:ascii="Times New Roman" w:hAnsi="Times New Roman"/>
          <w:sz w:val="22"/>
          <w:szCs w:val="22"/>
          <w:lang w:val="lt-LT"/>
        </w:rPr>
        <w:t xml:space="preserve">21,37 </w:t>
      </w:r>
      <w:r w:rsidRPr="00474140">
        <w:rPr>
          <w:rFonts w:ascii="Times New Roman" w:hAnsi="Times New Roman"/>
          <w:sz w:val="22"/>
          <w:szCs w:val="22"/>
          <w:lang w:val="lt-LT"/>
        </w:rPr>
        <w:t>proc., nuosavo kapitalo grąž</w:t>
      </w:r>
      <w:r w:rsidR="00670225">
        <w:rPr>
          <w:rFonts w:ascii="Times New Roman" w:hAnsi="Times New Roman"/>
          <w:sz w:val="22"/>
          <w:szCs w:val="22"/>
          <w:lang w:val="lt-LT"/>
        </w:rPr>
        <w:t>os rodiklis</w:t>
      </w:r>
      <w:r w:rsidRPr="00474140">
        <w:rPr>
          <w:rFonts w:ascii="Times New Roman" w:hAnsi="Times New Roman"/>
          <w:sz w:val="22"/>
          <w:szCs w:val="22"/>
          <w:lang w:val="lt-LT"/>
        </w:rPr>
        <w:t xml:space="preserve"> – </w:t>
      </w:r>
      <w:r w:rsidR="00AD21E3">
        <w:rPr>
          <w:rFonts w:ascii="Times New Roman" w:hAnsi="Times New Roman"/>
          <w:sz w:val="22"/>
          <w:szCs w:val="22"/>
          <w:lang w:val="lt-LT"/>
        </w:rPr>
        <w:t>2.5</w:t>
      </w:r>
      <w:r w:rsidRPr="00474140">
        <w:rPr>
          <w:rFonts w:ascii="Times New Roman" w:hAnsi="Times New Roman"/>
          <w:sz w:val="22"/>
          <w:szCs w:val="22"/>
          <w:lang w:val="lt-LT"/>
        </w:rPr>
        <w:t xml:space="preserve"> proc. </w:t>
      </w:r>
    </w:p>
    <w:p w:rsidR="00670225" w:rsidRDefault="00670225" w:rsidP="00F05B2E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:rsidR="00670225" w:rsidRDefault="00E8360D" w:rsidP="00F05B2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FD564D">
        <w:rPr>
          <w:rFonts w:ascii="Times New Roman" w:hAnsi="Times New Roman"/>
          <w:b/>
          <w:sz w:val="22"/>
          <w:szCs w:val="22"/>
          <w:lang w:val="lt-LT"/>
        </w:rPr>
        <w:t>2018 m. gruodžio 3 d.</w:t>
      </w:r>
      <w:r w:rsidRPr="00474140">
        <w:rPr>
          <w:rFonts w:ascii="Times New Roman" w:hAnsi="Times New Roman"/>
          <w:sz w:val="22"/>
          <w:szCs w:val="22"/>
          <w:lang w:val="lt-LT"/>
        </w:rPr>
        <w:t xml:space="preserve"> Lietuvos banko priežiūros</w:t>
      </w:r>
      <w:r w:rsidR="00C34173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474140">
        <w:rPr>
          <w:rFonts w:ascii="Times New Roman" w:hAnsi="Times New Roman"/>
          <w:sz w:val="22"/>
          <w:szCs w:val="22"/>
          <w:lang w:val="lt-LT"/>
        </w:rPr>
        <w:t xml:space="preserve">tarnybos sprendimu </w:t>
      </w:r>
      <w:r w:rsidR="00C34173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474140">
        <w:rPr>
          <w:rFonts w:ascii="Times New Roman" w:hAnsi="Times New Roman"/>
          <w:sz w:val="22"/>
          <w:szCs w:val="22"/>
          <w:lang w:val="lt-LT"/>
        </w:rPr>
        <w:t xml:space="preserve">INVEGA yra pavesta vykdyti Nacionalinės plėtros įstaigos funkcijas </w:t>
      </w:r>
      <w:r w:rsidR="00FD564D">
        <w:rPr>
          <w:rFonts w:ascii="Times New Roman" w:hAnsi="Times New Roman"/>
          <w:sz w:val="22"/>
          <w:szCs w:val="22"/>
          <w:lang w:val="lt-LT"/>
        </w:rPr>
        <w:t>SVV</w:t>
      </w:r>
      <w:r w:rsidRPr="00474140">
        <w:rPr>
          <w:rFonts w:ascii="Times New Roman" w:hAnsi="Times New Roman"/>
          <w:sz w:val="22"/>
          <w:szCs w:val="22"/>
          <w:lang w:val="lt-LT"/>
        </w:rPr>
        <w:t xml:space="preserve"> ir ūkio subjektų veiklos pradžios, vykdymo ir plėtros srityse, įskaitant inovacijas srityse. Tai atveria kelią dar labiau išplėtoti skatinamojo finansavimo veiklą Lietuvoje. </w:t>
      </w:r>
    </w:p>
    <w:p w:rsidR="00FD564D" w:rsidRDefault="00FD564D" w:rsidP="00F05B2E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:rsidR="00967C69" w:rsidRPr="00474140" w:rsidRDefault="00E13241" w:rsidP="00F05B2E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474140">
        <w:rPr>
          <w:rFonts w:ascii="Times New Roman" w:hAnsi="Times New Roman"/>
          <w:b/>
          <w:sz w:val="22"/>
          <w:szCs w:val="22"/>
          <w:lang w:val="lt-LT"/>
        </w:rPr>
        <w:t>Dalykinio vertinimo išvada:</w:t>
      </w:r>
      <w:r w:rsidRPr="00474140">
        <w:rPr>
          <w:rFonts w:ascii="Times New Roman" w:hAnsi="Times New Roman"/>
          <w:sz w:val="22"/>
          <w:szCs w:val="22"/>
          <w:lang w:val="lt-LT"/>
        </w:rPr>
        <w:t xml:space="preserve"> siūlytina klausimą svarstyti Vyriausybės pasitarime. </w:t>
      </w:r>
    </w:p>
    <w:p w:rsidR="00273E02" w:rsidRPr="00474140" w:rsidRDefault="00273E02" w:rsidP="009028A5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:rsidR="00E13241" w:rsidRPr="00474140" w:rsidRDefault="00E13241" w:rsidP="009028A5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:rsidR="00E13241" w:rsidRPr="00E13241" w:rsidRDefault="001B020B" w:rsidP="009028A5">
      <w:pPr>
        <w:jc w:val="both"/>
        <w:rPr>
          <w:rFonts w:ascii="Times New Roman" w:hAnsi="Times New Roman"/>
          <w:sz w:val="23"/>
          <w:szCs w:val="23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P</w:t>
      </w:r>
      <w:r w:rsidR="00E13241" w:rsidRPr="00474140">
        <w:rPr>
          <w:rFonts w:ascii="Times New Roman" w:hAnsi="Times New Roman"/>
          <w:sz w:val="22"/>
          <w:szCs w:val="22"/>
          <w:lang w:val="lt-LT"/>
        </w:rPr>
        <w:t xml:space="preserve">atarėja                                                                                                       </w:t>
      </w:r>
      <w:r w:rsidR="00E13241" w:rsidRPr="00E13241">
        <w:rPr>
          <w:rFonts w:ascii="Times New Roman" w:hAnsi="Times New Roman"/>
          <w:sz w:val="23"/>
          <w:szCs w:val="23"/>
          <w:lang w:val="lt-LT"/>
        </w:rPr>
        <w:t>Šarūnė Navickaitė-</w:t>
      </w:r>
      <w:proofErr w:type="spellStart"/>
      <w:r w:rsidR="00E13241" w:rsidRPr="00E13241">
        <w:rPr>
          <w:rFonts w:ascii="Times New Roman" w:hAnsi="Times New Roman"/>
          <w:sz w:val="23"/>
          <w:szCs w:val="23"/>
          <w:lang w:val="lt-LT"/>
        </w:rPr>
        <w:t>Dulaitienė</w:t>
      </w:r>
      <w:proofErr w:type="spellEnd"/>
      <w:r w:rsidR="00E13241" w:rsidRPr="00E13241">
        <w:rPr>
          <w:rFonts w:ascii="Times New Roman" w:hAnsi="Times New Roman"/>
          <w:sz w:val="23"/>
          <w:szCs w:val="23"/>
          <w:lang w:val="lt-LT"/>
        </w:rPr>
        <w:t xml:space="preserve"> </w:t>
      </w:r>
    </w:p>
    <w:sectPr w:rsidR="00E13241" w:rsidRPr="00E13241" w:rsidSect="00E13241">
      <w:pgSz w:w="11906" w:h="16838" w:code="9"/>
      <w:pgMar w:top="426" w:right="964" w:bottom="964" w:left="153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0498F"/>
    <w:multiLevelType w:val="hybridMultilevel"/>
    <w:tmpl w:val="5FEE997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9057A4"/>
    <w:multiLevelType w:val="hybridMultilevel"/>
    <w:tmpl w:val="CAEA320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17DB8"/>
    <w:multiLevelType w:val="singleLevel"/>
    <w:tmpl w:val="906C11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159"/>
    <w:rsid w:val="0004085F"/>
    <w:rsid w:val="00047D23"/>
    <w:rsid w:val="00094C32"/>
    <w:rsid w:val="000C75E2"/>
    <w:rsid w:val="000D163A"/>
    <w:rsid w:val="001624BB"/>
    <w:rsid w:val="001B020B"/>
    <w:rsid w:val="001B2A9A"/>
    <w:rsid w:val="001C2529"/>
    <w:rsid w:val="00250194"/>
    <w:rsid w:val="0026223D"/>
    <w:rsid w:val="00264038"/>
    <w:rsid w:val="00273E02"/>
    <w:rsid w:val="00290D38"/>
    <w:rsid w:val="00292A5A"/>
    <w:rsid w:val="002A0E69"/>
    <w:rsid w:val="002B25D9"/>
    <w:rsid w:val="002C1E7A"/>
    <w:rsid w:val="00315B95"/>
    <w:rsid w:val="0032499F"/>
    <w:rsid w:val="00366DD4"/>
    <w:rsid w:val="00387726"/>
    <w:rsid w:val="00392A22"/>
    <w:rsid w:val="003B2A29"/>
    <w:rsid w:val="003C2095"/>
    <w:rsid w:val="003C7668"/>
    <w:rsid w:val="003D3745"/>
    <w:rsid w:val="003E3E8F"/>
    <w:rsid w:val="00422618"/>
    <w:rsid w:val="00425725"/>
    <w:rsid w:val="0044363F"/>
    <w:rsid w:val="00474140"/>
    <w:rsid w:val="00481FE2"/>
    <w:rsid w:val="00484E02"/>
    <w:rsid w:val="004B6835"/>
    <w:rsid w:val="004C60E2"/>
    <w:rsid w:val="004E7BF0"/>
    <w:rsid w:val="004F34B7"/>
    <w:rsid w:val="00502A37"/>
    <w:rsid w:val="00535EA4"/>
    <w:rsid w:val="00536118"/>
    <w:rsid w:val="00587331"/>
    <w:rsid w:val="005E2DB3"/>
    <w:rsid w:val="005F2C35"/>
    <w:rsid w:val="0060628C"/>
    <w:rsid w:val="006371D3"/>
    <w:rsid w:val="00643B8D"/>
    <w:rsid w:val="00661A9A"/>
    <w:rsid w:val="00667F00"/>
    <w:rsid w:val="00670225"/>
    <w:rsid w:val="0067188B"/>
    <w:rsid w:val="00682DF4"/>
    <w:rsid w:val="006E182C"/>
    <w:rsid w:val="006F5848"/>
    <w:rsid w:val="006F6A97"/>
    <w:rsid w:val="00703B8E"/>
    <w:rsid w:val="00750159"/>
    <w:rsid w:val="00771BFF"/>
    <w:rsid w:val="007928A7"/>
    <w:rsid w:val="008158E8"/>
    <w:rsid w:val="00825926"/>
    <w:rsid w:val="00843678"/>
    <w:rsid w:val="00856BCA"/>
    <w:rsid w:val="0089376C"/>
    <w:rsid w:val="008F7F70"/>
    <w:rsid w:val="009028A5"/>
    <w:rsid w:val="009234BF"/>
    <w:rsid w:val="00944486"/>
    <w:rsid w:val="00967C69"/>
    <w:rsid w:val="009A0AF6"/>
    <w:rsid w:val="009A777D"/>
    <w:rsid w:val="009E32AE"/>
    <w:rsid w:val="009F2A87"/>
    <w:rsid w:val="00A14239"/>
    <w:rsid w:val="00A42577"/>
    <w:rsid w:val="00A75380"/>
    <w:rsid w:val="00AB7CF1"/>
    <w:rsid w:val="00AD21E3"/>
    <w:rsid w:val="00AE4AC4"/>
    <w:rsid w:val="00AF174F"/>
    <w:rsid w:val="00AF235B"/>
    <w:rsid w:val="00B31A18"/>
    <w:rsid w:val="00B84A88"/>
    <w:rsid w:val="00BA6744"/>
    <w:rsid w:val="00BD68CF"/>
    <w:rsid w:val="00BD6A37"/>
    <w:rsid w:val="00C149B0"/>
    <w:rsid w:val="00C23340"/>
    <w:rsid w:val="00C30DD4"/>
    <w:rsid w:val="00C34173"/>
    <w:rsid w:val="00C7005E"/>
    <w:rsid w:val="00C7784E"/>
    <w:rsid w:val="00C820A4"/>
    <w:rsid w:val="00CB2E8E"/>
    <w:rsid w:val="00CF3BAB"/>
    <w:rsid w:val="00D50B7B"/>
    <w:rsid w:val="00D60E60"/>
    <w:rsid w:val="00D80645"/>
    <w:rsid w:val="00DD4E6A"/>
    <w:rsid w:val="00E03C09"/>
    <w:rsid w:val="00E12E60"/>
    <w:rsid w:val="00E13241"/>
    <w:rsid w:val="00E330F6"/>
    <w:rsid w:val="00E47A5C"/>
    <w:rsid w:val="00E614F7"/>
    <w:rsid w:val="00E80826"/>
    <w:rsid w:val="00E8360D"/>
    <w:rsid w:val="00EB0BF8"/>
    <w:rsid w:val="00EC5968"/>
    <w:rsid w:val="00EE48B3"/>
    <w:rsid w:val="00F05B2E"/>
    <w:rsid w:val="00FB6916"/>
    <w:rsid w:val="00FC6113"/>
    <w:rsid w:val="00FD564D"/>
    <w:rsid w:val="00FE1BE1"/>
    <w:rsid w:val="00FF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LT" w:hAnsi="TimesLT"/>
      <w:sz w:val="24"/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eformatted">
    <w:name w:val="Preformatted"/>
    <w:basedOn w:val="Normal"/>
    <w:rsid w:val="00E330F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lt-LT" w:eastAsia="en-US"/>
    </w:rPr>
  </w:style>
  <w:style w:type="paragraph" w:customStyle="1" w:styleId="Antraste">
    <w:name w:val="Antraste"/>
    <w:basedOn w:val="Normal"/>
    <w:link w:val="AntrasteChar"/>
    <w:qFormat/>
    <w:rsid w:val="005F2C35"/>
    <w:pPr>
      <w:jc w:val="center"/>
    </w:pPr>
    <w:rPr>
      <w:rFonts w:ascii="Times New Roman" w:hAnsi="Times New Roman"/>
      <w:b/>
      <w:caps/>
      <w:spacing w:val="-6"/>
      <w:lang w:val="lt-LT" w:eastAsia="ru-RU"/>
    </w:rPr>
  </w:style>
  <w:style w:type="character" w:customStyle="1" w:styleId="AntrasteChar">
    <w:name w:val="Antraste Char"/>
    <w:link w:val="Antraste"/>
    <w:rsid w:val="005F2C35"/>
    <w:rPr>
      <w:b/>
      <w:caps/>
      <w:spacing w:val="-6"/>
      <w:sz w:val="24"/>
      <w:lang w:eastAsia="ru-RU"/>
    </w:rPr>
  </w:style>
  <w:style w:type="table" w:styleId="TableGrid">
    <w:name w:val="Table Grid"/>
    <w:basedOn w:val="TableNormal"/>
    <w:uiPriority w:val="59"/>
    <w:rsid w:val="005F2C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67C69"/>
    <w:pPr>
      <w:spacing w:before="100" w:beforeAutospacing="1" w:after="100" w:afterAutospacing="1"/>
    </w:pPr>
    <w:rPr>
      <w:rFonts w:ascii="Times New Roman" w:hAnsi="Times New Roman"/>
      <w:szCs w:val="24"/>
      <w:lang w:val="lt-LT"/>
    </w:rPr>
  </w:style>
  <w:style w:type="character" w:customStyle="1" w:styleId="CharStyle7">
    <w:name w:val="Char Style 7"/>
    <w:link w:val="Style6"/>
    <w:rsid w:val="00967C69"/>
    <w:rPr>
      <w:b/>
      <w:bCs/>
      <w:sz w:val="23"/>
      <w:szCs w:val="23"/>
      <w:shd w:val="clear" w:color="auto" w:fill="FFFFFF"/>
    </w:rPr>
  </w:style>
  <w:style w:type="paragraph" w:customStyle="1" w:styleId="Style6">
    <w:name w:val="Style 6"/>
    <w:basedOn w:val="Normal"/>
    <w:link w:val="CharStyle7"/>
    <w:rsid w:val="00967C69"/>
    <w:pPr>
      <w:widowControl w:val="0"/>
      <w:shd w:val="clear" w:color="auto" w:fill="FFFFFF"/>
      <w:spacing w:before="140" w:after="140" w:line="254" w:lineRule="exact"/>
      <w:jc w:val="center"/>
      <w:outlineLvl w:val="0"/>
    </w:pPr>
    <w:rPr>
      <w:rFonts w:ascii="Times New Roman" w:hAnsi="Times New Roman"/>
      <w:b/>
      <w:bCs/>
      <w:sz w:val="23"/>
      <w:szCs w:val="23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LT" w:hAnsi="TimesLT"/>
      <w:sz w:val="24"/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eformatted">
    <w:name w:val="Preformatted"/>
    <w:basedOn w:val="Normal"/>
    <w:rsid w:val="00E330F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lt-LT" w:eastAsia="en-US"/>
    </w:rPr>
  </w:style>
  <w:style w:type="paragraph" w:customStyle="1" w:styleId="Antraste">
    <w:name w:val="Antraste"/>
    <w:basedOn w:val="Normal"/>
    <w:link w:val="AntrasteChar"/>
    <w:qFormat/>
    <w:rsid w:val="005F2C35"/>
    <w:pPr>
      <w:jc w:val="center"/>
    </w:pPr>
    <w:rPr>
      <w:rFonts w:ascii="Times New Roman" w:hAnsi="Times New Roman"/>
      <w:b/>
      <w:caps/>
      <w:spacing w:val="-6"/>
      <w:lang w:val="lt-LT" w:eastAsia="ru-RU"/>
    </w:rPr>
  </w:style>
  <w:style w:type="character" w:customStyle="1" w:styleId="AntrasteChar">
    <w:name w:val="Antraste Char"/>
    <w:link w:val="Antraste"/>
    <w:rsid w:val="005F2C35"/>
    <w:rPr>
      <w:b/>
      <w:caps/>
      <w:spacing w:val="-6"/>
      <w:sz w:val="24"/>
      <w:lang w:eastAsia="ru-RU"/>
    </w:rPr>
  </w:style>
  <w:style w:type="table" w:styleId="TableGrid">
    <w:name w:val="Table Grid"/>
    <w:basedOn w:val="TableNormal"/>
    <w:uiPriority w:val="59"/>
    <w:rsid w:val="005F2C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67C69"/>
    <w:pPr>
      <w:spacing w:before="100" w:beforeAutospacing="1" w:after="100" w:afterAutospacing="1"/>
    </w:pPr>
    <w:rPr>
      <w:rFonts w:ascii="Times New Roman" w:hAnsi="Times New Roman"/>
      <w:szCs w:val="24"/>
      <w:lang w:val="lt-LT"/>
    </w:rPr>
  </w:style>
  <w:style w:type="character" w:customStyle="1" w:styleId="CharStyle7">
    <w:name w:val="Char Style 7"/>
    <w:link w:val="Style6"/>
    <w:rsid w:val="00967C69"/>
    <w:rPr>
      <w:b/>
      <w:bCs/>
      <w:sz w:val="23"/>
      <w:szCs w:val="23"/>
      <w:shd w:val="clear" w:color="auto" w:fill="FFFFFF"/>
    </w:rPr>
  </w:style>
  <w:style w:type="paragraph" w:customStyle="1" w:styleId="Style6">
    <w:name w:val="Style 6"/>
    <w:basedOn w:val="Normal"/>
    <w:link w:val="CharStyle7"/>
    <w:rsid w:val="00967C69"/>
    <w:pPr>
      <w:widowControl w:val="0"/>
      <w:shd w:val="clear" w:color="auto" w:fill="FFFFFF"/>
      <w:spacing w:before="140" w:after="140" w:line="254" w:lineRule="exact"/>
      <w:jc w:val="center"/>
      <w:outlineLvl w:val="0"/>
    </w:pPr>
    <w:rPr>
      <w:rFonts w:ascii="Times New Roman" w:hAnsi="Times New Roman"/>
      <w:b/>
      <w:bCs/>
      <w:sz w:val="23"/>
      <w:szCs w:val="23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2292</Words>
  <Characters>1307</Characters>
  <Application>Microsoft Office Word</Application>
  <DocSecurity>4</DocSecurity>
  <Lines>10</Lines>
  <Paragraphs>7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PAŽYMA</vt:lpstr>
      <vt:lpstr>LIETUVOS RESPUBLIKOS VYRIAUSYBĖS KANCELIARIJOS</vt:lpstr>
      <vt:lpstr>EKONOMIKOS POLITIKOS GRUPĖS</vt:lpstr>
      <vt:lpstr>PAŽYMA</vt:lpstr>
    </vt:vector>
  </TitlesOfParts>
  <Company>LRVK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2019-05-03T12:04:00Z</dcterms:created>
  <dc:creator>LRVK</dc:creator>
  <cp:lastModifiedBy>Asseco</cp:lastModifiedBy>
  <cp:lastPrinted>2002-04-25T09:42:00Z</cp:lastPrinted>
  <dcterms:modified xsi:type="dcterms:W3CDTF">2019-05-03T12:04:00Z</dcterms:modified>
  <cp:revision>2</cp:revision>
  <dc:title>PAŽYMA</dc:title>
</cp:coreProperties>
</file>