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B59D" w14:textId="4C520361" w:rsidR="009D08A2" w:rsidRPr="00E74695" w:rsidRDefault="00AB5D22" w:rsidP="009D08A2">
      <w:pPr>
        <w:jc w:val="center"/>
        <w:rPr>
          <w:b/>
          <w:color w:val="000000"/>
          <w:szCs w:val="24"/>
        </w:rPr>
      </w:pPr>
      <w:r w:rsidRPr="00E74695">
        <w:rPr>
          <w:b/>
          <w:bCs/>
        </w:rPr>
        <w:t>LIETUVOS RESPUBLIKOS ATSINAUJINANČIŲ IŠTEKLIŲ ENERGETIKOS ĮSTATYMO NR. XI-1375</w:t>
      </w:r>
      <w:r w:rsidRPr="00E74695">
        <w:rPr>
          <w:b/>
          <w:bCs/>
          <w:szCs w:val="24"/>
          <w:lang w:eastAsia="lt-LT"/>
        </w:rPr>
        <w:t xml:space="preserve"> 1, 2, 3,</w:t>
      </w:r>
      <w:r w:rsidR="008F7FBD" w:rsidRPr="00E74695">
        <w:rPr>
          <w:b/>
          <w:bCs/>
          <w:szCs w:val="24"/>
          <w:lang w:eastAsia="lt-LT"/>
        </w:rPr>
        <w:t xml:space="preserve"> 5, 11,</w:t>
      </w:r>
      <w:r w:rsidRPr="00E74695">
        <w:rPr>
          <w:b/>
          <w:bCs/>
          <w:szCs w:val="24"/>
          <w:lang w:eastAsia="lt-LT"/>
        </w:rPr>
        <w:t xml:space="preserve"> 13, 16,</w:t>
      </w:r>
      <w:r w:rsidR="008F7FBD" w:rsidRPr="00E74695">
        <w:rPr>
          <w:b/>
          <w:bCs/>
          <w:szCs w:val="24"/>
          <w:lang w:eastAsia="lt-LT"/>
        </w:rPr>
        <w:t xml:space="preserve"> 18,</w:t>
      </w:r>
      <w:r w:rsidRPr="00E74695">
        <w:rPr>
          <w:b/>
          <w:bCs/>
          <w:szCs w:val="24"/>
          <w:lang w:eastAsia="lt-LT"/>
        </w:rPr>
        <w:t xml:space="preserve"> 20,  </w:t>
      </w:r>
      <w:r w:rsidR="008F7FBD" w:rsidRPr="00E74695">
        <w:rPr>
          <w:b/>
          <w:bCs/>
          <w:szCs w:val="24"/>
          <w:lang w:eastAsia="lt-LT"/>
        </w:rPr>
        <w:t>21</w:t>
      </w:r>
      <w:r w:rsidR="00E42627">
        <w:rPr>
          <w:b/>
          <w:bCs/>
          <w:szCs w:val="24"/>
          <w:vertAlign w:val="superscript"/>
          <w:lang w:eastAsia="lt-LT"/>
        </w:rPr>
        <w:t>1</w:t>
      </w:r>
      <w:r w:rsidR="008F7FBD" w:rsidRPr="00E74695">
        <w:rPr>
          <w:b/>
          <w:bCs/>
          <w:szCs w:val="24"/>
          <w:lang w:eastAsia="lt-LT"/>
        </w:rPr>
        <w:t xml:space="preserve">, 22, </w:t>
      </w:r>
      <w:r w:rsidRPr="00E74695">
        <w:rPr>
          <w:b/>
          <w:bCs/>
          <w:szCs w:val="24"/>
          <w:lang w:eastAsia="lt-LT"/>
        </w:rPr>
        <w:t xml:space="preserve">23, </w:t>
      </w:r>
      <w:r w:rsidR="008F7FBD" w:rsidRPr="00E74695">
        <w:rPr>
          <w:b/>
          <w:bCs/>
          <w:szCs w:val="24"/>
          <w:lang w:eastAsia="lt-LT"/>
        </w:rPr>
        <w:t>29</w:t>
      </w:r>
      <w:r w:rsidRPr="00E74695">
        <w:rPr>
          <w:b/>
          <w:bCs/>
          <w:szCs w:val="24"/>
          <w:lang w:eastAsia="lt-LT"/>
        </w:rPr>
        <w:t>, 49</w:t>
      </w:r>
      <w:r w:rsidR="001A21F3" w:rsidRPr="00E74695">
        <w:rPr>
          <w:b/>
          <w:bCs/>
          <w:szCs w:val="24"/>
          <w:lang w:eastAsia="lt-LT"/>
        </w:rPr>
        <w:t>, 50</w:t>
      </w:r>
      <w:r w:rsidR="00D027B9" w:rsidRPr="00E74695">
        <w:rPr>
          <w:b/>
          <w:bCs/>
          <w:szCs w:val="24"/>
          <w:lang w:eastAsia="lt-LT"/>
        </w:rPr>
        <w:t>, 55, 56, 57</w:t>
      </w:r>
      <w:r w:rsidR="008F7FBD" w:rsidRPr="00E74695">
        <w:rPr>
          <w:b/>
          <w:bCs/>
          <w:szCs w:val="24"/>
          <w:lang w:eastAsia="lt-LT"/>
        </w:rPr>
        <w:t>, 63</w:t>
      </w:r>
      <w:r w:rsidRPr="00E74695">
        <w:rPr>
          <w:b/>
          <w:bCs/>
          <w:szCs w:val="24"/>
          <w:lang w:eastAsia="lt-LT"/>
        </w:rPr>
        <w:t xml:space="preserve"> STRAIPSNIŲ</w:t>
      </w:r>
      <w:r w:rsidR="00CB5C7B" w:rsidRPr="00E74695">
        <w:rPr>
          <w:b/>
          <w:bCs/>
          <w:szCs w:val="24"/>
          <w:lang w:eastAsia="lt-LT"/>
        </w:rPr>
        <w:t xml:space="preserve"> IR DVYLIKTOJO SKIRSNIO PAVADINIMO</w:t>
      </w:r>
      <w:r w:rsidRPr="00E74695">
        <w:rPr>
          <w:b/>
          <w:bCs/>
          <w:szCs w:val="24"/>
          <w:lang w:eastAsia="lt-LT"/>
        </w:rPr>
        <w:t xml:space="preserve"> PAKEITIMO </w:t>
      </w:r>
      <w:r w:rsidR="00CB5C7B" w:rsidRPr="00E74695">
        <w:rPr>
          <w:b/>
          <w:bCs/>
          <w:szCs w:val="24"/>
          <w:lang w:eastAsia="lt-LT"/>
        </w:rPr>
        <w:t xml:space="preserve">, </w:t>
      </w:r>
      <w:r w:rsidRPr="00E74695">
        <w:rPr>
          <w:b/>
          <w:bCs/>
          <w:szCs w:val="24"/>
          <w:lang w:eastAsia="lt-LT"/>
        </w:rPr>
        <w:t>ĮSTATYMO PAPILDYMO 15</w:t>
      </w:r>
      <w:r w:rsidR="00CB5C7B" w:rsidRPr="00E74695">
        <w:rPr>
          <w:b/>
          <w:bCs/>
          <w:szCs w:val="24"/>
          <w:vertAlign w:val="superscript"/>
          <w:lang w:eastAsia="lt-LT"/>
        </w:rPr>
        <w:t>1</w:t>
      </w:r>
      <w:r w:rsidRPr="00E74695">
        <w:rPr>
          <w:b/>
          <w:bCs/>
          <w:szCs w:val="24"/>
          <w:lang w:eastAsia="lt-LT"/>
        </w:rPr>
        <w:t xml:space="preserve">  STRAIPSNIU</w:t>
      </w:r>
      <w:r w:rsidR="004C1285" w:rsidRPr="00E74695">
        <w:rPr>
          <w:b/>
          <w:bCs/>
          <w:szCs w:val="24"/>
          <w:lang w:eastAsia="lt-LT"/>
        </w:rPr>
        <w:t xml:space="preserve"> IR 54 STRAIPSNIO PRIPAŽINIMO NETEKUSIU GALIOS</w:t>
      </w:r>
      <w:r w:rsidRPr="00E74695">
        <w:rPr>
          <w:b/>
          <w:bCs/>
          <w:szCs w:val="24"/>
          <w:lang w:eastAsia="lt-LT"/>
        </w:rPr>
        <w:t xml:space="preserve"> ĮSTATYMO PROJEKTO </w:t>
      </w:r>
      <w:r w:rsidR="009D08A2" w:rsidRPr="00E74695">
        <w:rPr>
          <w:b/>
          <w:color w:val="000000"/>
          <w:szCs w:val="24"/>
        </w:rPr>
        <w:t>NUMATOMO TEISINIO REGULIAVIMO POVEIKIO VERTINIM</w:t>
      </w:r>
      <w:r w:rsidRPr="00E74695">
        <w:rPr>
          <w:b/>
          <w:color w:val="000000"/>
          <w:szCs w:val="24"/>
        </w:rPr>
        <w:t xml:space="preserve">O </w:t>
      </w:r>
      <w:r w:rsidR="009D08A2" w:rsidRPr="00E74695">
        <w:rPr>
          <w:b/>
          <w:color w:val="000000"/>
          <w:szCs w:val="24"/>
        </w:rPr>
        <w:t>PAŽYM</w:t>
      </w:r>
      <w:r w:rsidR="00F83FB6" w:rsidRPr="00E74695">
        <w:rPr>
          <w:b/>
          <w:color w:val="000000"/>
          <w:szCs w:val="24"/>
        </w:rPr>
        <w:t>A</w:t>
      </w:r>
    </w:p>
    <w:p w14:paraId="1C0BF1D9" w14:textId="77777777" w:rsidR="009D08A2" w:rsidRPr="00E74695" w:rsidRDefault="009D08A2" w:rsidP="009D08A2">
      <w:pPr>
        <w:rPr>
          <w:b/>
          <w:color w:val="0000FF"/>
          <w:szCs w:val="24"/>
        </w:rPr>
      </w:pPr>
    </w:p>
    <w:tbl>
      <w:tblPr>
        <w:tblW w:w="0" w:type="auto"/>
        <w:tblLook w:val="00A0" w:firstRow="1" w:lastRow="0" w:firstColumn="1" w:lastColumn="0" w:noHBand="0" w:noVBand="0"/>
      </w:tblPr>
      <w:tblGrid>
        <w:gridCol w:w="2235"/>
        <w:gridCol w:w="7337"/>
      </w:tblGrid>
      <w:tr w:rsidR="009D08A2" w:rsidRPr="00E74695" w14:paraId="066C1301" w14:textId="77777777" w:rsidTr="0014211B">
        <w:tc>
          <w:tcPr>
            <w:tcW w:w="2235" w:type="dxa"/>
            <w:shd w:val="clear" w:color="auto" w:fill="DBE5F1"/>
            <w:hideMark/>
          </w:tcPr>
          <w:p w14:paraId="1149D2F3" w14:textId="77777777" w:rsidR="009D08A2" w:rsidRPr="00E74695" w:rsidRDefault="009D08A2" w:rsidP="0014211B">
            <w:pPr>
              <w:rPr>
                <w:szCs w:val="24"/>
                <w:shd w:val="clear" w:color="auto" w:fill="DBE5F1"/>
              </w:rPr>
            </w:pPr>
            <w:r w:rsidRPr="00E74695">
              <w:rPr>
                <w:b/>
                <w:szCs w:val="24"/>
                <w:shd w:val="clear" w:color="auto" w:fill="DBE5F1"/>
              </w:rPr>
              <w:t>Projekto pavadinimas</w:t>
            </w:r>
          </w:p>
        </w:tc>
        <w:tc>
          <w:tcPr>
            <w:tcW w:w="7337" w:type="dxa"/>
            <w:shd w:val="clear" w:color="auto" w:fill="DBE5F1"/>
          </w:tcPr>
          <w:p w14:paraId="582E61D5" w14:textId="5E930680" w:rsidR="009D08A2" w:rsidRPr="00E74695" w:rsidRDefault="00AD367A" w:rsidP="005E75B4">
            <w:pPr>
              <w:tabs>
                <w:tab w:val="left" w:pos="993"/>
                <w:tab w:val="left" w:pos="6521"/>
              </w:tabs>
              <w:jc w:val="both"/>
              <w:rPr>
                <w:szCs w:val="24"/>
              </w:rPr>
            </w:pPr>
            <w:r w:rsidRPr="00E74695">
              <w:t xml:space="preserve">Lietuvos Respublikos atsinaujinančių išteklių energetikos įstatymo </w:t>
            </w:r>
            <w:r w:rsidR="00DB3FA0" w:rsidRPr="00E74695">
              <w:br/>
            </w:r>
            <w:r w:rsidRPr="00E74695">
              <w:t>Nr. XI-1375</w:t>
            </w:r>
            <w:r w:rsidR="00122F2B" w:rsidRPr="00E74695">
              <w:rPr>
                <w:szCs w:val="24"/>
                <w:lang w:eastAsia="lt-LT"/>
              </w:rPr>
              <w:t xml:space="preserve"> 1, 2, 3,</w:t>
            </w:r>
            <w:r w:rsidR="008F7FBD" w:rsidRPr="00E74695">
              <w:rPr>
                <w:szCs w:val="24"/>
                <w:lang w:eastAsia="lt-LT"/>
              </w:rPr>
              <w:t xml:space="preserve"> 5, 11,</w:t>
            </w:r>
            <w:r w:rsidR="00122F2B" w:rsidRPr="00E74695">
              <w:rPr>
                <w:szCs w:val="24"/>
                <w:lang w:eastAsia="lt-LT"/>
              </w:rPr>
              <w:t xml:space="preserve"> 13, 16,</w:t>
            </w:r>
            <w:r w:rsidR="008F7FBD" w:rsidRPr="00E74695">
              <w:rPr>
                <w:szCs w:val="24"/>
                <w:lang w:eastAsia="lt-LT"/>
              </w:rPr>
              <w:t xml:space="preserve"> 18,</w:t>
            </w:r>
            <w:r w:rsidR="00122F2B" w:rsidRPr="00E74695">
              <w:rPr>
                <w:szCs w:val="24"/>
                <w:lang w:eastAsia="lt-LT"/>
              </w:rPr>
              <w:t xml:space="preserve"> 20, </w:t>
            </w:r>
            <w:r w:rsidR="008F7FBD" w:rsidRPr="00E74695">
              <w:rPr>
                <w:szCs w:val="24"/>
                <w:lang w:eastAsia="lt-LT"/>
              </w:rPr>
              <w:t xml:space="preserve"> 21</w:t>
            </w:r>
            <w:r w:rsidR="00E42627">
              <w:rPr>
                <w:szCs w:val="24"/>
                <w:vertAlign w:val="superscript"/>
                <w:lang w:eastAsia="lt-LT"/>
              </w:rPr>
              <w:t>1</w:t>
            </w:r>
            <w:r w:rsidR="008F7FBD" w:rsidRPr="00E74695">
              <w:rPr>
                <w:szCs w:val="24"/>
                <w:lang w:eastAsia="lt-LT"/>
              </w:rPr>
              <w:t>, 22,</w:t>
            </w:r>
            <w:r w:rsidR="00122F2B" w:rsidRPr="00E74695">
              <w:rPr>
                <w:szCs w:val="24"/>
                <w:lang w:eastAsia="lt-LT"/>
              </w:rPr>
              <w:t xml:space="preserve"> 23,</w:t>
            </w:r>
            <w:r w:rsidR="008F7FBD" w:rsidRPr="00E74695">
              <w:rPr>
                <w:szCs w:val="24"/>
                <w:lang w:eastAsia="lt-LT"/>
              </w:rPr>
              <w:t xml:space="preserve"> 29,</w:t>
            </w:r>
            <w:r w:rsidR="00122F2B" w:rsidRPr="00E74695">
              <w:rPr>
                <w:szCs w:val="24"/>
                <w:lang w:eastAsia="lt-LT"/>
              </w:rPr>
              <w:t xml:space="preserve"> 49</w:t>
            </w:r>
            <w:r w:rsidR="001A21F3" w:rsidRPr="00E74695">
              <w:rPr>
                <w:szCs w:val="24"/>
                <w:lang w:eastAsia="lt-LT"/>
              </w:rPr>
              <w:t>, 50</w:t>
            </w:r>
            <w:r w:rsidR="00663C08" w:rsidRPr="00E74695">
              <w:rPr>
                <w:szCs w:val="24"/>
                <w:lang w:eastAsia="lt-LT"/>
              </w:rPr>
              <w:t>, 55, 56, 57</w:t>
            </w:r>
            <w:r w:rsidR="00D128BD" w:rsidRPr="00E74695">
              <w:rPr>
                <w:szCs w:val="24"/>
                <w:lang w:eastAsia="lt-LT"/>
              </w:rPr>
              <w:t>, 63</w:t>
            </w:r>
            <w:r w:rsidR="00122F2B" w:rsidRPr="00E74695">
              <w:rPr>
                <w:szCs w:val="24"/>
                <w:lang w:eastAsia="lt-LT"/>
              </w:rPr>
              <w:t xml:space="preserve"> straipsnių</w:t>
            </w:r>
            <w:r w:rsidR="00663C08" w:rsidRPr="00E74695">
              <w:rPr>
                <w:szCs w:val="24"/>
                <w:lang w:eastAsia="lt-LT"/>
              </w:rPr>
              <w:t xml:space="preserve"> ir dvyliktojo skirsnio pavadinimo</w:t>
            </w:r>
            <w:r w:rsidR="00122F2B" w:rsidRPr="00E74695">
              <w:rPr>
                <w:szCs w:val="24"/>
                <w:lang w:eastAsia="lt-LT"/>
              </w:rPr>
              <w:t xml:space="preserve"> pakeitimo</w:t>
            </w:r>
            <w:r w:rsidR="00663C08" w:rsidRPr="00E74695">
              <w:rPr>
                <w:szCs w:val="24"/>
                <w:lang w:eastAsia="lt-LT"/>
              </w:rPr>
              <w:t>, Į</w:t>
            </w:r>
            <w:r w:rsidR="00122F2B" w:rsidRPr="00E74695">
              <w:rPr>
                <w:szCs w:val="24"/>
                <w:lang w:eastAsia="lt-LT"/>
              </w:rPr>
              <w:t>statymo papildymo 15</w:t>
            </w:r>
            <w:r w:rsidR="00663C08" w:rsidRPr="00E74695">
              <w:rPr>
                <w:szCs w:val="24"/>
                <w:vertAlign w:val="superscript"/>
                <w:lang w:eastAsia="lt-LT"/>
              </w:rPr>
              <w:t>1</w:t>
            </w:r>
            <w:r w:rsidR="00122F2B" w:rsidRPr="00E74695">
              <w:rPr>
                <w:szCs w:val="24"/>
                <w:lang w:eastAsia="lt-LT"/>
              </w:rPr>
              <w:t xml:space="preserve"> straipsniu</w:t>
            </w:r>
            <w:r w:rsidR="00D027B9" w:rsidRPr="00E74695">
              <w:rPr>
                <w:szCs w:val="24"/>
                <w:lang w:eastAsia="lt-LT"/>
              </w:rPr>
              <w:t xml:space="preserve"> ir 54 straipsnio pripažinimo netekusiu galios</w:t>
            </w:r>
            <w:r w:rsidR="00122F2B" w:rsidRPr="00E74695">
              <w:rPr>
                <w:szCs w:val="24"/>
                <w:lang w:eastAsia="lt-LT"/>
              </w:rPr>
              <w:t xml:space="preserve"> </w:t>
            </w:r>
            <w:r w:rsidR="00712023" w:rsidRPr="00E74695">
              <w:rPr>
                <w:szCs w:val="24"/>
                <w:lang w:eastAsia="lt-LT"/>
              </w:rPr>
              <w:t xml:space="preserve">įstatymo </w:t>
            </w:r>
            <w:r w:rsidR="00122F2B" w:rsidRPr="00E74695">
              <w:rPr>
                <w:szCs w:val="24"/>
                <w:lang w:eastAsia="lt-LT"/>
              </w:rPr>
              <w:t>projektas (</w:t>
            </w:r>
            <w:r w:rsidR="00F43955" w:rsidRPr="00E74695">
              <w:t>toliau – AIEĮ projektas)</w:t>
            </w:r>
          </w:p>
        </w:tc>
      </w:tr>
    </w:tbl>
    <w:p w14:paraId="7B21D30B" w14:textId="77777777" w:rsidR="009D08A2" w:rsidRPr="00E74695" w:rsidRDefault="009D08A2" w:rsidP="009D08A2">
      <w:pPr>
        <w:rPr>
          <w:szCs w:val="24"/>
        </w:rPr>
      </w:pPr>
    </w:p>
    <w:tbl>
      <w:tblPr>
        <w:tblW w:w="0" w:type="auto"/>
        <w:tblLook w:val="00A0" w:firstRow="1" w:lastRow="0" w:firstColumn="1" w:lastColumn="0" w:noHBand="0" w:noVBand="0"/>
      </w:tblPr>
      <w:tblGrid>
        <w:gridCol w:w="2235"/>
        <w:gridCol w:w="7337"/>
      </w:tblGrid>
      <w:tr w:rsidR="009D08A2" w:rsidRPr="00E74695" w14:paraId="4325F8F1" w14:textId="77777777" w:rsidTr="0014211B">
        <w:tc>
          <w:tcPr>
            <w:tcW w:w="2235" w:type="dxa"/>
            <w:shd w:val="clear" w:color="auto" w:fill="DBE5F1"/>
            <w:hideMark/>
          </w:tcPr>
          <w:p w14:paraId="5BAA4A5A" w14:textId="77777777" w:rsidR="009D08A2" w:rsidRPr="00E74695" w:rsidRDefault="009D08A2" w:rsidP="0014211B">
            <w:pPr>
              <w:rPr>
                <w:szCs w:val="24"/>
              </w:rPr>
            </w:pPr>
            <w:r w:rsidRPr="00E74695">
              <w:rPr>
                <w:b/>
                <w:szCs w:val="24"/>
                <w:shd w:val="clear" w:color="auto" w:fill="DBE5F1"/>
              </w:rPr>
              <w:t>Projekto rengėjas</w:t>
            </w:r>
          </w:p>
        </w:tc>
        <w:tc>
          <w:tcPr>
            <w:tcW w:w="7337" w:type="dxa"/>
            <w:shd w:val="clear" w:color="auto" w:fill="DBE5F1"/>
            <w:hideMark/>
          </w:tcPr>
          <w:p w14:paraId="2EF33431" w14:textId="77777777" w:rsidR="009D08A2" w:rsidRPr="00E74695" w:rsidRDefault="009D08A2" w:rsidP="0014211B">
            <w:pPr>
              <w:jc w:val="both"/>
              <w:rPr>
                <w:b/>
                <w:szCs w:val="24"/>
              </w:rPr>
            </w:pPr>
            <w:r w:rsidRPr="00E74695">
              <w:rPr>
                <w:szCs w:val="24"/>
              </w:rPr>
              <w:t>Lietuvos Respublikos energetikos ministerija</w:t>
            </w:r>
          </w:p>
        </w:tc>
      </w:tr>
    </w:tbl>
    <w:p w14:paraId="22CC17C9" w14:textId="77777777" w:rsidR="009D08A2" w:rsidRPr="00E74695" w:rsidRDefault="009D08A2" w:rsidP="009D08A2">
      <w:pPr>
        <w:rPr>
          <w:szCs w:val="24"/>
        </w:rPr>
      </w:pPr>
    </w:p>
    <w:tbl>
      <w:tblPr>
        <w:tblW w:w="0" w:type="auto"/>
        <w:tblLook w:val="00A0" w:firstRow="1" w:lastRow="0" w:firstColumn="1" w:lastColumn="0" w:noHBand="0" w:noVBand="0"/>
      </w:tblPr>
      <w:tblGrid>
        <w:gridCol w:w="2235"/>
        <w:gridCol w:w="7337"/>
      </w:tblGrid>
      <w:tr w:rsidR="009D08A2" w:rsidRPr="00E74695" w14:paraId="40FEBF43" w14:textId="77777777" w:rsidTr="0014211B">
        <w:tc>
          <w:tcPr>
            <w:tcW w:w="2235" w:type="dxa"/>
            <w:shd w:val="clear" w:color="auto" w:fill="DBE5F1"/>
            <w:hideMark/>
          </w:tcPr>
          <w:p w14:paraId="0AB93285" w14:textId="77777777" w:rsidR="009D08A2" w:rsidRPr="00E74695" w:rsidRDefault="009D08A2" w:rsidP="0014211B">
            <w:pPr>
              <w:rPr>
                <w:b/>
                <w:szCs w:val="24"/>
              </w:rPr>
            </w:pPr>
            <w:r w:rsidRPr="00E74695">
              <w:rPr>
                <w:b/>
                <w:szCs w:val="24"/>
              </w:rPr>
              <w:t>Projekto tikslas</w:t>
            </w:r>
          </w:p>
        </w:tc>
        <w:tc>
          <w:tcPr>
            <w:tcW w:w="7337" w:type="dxa"/>
            <w:shd w:val="clear" w:color="auto" w:fill="DBE5F1"/>
            <w:hideMark/>
          </w:tcPr>
          <w:p w14:paraId="79DA0A73" w14:textId="525CBF01" w:rsidR="006346FC" w:rsidRPr="00E74695" w:rsidRDefault="006346FC" w:rsidP="000E0EF3">
            <w:pPr>
              <w:jc w:val="both"/>
              <w:rPr>
                <w:szCs w:val="24"/>
              </w:rPr>
            </w:pPr>
            <w:r w:rsidRPr="00E74695">
              <w:rPr>
                <w:szCs w:val="24"/>
              </w:rPr>
              <w:t>AIE</w:t>
            </w:r>
            <w:r w:rsidR="00936C15" w:rsidRPr="00E74695">
              <w:rPr>
                <w:szCs w:val="24"/>
              </w:rPr>
              <w:t>Į</w:t>
            </w:r>
            <w:r w:rsidRPr="00E74695">
              <w:rPr>
                <w:szCs w:val="24"/>
              </w:rPr>
              <w:t xml:space="preserve"> </w:t>
            </w:r>
            <w:r w:rsidR="00936C15" w:rsidRPr="00E74695">
              <w:rPr>
                <w:szCs w:val="24"/>
              </w:rPr>
              <w:t>projekt</w:t>
            </w:r>
            <w:r w:rsidRPr="00E74695">
              <w:rPr>
                <w:szCs w:val="24"/>
              </w:rPr>
              <w:t>u siekiama:</w:t>
            </w:r>
          </w:p>
          <w:p w14:paraId="09B28A3E" w14:textId="7ED5CD3F" w:rsidR="005E56EB" w:rsidRPr="00E74695" w:rsidRDefault="005E56EB" w:rsidP="005E56EB">
            <w:pPr>
              <w:pStyle w:val="doc-ti"/>
              <w:tabs>
                <w:tab w:val="left" w:pos="993"/>
              </w:tabs>
              <w:spacing w:before="0" w:after="0"/>
              <w:jc w:val="both"/>
              <w:rPr>
                <w:b w:val="0"/>
              </w:rPr>
            </w:pPr>
            <w:r w:rsidRPr="00E74695">
              <w:rPr>
                <w:b w:val="0"/>
              </w:rPr>
              <w:t xml:space="preserve">- įtvirtinti, kad VšĮ Lietuvos energetikos agentūra konsultuotų </w:t>
            </w:r>
            <w:r w:rsidR="00DF1D6A">
              <w:rPr>
                <w:b w:val="0"/>
              </w:rPr>
              <w:t>ir teiktų metodinę pagalba veiklos</w:t>
            </w:r>
            <w:r w:rsidRPr="00E74695">
              <w:rPr>
                <w:b w:val="0"/>
              </w:rPr>
              <w:t xml:space="preserve"> elektros energetikos sektoriuje klausimais, susijusiais su atsinaujinančius išteklius naudojančių elektrinių įrengimu ir statyba, t. y. padėtų viso su elektrinės įrengimu susijusio proceso metu – nuo elektrinės galios, rūšies pasirinkimo, veiklos elektros energetikos sektoriuje (gamyba, gamyba ir vartojimas, elektros energiją gaminančio vartotojo veikla) tipo pasirinkimo iki jos realizavimo, taip pat teiktų konsultacijas paramos atsinaujinančių išteklių naudojimo klausimais;</w:t>
            </w:r>
          </w:p>
          <w:p w14:paraId="54F70862" w14:textId="25BAFECC" w:rsidR="00531EBC" w:rsidRPr="00E74695" w:rsidRDefault="005E56EB" w:rsidP="005E56EB">
            <w:pPr>
              <w:pStyle w:val="doc-ti"/>
              <w:tabs>
                <w:tab w:val="left" w:pos="993"/>
              </w:tabs>
              <w:spacing w:before="0" w:after="0"/>
              <w:jc w:val="both"/>
              <w:rPr>
                <w:b w:val="0"/>
              </w:rPr>
            </w:pPr>
            <w:r w:rsidRPr="00E74695">
              <w:rPr>
                <w:b w:val="0"/>
              </w:rPr>
              <w:t xml:space="preserve">- </w:t>
            </w:r>
            <w:r w:rsidR="00D128BD" w:rsidRPr="00E74695">
              <w:rPr>
                <w:b w:val="0"/>
              </w:rPr>
              <w:t xml:space="preserve">reglamentuoti </w:t>
            </w:r>
            <w:r w:rsidR="00316878" w:rsidRPr="00E74695">
              <w:rPr>
                <w:b w:val="0"/>
              </w:rPr>
              <w:t>atsinaujinančius išteklius naudojančių elektrinių</w:t>
            </w:r>
            <w:r w:rsidR="00DE12C5" w:rsidRPr="00E74695">
              <w:rPr>
                <w:b w:val="0"/>
              </w:rPr>
              <w:t>, numatomų plėtoti Lietuvos jūrinėje teritorijoje,</w:t>
            </w:r>
            <w:r w:rsidR="00316878" w:rsidRPr="00E74695">
              <w:rPr>
                <w:b w:val="0"/>
              </w:rPr>
              <w:t xml:space="preserve"> prijungimą prie elektros tinklų</w:t>
            </w:r>
            <w:r w:rsidR="00DE12C5" w:rsidRPr="00E74695">
              <w:rPr>
                <w:b w:val="0"/>
              </w:rPr>
              <w:t xml:space="preserve">, </w:t>
            </w:r>
            <w:r w:rsidR="00825A75" w:rsidRPr="00E74695">
              <w:rPr>
                <w:b w:val="0"/>
              </w:rPr>
              <w:t xml:space="preserve">įtvirtinti aiškią </w:t>
            </w:r>
            <w:r w:rsidR="00376FA7" w:rsidRPr="00E74695">
              <w:rPr>
                <w:b w:val="0"/>
              </w:rPr>
              <w:t xml:space="preserve">paramos </w:t>
            </w:r>
            <w:r w:rsidR="000747F8" w:rsidRPr="00E74695">
              <w:rPr>
                <w:b w:val="0"/>
              </w:rPr>
              <w:t xml:space="preserve">šioms elektrinėms </w:t>
            </w:r>
            <w:r w:rsidR="00A65BAB">
              <w:rPr>
                <w:b w:val="0"/>
              </w:rPr>
              <w:t>paskirstymo</w:t>
            </w:r>
            <w:r w:rsidR="004E18A8">
              <w:rPr>
                <w:b w:val="0"/>
              </w:rPr>
              <w:t xml:space="preserve"> </w:t>
            </w:r>
            <w:r w:rsidR="000747F8" w:rsidRPr="00E74695">
              <w:rPr>
                <w:b w:val="0"/>
              </w:rPr>
              <w:t>schemą;</w:t>
            </w:r>
          </w:p>
          <w:p w14:paraId="639F3145" w14:textId="77777777" w:rsidR="00307D2E" w:rsidRDefault="00531EBC" w:rsidP="005E56EB">
            <w:pPr>
              <w:pStyle w:val="doc-ti"/>
              <w:tabs>
                <w:tab w:val="left" w:pos="993"/>
              </w:tabs>
              <w:spacing w:before="0" w:after="0"/>
              <w:jc w:val="both"/>
              <w:rPr>
                <w:b w:val="0"/>
              </w:rPr>
            </w:pPr>
            <w:r w:rsidRPr="00E74695">
              <w:rPr>
                <w:b w:val="0"/>
              </w:rPr>
              <w:t xml:space="preserve">- </w:t>
            </w:r>
            <w:r w:rsidR="00A65BAB">
              <w:rPr>
                <w:b w:val="0"/>
              </w:rPr>
              <w:t xml:space="preserve">nustatyti atsinaujinančių išteklių plėtros </w:t>
            </w:r>
            <w:r w:rsidR="00307D2E">
              <w:rPr>
                <w:b w:val="0"/>
              </w:rPr>
              <w:t>uždavinius iki 2030 metų;</w:t>
            </w:r>
          </w:p>
          <w:p w14:paraId="216E0FAB" w14:textId="561D8B50" w:rsidR="005E56EB" w:rsidRPr="00E74695" w:rsidRDefault="00307D2E" w:rsidP="005E56EB">
            <w:pPr>
              <w:pStyle w:val="doc-ti"/>
              <w:tabs>
                <w:tab w:val="left" w:pos="993"/>
              </w:tabs>
              <w:spacing w:before="0" w:after="0"/>
              <w:jc w:val="both"/>
              <w:rPr>
                <w:b w:val="0"/>
              </w:rPr>
            </w:pPr>
            <w:r>
              <w:rPr>
                <w:b w:val="0"/>
              </w:rPr>
              <w:t xml:space="preserve">- </w:t>
            </w:r>
            <w:r w:rsidR="007161E9">
              <w:rPr>
                <w:b w:val="0"/>
              </w:rPr>
              <w:t>užtikrinti savivaldybių indėlį į atsinaujinančių išteklių plėtrą šalies mastu</w:t>
            </w:r>
            <w:r w:rsidR="005E56EB" w:rsidRPr="00E74695">
              <w:rPr>
                <w:b w:val="0"/>
              </w:rPr>
              <w:t>.</w:t>
            </w:r>
          </w:p>
          <w:p w14:paraId="7DD3CA24" w14:textId="3A02306A" w:rsidR="009D08A2" w:rsidRPr="00E74695" w:rsidRDefault="009D08A2" w:rsidP="000E0EF3">
            <w:pPr>
              <w:jc w:val="both"/>
              <w:rPr>
                <w:szCs w:val="24"/>
              </w:rPr>
            </w:pPr>
          </w:p>
        </w:tc>
      </w:tr>
    </w:tbl>
    <w:p w14:paraId="07FC54AB" w14:textId="77777777" w:rsidR="009D08A2" w:rsidRPr="00E74695" w:rsidRDefault="009D08A2" w:rsidP="009D08A2">
      <w:pPr>
        <w:rPr>
          <w:szCs w:val="24"/>
        </w:rPr>
      </w:pPr>
    </w:p>
    <w:tbl>
      <w:tblPr>
        <w:tblW w:w="0" w:type="auto"/>
        <w:tblLook w:val="00A0" w:firstRow="1" w:lastRow="0" w:firstColumn="1" w:lastColumn="0" w:noHBand="0" w:noVBand="0"/>
      </w:tblPr>
      <w:tblGrid>
        <w:gridCol w:w="2164"/>
        <w:gridCol w:w="7334"/>
      </w:tblGrid>
      <w:tr w:rsidR="009D08A2" w:rsidRPr="00E74695" w14:paraId="1BC83B8C" w14:textId="77777777" w:rsidTr="00D40680">
        <w:trPr>
          <w:trHeight w:val="415"/>
        </w:trPr>
        <w:tc>
          <w:tcPr>
            <w:tcW w:w="2164" w:type="dxa"/>
            <w:shd w:val="clear" w:color="auto" w:fill="DBE5F1"/>
          </w:tcPr>
          <w:p w14:paraId="7648EA1A" w14:textId="77777777" w:rsidR="009D08A2" w:rsidRPr="00E74695" w:rsidRDefault="009D08A2" w:rsidP="0014211B">
            <w:pPr>
              <w:rPr>
                <w:szCs w:val="24"/>
              </w:rPr>
            </w:pPr>
          </w:p>
        </w:tc>
        <w:tc>
          <w:tcPr>
            <w:tcW w:w="7334" w:type="dxa"/>
            <w:shd w:val="clear" w:color="auto" w:fill="DBE5F1"/>
            <w:hideMark/>
          </w:tcPr>
          <w:p w14:paraId="6649DA4F" w14:textId="77777777" w:rsidR="009D08A2" w:rsidRPr="00E74695" w:rsidRDefault="009D08A2" w:rsidP="0014211B">
            <w:pPr>
              <w:jc w:val="center"/>
              <w:rPr>
                <w:b/>
                <w:szCs w:val="24"/>
              </w:rPr>
            </w:pPr>
            <w:r w:rsidRPr="00E74695">
              <w:rPr>
                <w:b/>
                <w:szCs w:val="24"/>
              </w:rPr>
              <w:t xml:space="preserve">Siūlomo projekto poveikio įvertinimas </w:t>
            </w:r>
          </w:p>
          <w:p w14:paraId="3A48F412" w14:textId="77777777" w:rsidR="009D08A2" w:rsidRPr="00E74695" w:rsidRDefault="009D08A2" w:rsidP="0014211B">
            <w:pPr>
              <w:jc w:val="center"/>
              <w:rPr>
                <w:b/>
                <w:szCs w:val="24"/>
              </w:rPr>
            </w:pPr>
            <w:r w:rsidRPr="00E74695">
              <w:rPr>
                <w:b/>
                <w:szCs w:val="24"/>
              </w:rPr>
              <w:t>(</w:t>
            </w:r>
            <w:r w:rsidRPr="00E74695">
              <w:rPr>
                <w:b/>
                <w:bCs/>
                <w:szCs w:val="24"/>
              </w:rPr>
              <w:t>teigiamos ir (ar) neigiamos pasekmės)</w:t>
            </w:r>
            <w:r w:rsidR="00770998" w:rsidRPr="00E74695" w:rsidDel="00770998">
              <w:rPr>
                <w:b/>
                <w:bCs/>
                <w:szCs w:val="24"/>
              </w:rPr>
              <w:t xml:space="preserve"> </w:t>
            </w:r>
          </w:p>
        </w:tc>
      </w:tr>
    </w:tbl>
    <w:p w14:paraId="6BA117A3" w14:textId="77777777" w:rsidR="009D08A2" w:rsidRPr="00E74695" w:rsidRDefault="009D08A2" w:rsidP="009D08A2">
      <w:pPr>
        <w:rPr>
          <w:szCs w:val="24"/>
        </w:rPr>
      </w:pPr>
    </w:p>
    <w:tbl>
      <w:tblPr>
        <w:tblW w:w="0" w:type="auto"/>
        <w:tblLook w:val="00A0" w:firstRow="1" w:lastRow="0" w:firstColumn="1" w:lastColumn="0" w:noHBand="0" w:noVBand="0"/>
      </w:tblPr>
      <w:tblGrid>
        <w:gridCol w:w="1843"/>
        <w:gridCol w:w="7796"/>
      </w:tblGrid>
      <w:tr w:rsidR="009D08A2" w:rsidRPr="00E74695" w14:paraId="40AA977D" w14:textId="77777777" w:rsidTr="0079043E">
        <w:tc>
          <w:tcPr>
            <w:tcW w:w="1843" w:type="dxa"/>
            <w:shd w:val="clear" w:color="auto" w:fill="DBE5F1"/>
          </w:tcPr>
          <w:p w14:paraId="1E14C7BF" w14:textId="77777777" w:rsidR="009D08A2" w:rsidRPr="00E74695" w:rsidRDefault="009D08A2" w:rsidP="0014211B">
            <w:pPr>
              <w:rPr>
                <w:b/>
                <w:szCs w:val="24"/>
              </w:rPr>
            </w:pPr>
            <w:r w:rsidRPr="00E74695">
              <w:rPr>
                <w:b/>
                <w:szCs w:val="24"/>
              </w:rPr>
              <w:t xml:space="preserve">Poveikis atitinkamai </w:t>
            </w:r>
          </w:p>
          <w:p w14:paraId="1E3FA3DC" w14:textId="77777777" w:rsidR="009D08A2" w:rsidRPr="00E74695" w:rsidRDefault="009D08A2" w:rsidP="0014211B">
            <w:pPr>
              <w:rPr>
                <w:b/>
                <w:szCs w:val="24"/>
              </w:rPr>
            </w:pPr>
            <w:r w:rsidRPr="00E74695">
              <w:rPr>
                <w:b/>
                <w:szCs w:val="24"/>
              </w:rPr>
              <w:t>sričiai</w:t>
            </w:r>
          </w:p>
        </w:tc>
        <w:tc>
          <w:tcPr>
            <w:tcW w:w="7796" w:type="dxa"/>
          </w:tcPr>
          <w:p w14:paraId="0A7DEE9D" w14:textId="4FAD72DF" w:rsidR="009D08A2" w:rsidRPr="00E74695" w:rsidRDefault="009D08A2" w:rsidP="0014211B">
            <w:pPr>
              <w:jc w:val="both"/>
              <w:rPr>
                <w:szCs w:val="24"/>
              </w:rPr>
            </w:pPr>
            <w:r w:rsidRPr="00E74695">
              <w:rPr>
                <w:szCs w:val="24"/>
              </w:rPr>
              <w:t>Sritis: elektros energetikos sektorius.</w:t>
            </w:r>
          </w:p>
          <w:p w14:paraId="360D6D53" w14:textId="1FFF3185" w:rsidR="001E4379" w:rsidRDefault="00FB5BF5" w:rsidP="005E75B4">
            <w:pPr>
              <w:pStyle w:val="Style29"/>
              <w:widowControl/>
              <w:tabs>
                <w:tab w:val="left" w:pos="360"/>
              </w:tabs>
              <w:spacing w:line="240" w:lineRule="auto"/>
              <w:ind w:firstLine="0"/>
            </w:pPr>
            <w:r w:rsidRPr="00E74695">
              <w:t xml:space="preserve">Galiojančiame Elektros energetikos įstatymo 16 straipsnyje nustatyta, kad leidimus veiklai elektros energetikos sektoriuje išduoda, sustabdo jų galiojimą, panaikina galiojimo sustabdymą, panaikina leidimų galiojimą, keičia, tikslina, leidimais reguliuojamą veiklą prižiūri Valstybinė energetikos reguliavimo taryba, tačiau </w:t>
            </w:r>
            <w:r w:rsidR="008F4B43" w:rsidRPr="00E74695">
              <w:t xml:space="preserve">nei šiame įstatyme, nei </w:t>
            </w:r>
            <w:r w:rsidR="00A674ED" w:rsidRPr="00E74695">
              <w:t xml:space="preserve">Lietuvos Respublikos atsinaujinančių išteklių energetikos įstatyme (toliau – AIE įstatymas) </w:t>
            </w:r>
            <w:r w:rsidRPr="00E74695">
              <w:t>nėra nustatyta, kuri įstaiga konsultuoja</w:t>
            </w:r>
            <w:r w:rsidR="00DF1D6A">
              <w:t xml:space="preserve"> ir teikia metodinę pagalbą</w:t>
            </w:r>
            <w:r w:rsidR="00E47DCE">
              <w:t xml:space="preserve"> </w:t>
            </w:r>
            <w:r w:rsidR="00825583">
              <w:t>veiklos</w:t>
            </w:r>
            <w:r w:rsidRPr="00E74695">
              <w:t xml:space="preserve"> elektros energetikos sektoriuje klausimais, susijusiais su atsinaujinančius išteklius naudojančių elektrinių įrengimu ir statyba, veiklos tipo pasirinkimu, galimybėmis gauti paramą atsinaujinančius išteklius naudojančių elektrinių įrengimui.</w:t>
            </w:r>
            <w:r w:rsidR="00F57F6B" w:rsidRPr="00E74695">
              <w:t xml:space="preserve"> </w:t>
            </w:r>
            <w:r w:rsidR="00F57F6B" w:rsidRPr="00E74695">
              <w:rPr>
                <w:iCs/>
              </w:rPr>
              <w:t>AIE įstatymą papildžius 15</w:t>
            </w:r>
            <w:r w:rsidR="00990030">
              <w:rPr>
                <w:iCs/>
                <w:vertAlign w:val="superscript"/>
              </w:rPr>
              <w:t>1</w:t>
            </w:r>
            <w:r w:rsidR="00F57F6B" w:rsidRPr="00E74695">
              <w:rPr>
                <w:iCs/>
              </w:rPr>
              <w:t xml:space="preserve"> straipsniu, reglamentuojančiu, kad VšĮ Lietuvos energetikos agentūra teikia konsultacijas ir metodinę pagalbą, susijusią su </w:t>
            </w:r>
            <w:r w:rsidR="00825583">
              <w:rPr>
                <w:iCs/>
              </w:rPr>
              <w:t>veikla elektros energetikos sektoriuje</w:t>
            </w:r>
            <w:r w:rsidR="006D5A1A">
              <w:rPr>
                <w:iCs/>
              </w:rPr>
              <w:t>,</w:t>
            </w:r>
            <w:r w:rsidR="00F57F6B" w:rsidRPr="00E74695">
              <w:rPr>
                <w:iCs/>
              </w:rPr>
              <w:t xml:space="preserve"> būtų užtikrintas </w:t>
            </w:r>
            <w:r w:rsidR="00A674ED" w:rsidRPr="00E74695">
              <w:t>2018 m. gruodžio 11 d. Europos Parlamento ir Tarybos direktyvoje (ES)</w:t>
            </w:r>
            <w:r w:rsidR="00990030">
              <w:t xml:space="preserve"> </w:t>
            </w:r>
            <w:r w:rsidR="00A674ED" w:rsidRPr="00E74695">
              <w:t xml:space="preserve">2018/2001 dėl skatinimo naudoti atsinaujinančiųjų išteklių energiją </w:t>
            </w:r>
            <w:r w:rsidR="00F57F6B" w:rsidRPr="00E74695">
              <w:rPr>
                <w:iCs/>
              </w:rPr>
              <w:t xml:space="preserve">Direktyvos 16 straipsnio nuostatų </w:t>
            </w:r>
            <w:r w:rsidR="00F57F6B" w:rsidRPr="00E74695">
              <w:rPr>
                <w:iCs/>
              </w:rPr>
              <w:lastRenderedPageBreak/>
              <w:t>įgyvendinimas, būtų aišku, kur kreiptis visais klausimais, susijusiais su atsinaujinančių išteklių panaudojimu elektros energijos gamybai, ir gauti informaciją apie veiklos galimybes, reikiamus gauti valstybinių institucijų dokumentus, leidimų išdavimo procedūras, galimybes gauti paramą atsinaujinančius išteklius naudojančių elektrinių įrengimui.</w:t>
            </w:r>
            <w:r w:rsidR="00984934" w:rsidRPr="00E74695">
              <w:rPr>
                <w:iCs/>
              </w:rPr>
              <w:t xml:space="preserve"> Manytina, kad siūlomas reguliavimas t</w:t>
            </w:r>
            <w:r w:rsidR="00984934" w:rsidRPr="00E74695">
              <w:t xml:space="preserve">urės teigiamą poveikį atsinaujinančių išteklių naudojimo plėtrai. Tikėtina, kad aiškumas dėl galimybių plėtoti atsinaujinančius išteklius naudojančias elektrines, informacijos apie veikimo būdus (gaminti elektros energiją savo reikmėms, pardavimui), </w:t>
            </w:r>
            <w:r w:rsidR="00766453" w:rsidRPr="00E74695">
              <w:t xml:space="preserve">informacijos apie </w:t>
            </w:r>
            <w:r w:rsidR="00984934" w:rsidRPr="00E74695">
              <w:t>paramos gavimo galimyb</w:t>
            </w:r>
            <w:r w:rsidR="00766453" w:rsidRPr="00E74695">
              <w:t>e</w:t>
            </w:r>
            <w:r w:rsidR="00984934" w:rsidRPr="00E74695">
              <w:t xml:space="preserve">s suteikimas padės tiek fiziniams, tiek juridiniams asmenims priimti sprendimus imtis veiklos elektros energetikos sektoriuje ir dėl to padidės atsinaujinančių išteklių naudojimo mastas. </w:t>
            </w:r>
          </w:p>
          <w:p w14:paraId="36401AA9" w14:textId="77777777" w:rsidR="00D552AD" w:rsidRPr="00E74695" w:rsidRDefault="00D552AD" w:rsidP="005E75B4">
            <w:pPr>
              <w:pStyle w:val="Style29"/>
              <w:widowControl/>
              <w:tabs>
                <w:tab w:val="left" w:pos="360"/>
              </w:tabs>
              <w:spacing w:line="240" w:lineRule="auto"/>
              <w:ind w:firstLine="0"/>
            </w:pPr>
          </w:p>
          <w:p w14:paraId="6A32D9B6" w14:textId="68B96FDB" w:rsidR="00531EBC" w:rsidRPr="00E74695" w:rsidRDefault="00531EBC" w:rsidP="005E75B4">
            <w:pPr>
              <w:pStyle w:val="Style29"/>
              <w:widowControl/>
              <w:tabs>
                <w:tab w:val="left" w:pos="360"/>
              </w:tabs>
              <w:spacing w:line="240" w:lineRule="auto"/>
              <w:ind w:firstLine="0"/>
            </w:pPr>
            <w:r w:rsidRPr="00E74695">
              <w:t xml:space="preserve">Galiojančiame </w:t>
            </w:r>
            <w:r w:rsidR="003E5793" w:rsidRPr="00E74695">
              <w:t>AIE įstatymo</w:t>
            </w:r>
            <w:r w:rsidRPr="00E74695">
              <w:t xml:space="preserve"> 20 straipsnyje numatyta, kad aukciono laimėtojai elektros energiją privalo parduoti rinkoje (biržoje arba pagal dvišalius susitarimus), o jiems kainos priedas mokamas atsižvelgiant į elektros energijos kainą biržoje. </w:t>
            </w:r>
            <w:r w:rsidR="00741D15">
              <w:t xml:space="preserve">Viešuosius interesus atitinkančių paslaugų administravimo tvarkos apraše </w:t>
            </w:r>
            <w:r w:rsidR="00A46318">
              <w:t>nurodoma, kad gamintojui, elektros energiją parduodant pagal dvišales sutartis</w:t>
            </w:r>
            <w:r w:rsidR="00F7157D">
              <w:t xml:space="preserve">, tuo atveju, kai biržos kaina yra mažesnė nei sutartyje nurodyta kaina, </w:t>
            </w:r>
            <w:r w:rsidR="00021667">
              <w:t xml:space="preserve">kainos priedas išmokamas </w:t>
            </w:r>
            <w:r w:rsidRPr="00E74695">
              <w:t>pagal sutartyje nurodytas kainas</w:t>
            </w:r>
            <w:r w:rsidR="00021667">
              <w:t xml:space="preserve">. Šios nuostatos perkėlimas įstatyminiu lygmeniu </w:t>
            </w:r>
            <w:r w:rsidR="00275898">
              <w:t xml:space="preserve">sukurs </w:t>
            </w:r>
            <w:r w:rsidR="00FE1933">
              <w:t xml:space="preserve">stabilesnes rinkos sąlygas, o taip pat užtikrins, kad sutartys nebūtų sudaromos žemesne nei rinkos kaina, taip nedidinant </w:t>
            </w:r>
            <w:r w:rsidR="00B279C8">
              <w:t>elektros energijos kainos vartotojams.</w:t>
            </w:r>
            <w:r w:rsidRPr="00E74695">
              <w:t xml:space="preserve"> </w:t>
            </w:r>
          </w:p>
          <w:p w14:paraId="502FD5EF" w14:textId="5BC67721" w:rsidR="00157468" w:rsidRPr="00E74695" w:rsidRDefault="00157468" w:rsidP="005E75B4">
            <w:pPr>
              <w:pStyle w:val="Style29"/>
              <w:widowControl/>
              <w:tabs>
                <w:tab w:val="left" w:pos="360"/>
              </w:tabs>
              <w:spacing w:line="240" w:lineRule="auto"/>
              <w:ind w:firstLine="0"/>
            </w:pPr>
          </w:p>
          <w:p w14:paraId="67D51104" w14:textId="0EABF5F4" w:rsidR="00426697" w:rsidRDefault="00D71039" w:rsidP="007A1811">
            <w:pPr>
              <w:jc w:val="both"/>
            </w:pPr>
            <w:r w:rsidRPr="00E74695">
              <w:t xml:space="preserve">Galiojančiame AIE įstatymo 22 straipsnyje reglamentuota atsinaujinančius išteklius naudojančių elektrinių plėtra jūrinėje teritorijoje, tačiau nereglamentuotos šių elektrinių veiklos sąlygos. AIEĮ projekte </w:t>
            </w:r>
            <w:r w:rsidR="008715FC" w:rsidRPr="00E74695">
              <w:t xml:space="preserve">nustatomas aiškios </w:t>
            </w:r>
            <w:r w:rsidR="003900AE" w:rsidRPr="00E74695">
              <w:t>konkurso organizavimo procedūro</w:t>
            </w:r>
            <w:r w:rsidR="008715FC" w:rsidRPr="00E74695">
              <w:t>s</w:t>
            </w:r>
            <w:r w:rsidR="003900AE" w:rsidRPr="00E74695">
              <w:t>.</w:t>
            </w:r>
            <w:r w:rsidR="008715FC" w:rsidRPr="00E74695">
              <w:t xml:space="preserve"> </w:t>
            </w:r>
            <w:r w:rsidR="003900AE" w:rsidRPr="00E74695">
              <w:t xml:space="preserve"> AIEĮ projekte siūloma nustatyti, kad elektrinių plėtra gali būti vykdoma kartu su kitomis valstybėmis, kaip bendri projektai. Tokiu būdu atveriama galimybė kitoms valstybėms narėms investuoti į elektrinių plėtrą Lietuvoje taip mažinant VIAP lėš</w:t>
            </w:r>
            <w:r w:rsidR="006E6035">
              <w:t>ų poreikį</w:t>
            </w:r>
            <w:r w:rsidR="003900AE" w:rsidRPr="00E74695">
              <w:t xml:space="preserve"> ir suteikiant kitoms valstybėms narėms galimybę gauti statistinį elektros energijos perdavimą. AIEĮ projekte nustatomi reikalavimai konkurso dalyviams, sandorio kainos skaičiavimo ir skelbimo principai, paramos išmokėjimo ir laimėtojo nustatymo principai. Taip pat nustatyta, kad valstybės atlikti tyrimai kompensuojami konkurso laimėtojų.</w:t>
            </w:r>
            <w:r w:rsidR="00B279C8">
              <w:t xml:space="preserve"> Šių nuostatų įtvirtinimas sukurs aiškumo</w:t>
            </w:r>
            <w:r w:rsidR="00ED37D8">
              <w:t xml:space="preserve"> bei tikrumo dėl elektrinių plėtros jūroje</w:t>
            </w:r>
            <w:r w:rsidR="00B279C8">
              <w:t xml:space="preserve"> investuotojams</w:t>
            </w:r>
            <w:r w:rsidR="00ED37D8">
              <w:t xml:space="preserve">. </w:t>
            </w:r>
          </w:p>
          <w:p w14:paraId="420B55C9" w14:textId="47E6E852" w:rsidR="003C5519" w:rsidRDefault="003C5519" w:rsidP="007A1811">
            <w:pPr>
              <w:jc w:val="both"/>
            </w:pPr>
          </w:p>
          <w:p w14:paraId="006B65A3" w14:textId="106DA7F3" w:rsidR="003C5519" w:rsidRPr="00E74695" w:rsidRDefault="003C5519" w:rsidP="007A1811">
            <w:pPr>
              <w:jc w:val="both"/>
            </w:pPr>
            <w:r>
              <w:t xml:space="preserve">Nustačius atsinaujinančių išteklių </w:t>
            </w:r>
            <w:r w:rsidR="00632200">
              <w:t xml:space="preserve">tikslus iki 2030 metų ir užtikrinant, kad prie šios plėtros prisidės savivaldybės, būtų </w:t>
            </w:r>
            <w:r w:rsidR="006B050D">
              <w:t>išlaikyta tolygi atsinaujinančių išteklių plėtra visoje Lietuvoje.</w:t>
            </w:r>
            <w:r w:rsidR="00662E46">
              <w:t xml:space="preserve"> Taip pat investuotojams būtų sukurtos aiškios sąlygos kiekvienoje savivaldybėje.</w:t>
            </w:r>
          </w:p>
          <w:p w14:paraId="1B69B0A6" w14:textId="2A5A6DCB" w:rsidR="007C4EA1" w:rsidRPr="00E74695" w:rsidRDefault="007C4EA1" w:rsidP="005E75B4">
            <w:pPr>
              <w:pStyle w:val="Style29"/>
              <w:widowControl/>
              <w:tabs>
                <w:tab w:val="left" w:pos="360"/>
              </w:tabs>
              <w:spacing w:line="240" w:lineRule="auto"/>
              <w:ind w:firstLine="0"/>
            </w:pPr>
          </w:p>
        </w:tc>
      </w:tr>
    </w:tbl>
    <w:p w14:paraId="6B825F50" w14:textId="77777777" w:rsidR="009D08A2" w:rsidRPr="00E74695" w:rsidRDefault="009D08A2" w:rsidP="009D08A2">
      <w:pPr>
        <w:rPr>
          <w:szCs w:val="24"/>
        </w:rPr>
      </w:pPr>
    </w:p>
    <w:tbl>
      <w:tblPr>
        <w:tblW w:w="9363" w:type="dxa"/>
        <w:tblLayout w:type="fixed"/>
        <w:tblLook w:val="00A0" w:firstRow="1" w:lastRow="0" w:firstColumn="1" w:lastColumn="0" w:noHBand="0" w:noVBand="0"/>
      </w:tblPr>
      <w:tblGrid>
        <w:gridCol w:w="1843"/>
        <w:gridCol w:w="7520"/>
      </w:tblGrid>
      <w:tr w:rsidR="009D08A2" w:rsidRPr="00E74695" w14:paraId="6152CE91" w14:textId="77777777" w:rsidTr="004B02AB">
        <w:tc>
          <w:tcPr>
            <w:tcW w:w="1843" w:type="dxa"/>
            <w:shd w:val="clear" w:color="auto" w:fill="DBE5F1"/>
            <w:hideMark/>
          </w:tcPr>
          <w:p w14:paraId="038F7627" w14:textId="77777777" w:rsidR="009D08A2" w:rsidRPr="00E74695" w:rsidRDefault="009D08A2" w:rsidP="0014211B">
            <w:pPr>
              <w:rPr>
                <w:b/>
                <w:szCs w:val="24"/>
              </w:rPr>
            </w:pPr>
            <w:r w:rsidRPr="00E74695">
              <w:rPr>
                <w:b/>
                <w:szCs w:val="24"/>
              </w:rPr>
              <w:t xml:space="preserve">Poveikis </w:t>
            </w:r>
          </w:p>
          <w:p w14:paraId="31B473D6" w14:textId="77777777" w:rsidR="009D08A2" w:rsidRPr="00E74695" w:rsidRDefault="009D08A2" w:rsidP="0014211B">
            <w:pPr>
              <w:rPr>
                <w:b/>
                <w:szCs w:val="24"/>
              </w:rPr>
            </w:pPr>
            <w:r w:rsidRPr="00E74695">
              <w:rPr>
                <w:b/>
                <w:szCs w:val="24"/>
              </w:rPr>
              <w:t>valstybės finansams</w:t>
            </w:r>
          </w:p>
        </w:tc>
        <w:tc>
          <w:tcPr>
            <w:tcW w:w="7520" w:type="dxa"/>
            <w:hideMark/>
          </w:tcPr>
          <w:p w14:paraId="1CE628E6" w14:textId="4DF34F75" w:rsidR="00A66852" w:rsidRDefault="00A66852" w:rsidP="00A66852">
            <w:pPr>
              <w:pStyle w:val="Style25"/>
              <w:ind w:firstLine="0"/>
              <w:rPr>
                <w:color w:val="000000"/>
                <w:shd w:val="clear" w:color="auto" w:fill="FFFFFF"/>
              </w:rPr>
            </w:pPr>
            <w:r w:rsidRPr="00E74695">
              <w:t>Numatoma, kad tinklų plėtr</w:t>
            </w:r>
            <w:r w:rsidR="005656C6">
              <w:t>os</w:t>
            </w:r>
            <w:r w:rsidRPr="00E74695">
              <w:t xml:space="preserve"> elektrinių, numatomų plėtoti Lietuvoje jūrinėje teritorijoje</w:t>
            </w:r>
            <w:r w:rsidR="005656C6">
              <w:t>,</w:t>
            </w:r>
            <w:r w:rsidRPr="00E74695">
              <w:t xml:space="preserve"> prijungimui prie sausumos elektros tinkl</w:t>
            </w:r>
            <w:r w:rsidR="003A1ACA">
              <w:t xml:space="preserve">ų darbai bus finansuojami viešuosius interesus atitinkančių paslaugų lėšomis ir jų poreikis galės būti mažinamas </w:t>
            </w:r>
            <w:r w:rsidR="003A1ACA" w:rsidRPr="00524B21">
              <w:rPr>
                <w:color w:val="000000"/>
                <w:shd w:val="clear" w:color="auto" w:fill="FFFFFF"/>
              </w:rPr>
              <w:t xml:space="preserve">lėšomis, teisės aktų nustatyta tvarka ir sąlygomis </w:t>
            </w:r>
            <w:r w:rsidR="003A1ACA" w:rsidRPr="00524B21">
              <w:rPr>
                <w:color w:val="000000"/>
                <w:shd w:val="clear" w:color="auto" w:fill="FFFFFF"/>
              </w:rPr>
              <w:lastRenderedPageBreak/>
              <w:t>gautomis iš kitų šių priemonių finansavimo šaltinių</w:t>
            </w:r>
            <w:r w:rsidR="003A1ACA">
              <w:rPr>
                <w:color w:val="000000"/>
                <w:shd w:val="clear" w:color="auto" w:fill="FFFFFF"/>
              </w:rPr>
              <w:t xml:space="preserve">. </w:t>
            </w:r>
            <w:r w:rsidRPr="00E74695">
              <w:rPr>
                <w:color w:val="000000"/>
                <w:shd w:val="clear" w:color="auto" w:fill="FFFFFF"/>
              </w:rPr>
              <w:t>Vienas iš tokių finansavimo šaltinių būtų Vyriausybės patvirtintas Lietuvos ateities ekonomikos DNR planas, kuriame numatyta skirti 90 mln. eurų sumą jūrinio vėjo infrastruktūros įrengimui.</w:t>
            </w:r>
            <w:r w:rsidR="0023223B">
              <w:rPr>
                <w:color w:val="000000"/>
                <w:shd w:val="clear" w:color="auto" w:fill="FFFFFF"/>
              </w:rPr>
              <w:t xml:space="preserve"> Sukūrus galimybę prie elektrinių plėtros jūroje prisidėti ir kitoms valstybėms narėms, </w:t>
            </w:r>
            <w:r w:rsidR="00302BC8">
              <w:rPr>
                <w:color w:val="000000"/>
                <w:shd w:val="clear" w:color="auto" w:fill="FFFFFF"/>
              </w:rPr>
              <w:t xml:space="preserve">pvz., finansuojant dalį elektrinės sąnaudų, kurios galėtų būti išmokamos iš viešuosius interesus atitinkančių paslaugų lėšų, siekiant vykdyti plėtrą, </w:t>
            </w:r>
            <w:r w:rsidR="00B26943">
              <w:rPr>
                <w:color w:val="000000"/>
                <w:shd w:val="clear" w:color="auto" w:fill="FFFFFF"/>
              </w:rPr>
              <w:t xml:space="preserve">ir už tai kitai valstybei narei perduodant elektros energijos gamybos statistiką, </w:t>
            </w:r>
            <w:r w:rsidR="00CC28C3">
              <w:rPr>
                <w:color w:val="000000"/>
                <w:shd w:val="clear" w:color="auto" w:fill="FFFFFF"/>
              </w:rPr>
              <w:t xml:space="preserve">būtų mažinamas </w:t>
            </w:r>
            <w:r w:rsidR="00B26943">
              <w:rPr>
                <w:color w:val="000000"/>
                <w:shd w:val="clear" w:color="auto" w:fill="FFFFFF"/>
              </w:rPr>
              <w:t>nacionalinių lėšų poreikis, taip mažinant ir naštą elektros energijos vartotojams.</w:t>
            </w:r>
          </w:p>
          <w:p w14:paraId="4CB4DE7E" w14:textId="51C86F8C" w:rsidR="00C9006C" w:rsidRDefault="00C9006C" w:rsidP="00A66852">
            <w:pPr>
              <w:pStyle w:val="Style25"/>
              <w:ind w:firstLine="0"/>
              <w:rPr>
                <w:color w:val="000000"/>
                <w:shd w:val="clear" w:color="auto" w:fill="FFFFFF"/>
              </w:rPr>
            </w:pPr>
          </w:p>
          <w:p w14:paraId="116C3DA8" w14:textId="77777777" w:rsidR="00C9006C" w:rsidRPr="00E74695" w:rsidRDefault="00C9006C" w:rsidP="00A66852">
            <w:pPr>
              <w:pStyle w:val="Style25"/>
              <w:ind w:firstLine="0"/>
              <w:rPr>
                <w:b/>
              </w:rPr>
            </w:pPr>
          </w:p>
          <w:p w14:paraId="76B6E3EC" w14:textId="0DF00416" w:rsidR="00042479" w:rsidRPr="00E74695" w:rsidRDefault="00042479" w:rsidP="00C8657F">
            <w:pPr>
              <w:jc w:val="both"/>
              <w:rPr>
                <w:szCs w:val="24"/>
              </w:rPr>
            </w:pPr>
          </w:p>
        </w:tc>
      </w:tr>
    </w:tbl>
    <w:p w14:paraId="58C78458" w14:textId="2EC2E121" w:rsidR="00FA32AE" w:rsidRPr="00E74695" w:rsidRDefault="00FA32AE" w:rsidP="009D08A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9D08A2" w:rsidRPr="00E74695" w14:paraId="4563F93B" w14:textId="77777777" w:rsidTr="004B02AB">
        <w:tc>
          <w:tcPr>
            <w:tcW w:w="1843" w:type="dxa"/>
            <w:tcBorders>
              <w:top w:val="nil"/>
              <w:left w:val="nil"/>
              <w:bottom w:val="nil"/>
              <w:right w:val="nil"/>
            </w:tcBorders>
            <w:shd w:val="clear" w:color="auto" w:fill="DBE5F1"/>
          </w:tcPr>
          <w:p w14:paraId="51D1D4AD" w14:textId="4DDBF366" w:rsidR="009D08A2" w:rsidRPr="00E74695" w:rsidRDefault="009D08A2" w:rsidP="00015E53">
            <w:pPr>
              <w:shd w:val="clear" w:color="auto" w:fill="DBE5F1"/>
              <w:rPr>
                <w:szCs w:val="24"/>
              </w:rPr>
            </w:pPr>
            <w:r w:rsidRPr="00E74695">
              <w:rPr>
                <w:b/>
                <w:szCs w:val="24"/>
              </w:rPr>
              <w:t>Poveikis administracinei naštai</w:t>
            </w:r>
          </w:p>
        </w:tc>
        <w:tc>
          <w:tcPr>
            <w:tcW w:w="7796" w:type="dxa"/>
            <w:tcBorders>
              <w:top w:val="nil"/>
              <w:left w:val="nil"/>
              <w:bottom w:val="nil"/>
              <w:right w:val="nil"/>
            </w:tcBorders>
            <w:hideMark/>
          </w:tcPr>
          <w:p w14:paraId="61423E7C" w14:textId="1A8ABE77" w:rsidR="009D08A2" w:rsidRPr="00E74695" w:rsidRDefault="00966E64" w:rsidP="00AA372B">
            <w:pPr>
              <w:jc w:val="both"/>
              <w:rPr>
                <w:szCs w:val="24"/>
              </w:rPr>
            </w:pPr>
            <w:r w:rsidRPr="00E74695">
              <w:rPr>
                <w:szCs w:val="24"/>
              </w:rPr>
              <w:t>AIE</w:t>
            </w:r>
            <w:r w:rsidR="007B7647" w:rsidRPr="00E74695">
              <w:rPr>
                <w:szCs w:val="24"/>
              </w:rPr>
              <w:t>Į</w:t>
            </w:r>
            <w:r w:rsidRPr="00E74695">
              <w:rPr>
                <w:szCs w:val="24"/>
              </w:rPr>
              <w:t xml:space="preserve"> </w:t>
            </w:r>
            <w:r w:rsidR="007B7647" w:rsidRPr="00E74695">
              <w:rPr>
                <w:szCs w:val="24"/>
              </w:rPr>
              <w:t xml:space="preserve">projekte </w:t>
            </w:r>
            <w:r w:rsidR="00797844" w:rsidRPr="00E74695">
              <w:rPr>
                <w:szCs w:val="24"/>
              </w:rPr>
              <w:t>ne</w:t>
            </w:r>
            <w:r w:rsidR="007B7647" w:rsidRPr="00E74695">
              <w:rPr>
                <w:szCs w:val="24"/>
              </w:rPr>
              <w:t>nustatomi</w:t>
            </w:r>
            <w:r w:rsidR="00632200">
              <w:rPr>
                <w:szCs w:val="24"/>
              </w:rPr>
              <w:t xml:space="preserve"> nauji</w:t>
            </w:r>
            <w:r w:rsidR="007B7647" w:rsidRPr="00E74695">
              <w:rPr>
                <w:szCs w:val="24"/>
              </w:rPr>
              <w:t xml:space="preserve"> informaciniai įpareigojimai</w:t>
            </w:r>
            <w:r w:rsidR="004D751C" w:rsidRPr="00E74695">
              <w:rPr>
                <w:szCs w:val="24"/>
              </w:rPr>
              <w:t xml:space="preserve"> ūkio subjektams</w:t>
            </w:r>
            <w:r w:rsidR="00797844" w:rsidRPr="00E74695">
              <w:rPr>
                <w:szCs w:val="24"/>
              </w:rPr>
              <w:t>.</w:t>
            </w:r>
          </w:p>
        </w:tc>
      </w:tr>
      <w:tr w:rsidR="00015E53" w:rsidRPr="00E74695" w14:paraId="14C93085" w14:textId="77777777" w:rsidTr="004B02AB">
        <w:tc>
          <w:tcPr>
            <w:tcW w:w="1843" w:type="dxa"/>
            <w:tcBorders>
              <w:top w:val="nil"/>
              <w:left w:val="nil"/>
              <w:bottom w:val="nil"/>
              <w:right w:val="nil"/>
            </w:tcBorders>
            <w:shd w:val="clear" w:color="auto" w:fill="DBE5F1"/>
          </w:tcPr>
          <w:p w14:paraId="2D243666" w14:textId="77777777" w:rsidR="00015E53" w:rsidRPr="00E74695" w:rsidRDefault="00015E53" w:rsidP="0014211B">
            <w:pPr>
              <w:shd w:val="clear" w:color="auto" w:fill="DBE5F1"/>
              <w:rPr>
                <w:b/>
                <w:szCs w:val="24"/>
              </w:rPr>
            </w:pPr>
          </w:p>
        </w:tc>
        <w:tc>
          <w:tcPr>
            <w:tcW w:w="7796" w:type="dxa"/>
            <w:tcBorders>
              <w:top w:val="nil"/>
              <w:left w:val="nil"/>
              <w:bottom w:val="nil"/>
              <w:right w:val="nil"/>
            </w:tcBorders>
          </w:tcPr>
          <w:p w14:paraId="6147A671" w14:textId="77777777" w:rsidR="00015E53" w:rsidRPr="00E74695" w:rsidRDefault="00015E53" w:rsidP="00AA372B">
            <w:pPr>
              <w:jc w:val="both"/>
              <w:rPr>
                <w:szCs w:val="24"/>
              </w:rPr>
            </w:pPr>
          </w:p>
        </w:tc>
      </w:tr>
    </w:tbl>
    <w:p w14:paraId="275D32A3" w14:textId="4E64723A" w:rsidR="009D08A2" w:rsidRPr="00E74695" w:rsidRDefault="009D08A2" w:rsidP="009D08A2">
      <w:pPr>
        <w:rPr>
          <w:i/>
          <w:szCs w:val="24"/>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7904"/>
      </w:tblGrid>
      <w:tr w:rsidR="00015E53" w:rsidRPr="00E74695" w14:paraId="180BC6A0" w14:textId="77777777" w:rsidTr="004E0B8B">
        <w:trPr>
          <w:trHeight w:val="1500"/>
        </w:trPr>
        <w:tc>
          <w:tcPr>
            <w:tcW w:w="1868" w:type="dxa"/>
            <w:tcBorders>
              <w:top w:val="nil"/>
              <w:left w:val="nil"/>
              <w:bottom w:val="nil"/>
              <w:right w:val="nil"/>
            </w:tcBorders>
            <w:shd w:val="clear" w:color="auto" w:fill="DBE5F1"/>
          </w:tcPr>
          <w:p w14:paraId="72C9C682" w14:textId="2C1C345D" w:rsidR="00015E53" w:rsidRPr="00E74695" w:rsidRDefault="00015E53" w:rsidP="00C36533">
            <w:pPr>
              <w:shd w:val="clear" w:color="auto" w:fill="DBE5F1"/>
              <w:rPr>
                <w:szCs w:val="24"/>
              </w:rPr>
            </w:pPr>
            <w:r w:rsidRPr="00E74695">
              <w:rPr>
                <w:b/>
                <w:szCs w:val="24"/>
              </w:rPr>
              <w:t>Poveikis ekonomikai</w:t>
            </w:r>
          </w:p>
        </w:tc>
        <w:tc>
          <w:tcPr>
            <w:tcW w:w="7904" w:type="dxa"/>
            <w:tcBorders>
              <w:top w:val="nil"/>
              <w:left w:val="nil"/>
              <w:bottom w:val="nil"/>
              <w:right w:val="nil"/>
            </w:tcBorders>
            <w:hideMark/>
          </w:tcPr>
          <w:p w14:paraId="41D15DE4" w14:textId="6B83FA8B" w:rsidR="00015E53" w:rsidRPr="00E74695" w:rsidRDefault="00F87F50" w:rsidP="004E0B8B">
            <w:pPr>
              <w:spacing w:line="216" w:lineRule="auto"/>
              <w:jc w:val="both"/>
              <w:rPr>
                <w:szCs w:val="24"/>
              </w:rPr>
            </w:pPr>
            <w:r w:rsidRPr="00E74695">
              <w:rPr>
                <w:shd w:val="clear" w:color="auto" w:fill="FFFFFF"/>
              </w:rPr>
              <w:t>Numatyti pakeitimai turės t</w:t>
            </w:r>
            <w:r w:rsidR="004C7D44" w:rsidRPr="00E74695">
              <w:rPr>
                <w:shd w:val="clear" w:color="auto" w:fill="FFFFFF"/>
              </w:rPr>
              <w:t xml:space="preserve">eigiamą poveikį </w:t>
            </w:r>
            <w:r w:rsidRPr="00E74695">
              <w:rPr>
                <w:shd w:val="clear" w:color="auto" w:fill="FFFFFF"/>
              </w:rPr>
              <w:t>v</w:t>
            </w:r>
            <w:r w:rsidR="00525514" w:rsidRPr="00E74695">
              <w:rPr>
                <w:shd w:val="clear" w:color="auto" w:fill="FFFFFF"/>
              </w:rPr>
              <w:t>erslo sąlygoms,</w:t>
            </w:r>
            <w:r w:rsidR="00750283" w:rsidRPr="00E74695">
              <w:t xml:space="preserve"> bus </w:t>
            </w:r>
            <w:r w:rsidR="00A90AFF" w:rsidRPr="00E74695">
              <w:t>nustatytas a</w:t>
            </w:r>
            <w:r w:rsidR="007A1811" w:rsidRPr="00E74695">
              <w:t xml:space="preserve">iškus elektrinių </w:t>
            </w:r>
            <w:r w:rsidR="008E7EAA" w:rsidRPr="00E74695">
              <w:t>plėtros Lietuvos jūrinėje teritorijoje reglamentavimas</w:t>
            </w:r>
            <w:r w:rsidR="00A90AFF" w:rsidRPr="00E74695">
              <w:t xml:space="preserve">. Tai didins atsinaujinančių išteklių naudojimo mastą, </w:t>
            </w:r>
            <w:r w:rsidR="00B0460A" w:rsidRPr="00E74695">
              <w:t>pritrauks iki 1 mlrd. Eur privačių investicijų į</w:t>
            </w:r>
            <w:r w:rsidR="008E7EAA" w:rsidRPr="00E74695">
              <w:t xml:space="preserve"> </w:t>
            </w:r>
            <w:r w:rsidR="00750283" w:rsidRPr="00E74695">
              <w:t xml:space="preserve">elektrinių </w:t>
            </w:r>
            <w:r w:rsidR="00750283" w:rsidRPr="00E74695">
              <w:rPr>
                <w:szCs w:val="24"/>
              </w:rPr>
              <w:t>park</w:t>
            </w:r>
            <w:r w:rsidR="008E56C6" w:rsidRPr="00E74695">
              <w:rPr>
                <w:szCs w:val="24"/>
              </w:rPr>
              <w:t xml:space="preserve">us Lietuvos jūrinėje teritorijoje. </w:t>
            </w:r>
            <w:r w:rsidR="008005F6" w:rsidRPr="00E74695">
              <w:rPr>
                <w:szCs w:val="24"/>
              </w:rPr>
              <w:t xml:space="preserve">Prognozuojama, kad </w:t>
            </w:r>
            <w:r w:rsidR="0005336A" w:rsidRPr="00E74695">
              <w:rPr>
                <w:rFonts w:eastAsia="+mn-ea"/>
                <w:kern w:val="24"/>
                <w:szCs w:val="24"/>
                <w:lang w:eastAsia="lt-LT"/>
              </w:rPr>
              <w:t>didės transporto sektoriaus darbuotojų paklausa, kadangi didžiausia dalis technikos bus importuojama iš užsienio ir vėliau pervežama į Lietuvą</w:t>
            </w:r>
            <w:r w:rsidR="008005F6" w:rsidRPr="00E74695">
              <w:rPr>
                <w:rFonts w:eastAsia="+mn-ea"/>
                <w:kern w:val="24"/>
                <w:szCs w:val="24"/>
                <w:lang w:eastAsia="lt-LT"/>
              </w:rPr>
              <w:t xml:space="preserve">, </w:t>
            </w:r>
            <w:r w:rsidR="0005336A" w:rsidRPr="00E74695">
              <w:rPr>
                <w:rFonts w:eastAsia="+mn-ea"/>
                <w:kern w:val="24"/>
                <w:szCs w:val="24"/>
                <w:lang w:eastAsia="lt-LT"/>
              </w:rPr>
              <w:t>importuotos įrangos montavimo darbai padidins statybos sektoriaus darbuotojų paklausą</w:t>
            </w:r>
            <w:r w:rsidR="00E74695" w:rsidRPr="00E74695">
              <w:rPr>
                <w:rFonts w:eastAsia="+mn-ea"/>
                <w:kern w:val="24"/>
                <w:szCs w:val="24"/>
                <w:lang w:eastAsia="lt-LT"/>
              </w:rPr>
              <w:t>, elektrinių statyba ir p</w:t>
            </w:r>
            <w:r w:rsidR="0005336A" w:rsidRPr="00E74695">
              <w:rPr>
                <w:rFonts w:eastAsia="+mn-ea"/>
                <w:kern w:val="24"/>
                <w:szCs w:val="24"/>
                <w:lang w:eastAsia="lt-LT"/>
              </w:rPr>
              <w:t>riežiūr</w:t>
            </w:r>
            <w:r w:rsidR="00527D09">
              <w:rPr>
                <w:rFonts w:eastAsia="+mn-ea"/>
                <w:kern w:val="24"/>
                <w:szCs w:val="24"/>
                <w:lang w:eastAsia="lt-LT"/>
              </w:rPr>
              <w:t>a</w:t>
            </w:r>
            <w:r w:rsidR="0005336A" w:rsidRPr="00E74695">
              <w:rPr>
                <w:rFonts w:eastAsia="+mn-ea"/>
                <w:kern w:val="24"/>
                <w:szCs w:val="24"/>
                <w:lang w:eastAsia="lt-LT"/>
              </w:rPr>
              <w:t xml:space="preserve"> – paslaugų ir uosto sektoriaus darbuotojų paklausą</w:t>
            </w:r>
            <w:r w:rsidR="00E74695" w:rsidRPr="00E74695">
              <w:rPr>
                <w:rFonts w:eastAsia="+mn-ea"/>
                <w:kern w:val="24"/>
                <w:szCs w:val="24"/>
                <w:lang w:eastAsia="lt-LT"/>
              </w:rPr>
              <w:t xml:space="preserve">, </w:t>
            </w:r>
            <w:r w:rsidR="0005336A" w:rsidRPr="00E74695">
              <w:rPr>
                <w:rFonts w:eastAsia="+mn-ea"/>
                <w:kern w:val="24"/>
                <w:szCs w:val="24"/>
                <w:lang w:eastAsia="lt-LT"/>
              </w:rPr>
              <w:t>šalia vėjo</w:t>
            </w:r>
            <w:r w:rsidR="00527D09">
              <w:rPr>
                <w:rFonts w:eastAsia="+mn-ea"/>
                <w:kern w:val="24"/>
                <w:szCs w:val="24"/>
                <w:lang w:eastAsia="lt-LT"/>
              </w:rPr>
              <w:t xml:space="preserve"> elektrinių</w:t>
            </w:r>
            <w:r w:rsidR="0005336A" w:rsidRPr="00E74695">
              <w:rPr>
                <w:rFonts w:eastAsia="+mn-ea"/>
                <w:kern w:val="24"/>
                <w:szCs w:val="24"/>
                <w:lang w:eastAsia="lt-LT"/>
              </w:rPr>
              <w:t xml:space="preserve"> parko bus kuriama infrastruktūra, reikalinga vėjo</w:t>
            </w:r>
            <w:r w:rsidR="007F2937">
              <w:rPr>
                <w:rFonts w:eastAsia="+mn-ea"/>
                <w:kern w:val="24"/>
                <w:szCs w:val="24"/>
                <w:lang w:eastAsia="lt-LT"/>
              </w:rPr>
              <w:t xml:space="preserve"> elektrinių</w:t>
            </w:r>
            <w:r w:rsidR="0005336A" w:rsidRPr="00E74695">
              <w:rPr>
                <w:rFonts w:eastAsia="+mn-ea"/>
                <w:kern w:val="24"/>
                <w:szCs w:val="24"/>
                <w:lang w:eastAsia="lt-LT"/>
              </w:rPr>
              <w:t xml:space="preserve"> parko pagamint</w:t>
            </w:r>
            <w:r w:rsidR="007F2937">
              <w:rPr>
                <w:rFonts w:eastAsia="+mn-ea"/>
                <w:kern w:val="24"/>
                <w:szCs w:val="24"/>
                <w:lang w:eastAsia="lt-LT"/>
              </w:rPr>
              <w:t>os</w:t>
            </w:r>
            <w:r w:rsidR="0005336A" w:rsidRPr="00E74695">
              <w:rPr>
                <w:rFonts w:eastAsia="+mn-ea"/>
                <w:kern w:val="24"/>
                <w:szCs w:val="24"/>
                <w:lang w:eastAsia="lt-LT"/>
              </w:rPr>
              <w:t xml:space="preserve"> elektros energijos persiuntimui į sausumos tinklus, kartu didės statybų, transporto ir paslaugų sektoriaus darbuotojų paklausa</w:t>
            </w:r>
            <w:r w:rsidR="007F2937">
              <w:rPr>
                <w:rFonts w:eastAsia="+mn-ea"/>
                <w:kern w:val="24"/>
                <w:szCs w:val="24"/>
                <w:lang w:eastAsia="lt-LT"/>
              </w:rPr>
              <w:t>.</w:t>
            </w:r>
          </w:p>
        </w:tc>
      </w:tr>
      <w:tr w:rsidR="00015E53" w:rsidRPr="00E74695" w14:paraId="590164E1" w14:textId="77777777" w:rsidTr="004E0B8B">
        <w:trPr>
          <w:trHeight w:val="49"/>
        </w:trPr>
        <w:tc>
          <w:tcPr>
            <w:tcW w:w="1868" w:type="dxa"/>
            <w:tcBorders>
              <w:top w:val="nil"/>
              <w:left w:val="nil"/>
              <w:bottom w:val="nil"/>
              <w:right w:val="nil"/>
            </w:tcBorders>
            <w:shd w:val="clear" w:color="auto" w:fill="DBE5F1"/>
          </w:tcPr>
          <w:p w14:paraId="16CFB6F4" w14:textId="77777777" w:rsidR="00015E53" w:rsidRPr="00E74695" w:rsidRDefault="00015E53" w:rsidP="00C36533">
            <w:pPr>
              <w:shd w:val="clear" w:color="auto" w:fill="DBE5F1"/>
              <w:rPr>
                <w:b/>
                <w:szCs w:val="24"/>
              </w:rPr>
            </w:pPr>
          </w:p>
        </w:tc>
        <w:tc>
          <w:tcPr>
            <w:tcW w:w="7904" w:type="dxa"/>
            <w:tcBorders>
              <w:top w:val="nil"/>
              <w:left w:val="nil"/>
              <w:bottom w:val="nil"/>
              <w:right w:val="nil"/>
            </w:tcBorders>
          </w:tcPr>
          <w:p w14:paraId="39AA656A" w14:textId="77777777" w:rsidR="00015E53" w:rsidRPr="00E74695" w:rsidRDefault="00015E53" w:rsidP="00C36533">
            <w:pPr>
              <w:jc w:val="both"/>
              <w:rPr>
                <w:szCs w:val="24"/>
              </w:rPr>
            </w:pPr>
          </w:p>
        </w:tc>
      </w:tr>
    </w:tbl>
    <w:p w14:paraId="7E7EFEA6" w14:textId="68FC0F80" w:rsidR="00015E53" w:rsidRPr="00E74695" w:rsidRDefault="00015E53" w:rsidP="009D08A2">
      <w:pPr>
        <w:rPr>
          <w:i/>
          <w:szCs w:val="24"/>
        </w:rPr>
      </w:pPr>
    </w:p>
    <w:p w14:paraId="28EBA29A" w14:textId="77777777" w:rsidR="00015E53" w:rsidRPr="00E74695" w:rsidRDefault="00015E53" w:rsidP="009D08A2">
      <w:pPr>
        <w:rPr>
          <w:i/>
          <w:szCs w:val="24"/>
        </w:rPr>
      </w:pPr>
    </w:p>
    <w:tbl>
      <w:tblPr>
        <w:tblW w:w="9681" w:type="dxa"/>
        <w:tblLook w:val="00A0" w:firstRow="1" w:lastRow="0" w:firstColumn="1" w:lastColumn="0" w:noHBand="0" w:noVBand="0"/>
      </w:tblPr>
      <w:tblGrid>
        <w:gridCol w:w="9681"/>
      </w:tblGrid>
      <w:tr w:rsidR="009D08A2" w:rsidRPr="00E74695" w14:paraId="54C75C6C" w14:textId="77777777" w:rsidTr="004E0B8B">
        <w:trPr>
          <w:trHeight w:val="458"/>
        </w:trPr>
        <w:tc>
          <w:tcPr>
            <w:tcW w:w="9681" w:type="dxa"/>
            <w:vMerge w:val="restart"/>
            <w:shd w:val="clear" w:color="auto" w:fill="DBE5F1"/>
            <w:hideMark/>
          </w:tcPr>
          <w:p w14:paraId="3D6C67C3" w14:textId="77777777" w:rsidR="009D08A2" w:rsidRPr="004E0B8B" w:rsidRDefault="009D08A2" w:rsidP="0014211B">
            <w:pPr>
              <w:rPr>
                <w:b/>
                <w:szCs w:val="24"/>
              </w:rPr>
            </w:pPr>
            <w:r w:rsidRPr="004E0B8B">
              <w:rPr>
                <w:b/>
                <w:szCs w:val="24"/>
              </w:rPr>
              <w:t>Kita svarbi informacija</w:t>
            </w:r>
          </w:p>
          <w:p w14:paraId="02D587CC" w14:textId="0B82B48F" w:rsidR="009D08A2" w:rsidRPr="00E74695" w:rsidRDefault="005E75B4">
            <w:pPr>
              <w:jc w:val="both"/>
              <w:rPr>
                <w:b/>
                <w:szCs w:val="24"/>
              </w:rPr>
            </w:pPr>
            <w:r w:rsidRPr="00E74695">
              <w:rPr>
                <w:szCs w:val="24"/>
              </w:rPr>
              <w:t>-</w:t>
            </w:r>
          </w:p>
        </w:tc>
      </w:tr>
      <w:tr w:rsidR="009D08A2" w:rsidRPr="00E74695" w14:paraId="2A310260" w14:textId="77777777" w:rsidTr="004E0B8B">
        <w:trPr>
          <w:trHeight w:val="458"/>
        </w:trPr>
        <w:tc>
          <w:tcPr>
            <w:tcW w:w="9681" w:type="dxa"/>
            <w:vMerge/>
            <w:vAlign w:val="center"/>
            <w:hideMark/>
          </w:tcPr>
          <w:p w14:paraId="7F3187BB" w14:textId="77777777" w:rsidR="009D08A2" w:rsidRPr="00E74695" w:rsidRDefault="009D08A2" w:rsidP="0014211B">
            <w:pPr>
              <w:rPr>
                <w:b/>
                <w:szCs w:val="24"/>
              </w:rPr>
            </w:pPr>
          </w:p>
        </w:tc>
      </w:tr>
      <w:tr w:rsidR="009D08A2" w:rsidRPr="00E74695" w14:paraId="4BF51BA2" w14:textId="77777777" w:rsidTr="004E0B8B">
        <w:trPr>
          <w:trHeight w:val="458"/>
        </w:trPr>
        <w:tc>
          <w:tcPr>
            <w:tcW w:w="9681" w:type="dxa"/>
            <w:vMerge/>
            <w:vAlign w:val="center"/>
            <w:hideMark/>
          </w:tcPr>
          <w:p w14:paraId="3534F704" w14:textId="77777777" w:rsidR="009D08A2" w:rsidRPr="00E74695" w:rsidRDefault="009D08A2" w:rsidP="0014211B">
            <w:pPr>
              <w:rPr>
                <w:b/>
                <w:szCs w:val="24"/>
              </w:rPr>
            </w:pPr>
          </w:p>
        </w:tc>
      </w:tr>
    </w:tbl>
    <w:p w14:paraId="1532051F" w14:textId="77777777" w:rsidR="009D08A2" w:rsidRPr="00E74695" w:rsidRDefault="009D08A2" w:rsidP="009D08A2">
      <w:pPr>
        <w:pStyle w:val="ListParagraph1"/>
        <w:ind w:left="0"/>
        <w:contextualSpacing/>
        <w:jc w:val="both"/>
        <w:rPr>
          <w:b/>
          <w:szCs w:val="24"/>
        </w:rPr>
      </w:pPr>
      <w:r w:rsidRPr="00E74695">
        <w:rPr>
          <w:b/>
          <w:szCs w:val="24"/>
        </w:rPr>
        <w:t>Informacija apie asmenį ir instituciją, atsakingą už poveikio vertinimą</w:t>
      </w:r>
    </w:p>
    <w:p w14:paraId="3AFB45FC" w14:textId="77777777" w:rsidR="009D08A2" w:rsidRPr="00E74695"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6895"/>
      </w:tblGrid>
      <w:tr w:rsidR="009D08A2" w:rsidRPr="00E74695"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E74695" w:rsidRDefault="009D08A2" w:rsidP="0014211B">
            <w:pPr>
              <w:pStyle w:val="ListParagraph1"/>
              <w:ind w:left="0"/>
              <w:rPr>
                <w:szCs w:val="24"/>
              </w:rPr>
            </w:pPr>
            <w:r w:rsidRPr="00E74695">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D8DCC0C" w14:textId="5CAB73FC" w:rsidR="00F44FCA" w:rsidRPr="00E74695" w:rsidRDefault="00806CB2" w:rsidP="00C73D95">
            <w:pPr>
              <w:pStyle w:val="ListParagraph1"/>
              <w:ind w:left="0"/>
              <w:rPr>
                <w:szCs w:val="24"/>
              </w:rPr>
            </w:pPr>
            <w:r w:rsidRPr="00E74695">
              <w:rPr>
                <w:szCs w:val="24"/>
              </w:rPr>
              <w:t>Jevgenija Jankevič</w:t>
            </w:r>
          </w:p>
        </w:tc>
      </w:tr>
      <w:tr w:rsidR="009D08A2" w:rsidRPr="00E74695"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E74695" w:rsidRDefault="009D08A2" w:rsidP="0014211B">
            <w:pPr>
              <w:pStyle w:val="ListParagraph1"/>
              <w:ind w:left="0"/>
              <w:rPr>
                <w:b/>
                <w:szCs w:val="24"/>
              </w:rPr>
            </w:pPr>
            <w:r w:rsidRPr="00E74695">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496ECB4" w14:textId="47276C19" w:rsidR="00F44FCA" w:rsidRPr="00E74695" w:rsidRDefault="00806CB2" w:rsidP="00806CB2">
            <w:pPr>
              <w:pStyle w:val="ListParagraph1"/>
              <w:ind w:left="0"/>
              <w:jc w:val="both"/>
              <w:rPr>
                <w:szCs w:val="24"/>
              </w:rPr>
            </w:pPr>
            <w:r w:rsidRPr="00E74695">
              <w:rPr>
                <w:szCs w:val="24"/>
              </w:rPr>
              <w:t>Klimato kaitos valdymo</w:t>
            </w:r>
            <w:r w:rsidR="003B7320" w:rsidRPr="00E74695">
              <w:rPr>
                <w:szCs w:val="24"/>
              </w:rPr>
              <w:t xml:space="preserve"> grupės </w:t>
            </w:r>
            <w:r w:rsidRPr="00E74695">
              <w:rPr>
                <w:szCs w:val="24"/>
              </w:rPr>
              <w:t>vyr.</w:t>
            </w:r>
            <w:r w:rsidR="00CD47D1" w:rsidRPr="00E74695">
              <w:rPr>
                <w:szCs w:val="24"/>
              </w:rPr>
              <w:t xml:space="preserve"> </w:t>
            </w:r>
            <w:r w:rsidRPr="00E74695">
              <w:rPr>
                <w:szCs w:val="24"/>
              </w:rPr>
              <w:t>specialistė</w:t>
            </w:r>
          </w:p>
        </w:tc>
      </w:tr>
      <w:tr w:rsidR="009D08A2" w:rsidRPr="00E74695"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E74695" w:rsidRDefault="009D08A2" w:rsidP="0014211B">
            <w:pPr>
              <w:pStyle w:val="ListParagraph1"/>
              <w:ind w:left="0"/>
              <w:rPr>
                <w:b/>
                <w:szCs w:val="24"/>
              </w:rPr>
            </w:pPr>
            <w:r w:rsidRPr="00E74695">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7777777" w:rsidR="009D08A2" w:rsidRPr="00E74695" w:rsidRDefault="00731029" w:rsidP="0014211B">
            <w:pPr>
              <w:pStyle w:val="ListParagraph1"/>
              <w:ind w:left="0"/>
              <w:jc w:val="both"/>
              <w:rPr>
                <w:szCs w:val="24"/>
              </w:rPr>
            </w:pPr>
            <w:r w:rsidRPr="00E74695">
              <w:rPr>
                <w:szCs w:val="24"/>
              </w:rPr>
              <w:t>E</w:t>
            </w:r>
            <w:r w:rsidR="00C73D95" w:rsidRPr="00E74695">
              <w:rPr>
                <w:szCs w:val="24"/>
              </w:rPr>
              <w:t>nergetikos ministerija</w:t>
            </w:r>
          </w:p>
        </w:tc>
      </w:tr>
      <w:tr w:rsidR="009D08A2" w:rsidRPr="00E74695"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E74695" w:rsidRDefault="009D08A2" w:rsidP="0014211B">
            <w:pPr>
              <w:pStyle w:val="ListParagraph1"/>
              <w:ind w:left="0"/>
              <w:rPr>
                <w:szCs w:val="24"/>
              </w:rPr>
            </w:pPr>
            <w:r w:rsidRPr="00E74695">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CFA1348" w14:textId="330BD26E" w:rsidR="00F44FCA" w:rsidRPr="00E74695" w:rsidRDefault="0067572B" w:rsidP="0014211B">
            <w:pPr>
              <w:pStyle w:val="ListParagraph1"/>
              <w:ind w:left="0"/>
              <w:jc w:val="both"/>
              <w:rPr>
                <w:szCs w:val="24"/>
              </w:rPr>
            </w:pPr>
            <w:r w:rsidRPr="00E74695">
              <w:rPr>
                <w:szCs w:val="24"/>
              </w:rPr>
              <w:t>(8 5) 203 4</w:t>
            </w:r>
            <w:r w:rsidR="003B21BF" w:rsidRPr="00E74695">
              <w:rPr>
                <w:szCs w:val="24"/>
              </w:rPr>
              <w:t>667</w:t>
            </w:r>
            <w:r w:rsidRPr="00E74695">
              <w:rPr>
                <w:szCs w:val="24"/>
              </w:rPr>
              <w:t xml:space="preserve">, </w:t>
            </w:r>
            <w:proofErr w:type="spellStart"/>
            <w:r w:rsidRPr="00E74695">
              <w:rPr>
                <w:szCs w:val="24"/>
              </w:rPr>
              <w:t>papild</w:t>
            </w:r>
            <w:proofErr w:type="spellEnd"/>
            <w:r w:rsidRPr="00E74695">
              <w:rPr>
                <w:szCs w:val="24"/>
              </w:rPr>
              <w:t xml:space="preserve">. </w:t>
            </w:r>
            <w:r w:rsidR="003B21BF" w:rsidRPr="00E74695">
              <w:rPr>
                <w:szCs w:val="24"/>
              </w:rPr>
              <w:t>6</w:t>
            </w:r>
            <w:r w:rsidRPr="00E74695">
              <w:rPr>
                <w:szCs w:val="24"/>
              </w:rPr>
              <w:t>,</w:t>
            </w:r>
            <w:r w:rsidR="00EF0070" w:rsidRPr="00E74695">
              <w:rPr>
                <w:szCs w:val="24"/>
              </w:rPr>
              <w:t xml:space="preserve"> el. p.</w:t>
            </w:r>
            <w:r w:rsidR="009A4200" w:rsidRPr="00E74695">
              <w:rPr>
                <w:szCs w:val="24"/>
              </w:rPr>
              <w:t xml:space="preserve"> </w:t>
            </w:r>
            <w:r w:rsidR="003B21BF" w:rsidRPr="00E74695">
              <w:t>jevgenija.jankevic</w:t>
            </w:r>
            <w:r w:rsidR="00B83139" w:rsidRPr="00E74695">
              <w:t>@enmin.lt</w:t>
            </w:r>
          </w:p>
        </w:tc>
      </w:tr>
    </w:tbl>
    <w:p w14:paraId="1EEF4F83" w14:textId="15FC3D62" w:rsidR="00981B69" w:rsidRPr="00E74695" w:rsidRDefault="00981B69" w:rsidP="00A96BA7">
      <w:pPr>
        <w:pStyle w:val="Antrats"/>
        <w:tabs>
          <w:tab w:val="left" w:pos="6237"/>
        </w:tabs>
        <w:jc w:val="center"/>
        <w:rPr>
          <w:szCs w:val="24"/>
        </w:rPr>
      </w:pPr>
      <w:r w:rsidRPr="00E74695">
        <w:rPr>
          <w:szCs w:val="24"/>
        </w:rPr>
        <w:t>__________________</w:t>
      </w:r>
    </w:p>
    <w:sectPr w:rsidR="00981B69" w:rsidRPr="00E74695" w:rsidSect="004B02AB">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A840" w14:textId="77777777" w:rsidR="00800EC5" w:rsidRDefault="00800EC5" w:rsidP="006D5EA5">
      <w:r>
        <w:separator/>
      </w:r>
    </w:p>
  </w:endnote>
  <w:endnote w:type="continuationSeparator" w:id="0">
    <w:p w14:paraId="3013F697" w14:textId="77777777" w:rsidR="00800EC5" w:rsidRDefault="00800EC5" w:rsidP="006D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DD0E1" w14:textId="77777777" w:rsidR="00800EC5" w:rsidRDefault="00800EC5" w:rsidP="006D5EA5">
      <w:r>
        <w:separator/>
      </w:r>
    </w:p>
  </w:footnote>
  <w:footnote w:type="continuationSeparator" w:id="0">
    <w:p w14:paraId="32740F1E" w14:textId="77777777" w:rsidR="00800EC5" w:rsidRDefault="00800EC5" w:rsidP="006D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8020"/>
      <w:docPartObj>
        <w:docPartGallery w:val="Page Numbers (Top of Page)"/>
        <w:docPartUnique/>
      </w:docPartObj>
    </w:sdtPr>
    <w:sdtEndPr/>
    <w:sdtContent>
      <w:p w14:paraId="610B6EAF" w14:textId="55CCABB2" w:rsidR="00D56F01" w:rsidRDefault="00D56F01">
        <w:pPr>
          <w:pStyle w:val="Antrats"/>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A37C10"/>
    <w:multiLevelType w:val="hybridMultilevel"/>
    <w:tmpl w:val="98AA2468"/>
    <w:lvl w:ilvl="0" w:tplc="F54CF442">
      <w:start w:val="1"/>
      <w:numFmt w:val="bullet"/>
      <w:lvlText w:val="•"/>
      <w:lvlJc w:val="left"/>
      <w:pPr>
        <w:tabs>
          <w:tab w:val="num" w:pos="720"/>
        </w:tabs>
        <w:ind w:left="720" w:hanging="360"/>
      </w:pPr>
      <w:rPr>
        <w:rFonts w:ascii="Arial" w:hAnsi="Arial" w:hint="default"/>
      </w:rPr>
    </w:lvl>
    <w:lvl w:ilvl="1" w:tplc="45E247B6" w:tentative="1">
      <w:start w:val="1"/>
      <w:numFmt w:val="bullet"/>
      <w:lvlText w:val="•"/>
      <w:lvlJc w:val="left"/>
      <w:pPr>
        <w:tabs>
          <w:tab w:val="num" w:pos="1440"/>
        </w:tabs>
        <w:ind w:left="1440" w:hanging="360"/>
      </w:pPr>
      <w:rPr>
        <w:rFonts w:ascii="Arial" w:hAnsi="Arial" w:hint="default"/>
      </w:rPr>
    </w:lvl>
    <w:lvl w:ilvl="2" w:tplc="76089A80" w:tentative="1">
      <w:start w:val="1"/>
      <w:numFmt w:val="bullet"/>
      <w:lvlText w:val="•"/>
      <w:lvlJc w:val="left"/>
      <w:pPr>
        <w:tabs>
          <w:tab w:val="num" w:pos="2160"/>
        </w:tabs>
        <w:ind w:left="2160" w:hanging="360"/>
      </w:pPr>
      <w:rPr>
        <w:rFonts w:ascii="Arial" w:hAnsi="Arial" w:hint="default"/>
      </w:rPr>
    </w:lvl>
    <w:lvl w:ilvl="3" w:tplc="C5806178" w:tentative="1">
      <w:start w:val="1"/>
      <w:numFmt w:val="bullet"/>
      <w:lvlText w:val="•"/>
      <w:lvlJc w:val="left"/>
      <w:pPr>
        <w:tabs>
          <w:tab w:val="num" w:pos="2880"/>
        </w:tabs>
        <w:ind w:left="2880" w:hanging="360"/>
      </w:pPr>
      <w:rPr>
        <w:rFonts w:ascii="Arial" w:hAnsi="Arial" w:hint="default"/>
      </w:rPr>
    </w:lvl>
    <w:lvl w:ilvl="4" w:tplc="D304D96A" w:tentative="1">
      <w:start w:val="1"/>
      <w:numFmt w:val="bullet"/>
      <w:lvlText w:val="•"/>
      <w:lvlJc w:val="left"/>
      <w:pPr>
        <w:tabs>
          <w:tab w:val="num" w:pos="3600"/>
        </w:tabs>
        <w:ind w:left="3600" w:hanging="360"/>
      </w:pPr>
      <w:rPr>
        <w:rFonts w:ascii="Arial" w:hAnsi="Arial" w:hint="default"/>
      </w:rPr>
    </w:lvl>
    <w:lvl w:ilvl="5" w:tplc="4E1E66D6" w:tentative="1">
      <w:start w:val="1"/>
      <w:numFmt w:val="bullet"/>
      <w:lvlText w:val="•"/>
      <w:lvlJc w:val="left"/>
      <w:pPr>
        <w:tabs>
          <w:tab w:val="num" w:pos="4320"/>
        </w:tabs>
        <w:ind w:left="4320" w:hanging="360"/>
      </w:pPr>
      <w:rPr>
        <w:rFonts w:ascii="Arial" w:hAnsi="Arial" w:hint="default"/>
      </w:rPr>
    </w:lvl>
    <w:lvl w:ilvl="6" w:tplc="788C030E" w:tentative="1">
      <w:start w:val="1"/>
      <w:numFmt w:val="bullet"/>
      <w:lvlText w:val="•"/>
      <w:lvlJc w:val="left"/>
      <w:pPr>
        <w:tabs>
          <w:tab w:val="num" w:pos="5040"/>
        </w:tabs>
        <w:ind w:left="5040" w:hanging="360"/>
      </w:pPr>
      <w:rPr>
        <w:rFonts w:ascii="Arial" w:hAnsi="Arial" w:hint="default"/>
      </w:rPr>
    </w:lvl>
    <w:lvl w:ilvl="7" w:tplc="6AC69E36" w:tentative="1">
      <w:start w:val="1"/>
      <w:numFmt w:val="bullet"/>
      <w:lvlText w:val="•"/>
      <w:lvlJc w:val="left"/>
      <w:pPr>
        <w:tabs>
          <w:tab w:val="num" w:pos="5760"/>
        </w:tabs>
        <w:ind w:left="5760" w:hanging="360"/>
      </w:pPr>
      <w:rPr>
        <w:rFonts w:ascii="Arial" w:hAnsi="Arial" w:hint="default"/>
      </w:rPr>
    </w:lvl>
    <w:lvl w:ilvl="8" w:tplc="284EBE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12149B"/>
    <w:multiLevelType w:val="hybridMultilevel"/>
    <w:tmpl w:val="403EE276"/>
    <w:lvl w:ilvl="0" w:tplc="E7F431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6" w15:restartNumberingAfterBreak="0">
    <w:nsid w:val="439A1CB0"/>
    <w:multiLevelType w:val="hybridMultilevel"/>
    <w:tmpl w:val="0FFC9D2C"/>
    <w:lvl w:ilvl="0" w:tplc="DC6831FC">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092128"/>
    <w:multiLevelType w:val="hybridMultilevel"/>
    <w:tmpl w:val="49FE2A7C"/>
    <w:lvl w:ilvl="0" w:tplc="C3EA7CE8">
      <w:start w:val="10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14684"/>
    <w:rsid w:val="0001480A"/>
    <w:rsid w:val="000158CB"/>
    <w:rsid w:val="0001598D"/>
    <w:rsid w:val="00015E53"/>
    <w:rsid w:val="0002087D"/>
    <w:rsid w:val="00021667"/>
    <w:rsid w:val="0002432B"/>
    <w:rsid w:val="0002566F"/>
    <w:rsid w:val="00025A4D"/>
    <w:rsid w:val="0003286A"/>
    <w:rsid w:val="000334AA"/>
    <w:rsid w:val="00033731"/>
    <w:rsid w:val="00036FF2"/>
    <w:rsid w:val="00042479"/>
    <w:rsid w:val="00046F51"/>
    <w:rsid w:val="00047665"/>
    <w:rsid w:val="0005196F"/>
    <w:rsid w:val="0005336A"/>
    <w:rsid w:val="000574BF"/>
    <w:rsid w:val="00061E59"/>
    <w:rsid w:val="000648B0"/>
    <w:rsid w:val="0006497C"/>
    <w:rsid w:val="0006640E"/>
    <w:rsid w:val="0007162F"/>
    <w:rsid w:val="00073B41"/>
    <w:rsid w:val="00073F22"/>
    <w:rsid w:val="000747F8"/>
    <w:rsid w:val="000865B0"/>
    <w:rsid w:val="00090062"/>
    <w:rsid w:val="00090DEF"/>
    <w:rsid w:val="00094EB8"/>
    <w:rsid w:val="00097AFA"/>
    <w:rsid w:val="000A79DA"/>
    <w:rsid w:val="000B0C85"/>
    <w:rsid w:val="000B5212"/>
    <w:rsid w:val="000C69F4"/>
    <w:rsid w:val="000D25DA"/>
    <w:rsid w:val="000D7612"/>
    <w:rsid w:val="000E0EF3"/>
    <w:rsid w:val="000E224A"/>
    <w:rsid w:val="000F301E"/>
    <w:rsid w:val="000F6011"/>
    <w:rsid w:val="001071CC"/>
    <w:rsid w:val="00122F2B"/>
    <w:rsid w:val="00135B0C"/>
    <w:rsid w:val="0013713A"/>
    <w:rsid w:val="0014313E"/>
    <w:rsid w:val="00145C39"/>
    <w:rsid w:val="00156C2A"/>
    <w:rsid w:val="00157468"/>
    <w:rsid w:val="001641FA"/>
    <w:rsid w:val="001722B6"/>
    <w:rsid w:val="00172D39"/>
    <w:rsid w:val="001737F3"/>
    <w:rsid w:val="00174B73"/>
    <w:rsid w:val="001816C2"/>
    <w:rsid w:val="00183594"/>
    <w:rsid w:val="00190F0D"/>
    <w:rsid w:val="0019253F"/>
    <w:rsid w:val="001939F9"/>
    <w:rsid w:val="001952AC"/>
    <w:rsid w:val="00197170"/>
    <w:rsid w:val="001A207E"/>
    <w:rsid w:val="001A21F3"/>
    <w:rsid w:val="001A6453"/>
    <w:rsid w:val="001A6AF1"/>
    <w:rsid w:val="001B0061"/>
    <w:rsid w:val="001B22A8"/>
    <w:rsid w:val="001C037C"/>
    <w:rsid w:val="001C273F"/>
    <w:rsid w:val="001D0096"/>
    <w:rsid w:val="001D2F24"/>
    <w:rsid w:val="001D4D78"/>
    <w:rsid w:val="001E4379"/>
    <w:rsid w:val="001E56E4"/>
    <w:rsid w:val="001F6384"/>
    <w:rsid w:val="00201195"/>
    <w:rsid w:val="00201DBF"/>
    <w:rsid w:val="00205253"/>
    <w:rsid w:val="002152BA"/>
    <w:rsid w:val="00217D21"/>
    <w:rsid w:val="00223EB5"/>
    <w:rsid w:val="0023223B"/>
    <w:rsid w:val="00252C8D"/>
    <w:rsid w:val="00252D20"/>
    <w:rsid w:val="00257699"/>
    <w:rsid w:val="00261148"/>
    <w:rsid w:val="00267F4D"/>
    <w:rsid w:val="00275898"/>
    <w:rsid w:val="00276050"/>
    <w:rsid w:val="0027741D"/>
    <w:rsid w:val="00277795"/>
    <w:rsid w:val="00277873"/>
    <w:rsid w:val="00280CDA"/>
    <w:rsid w:val="00286E15"/>
    <w:rsid w:val="00287CD6"/>
    <w:rsid w:val="00293664"/>
    <w:rsid w:val="002A2EAC"/>
    <w:rsid w:val="002A4B67"/>
    <w:rsid w:val="002A61A6"/>
    <w:rsid w:val="002A7798"/>
    <w:rsid w:val="002B1072"/>
    <w:rsid w:val="002B4A5D"/>
    <w:rsid w:val="002C44DC"/>
    <w:rsid w:val="002C507F"/>
    <w:rsid w:val="002C598E"/>
    <w:rsid w:val="002C793A"/>
    <w:rsid w:val="002E0C48"/>
    <w:rsid w:val="002E4F12"/>
    <w:rsid w:val="002E70EF"/>
    <w:rsid w:val="002F30E6"/>
    <w:rsid w:val="00300DC3"/>
    <w:rsid w:val="003016A7"/>
    <w:rsid w:val="00302BC8"/>
    <w:rsid w:val="00305278"/>
    <w:rsid w:val="00307D2E"/>
    <w:rsid w:val="0031223D"/>
    <w:rsid w:val="00312A45"/>
    <w:rsid w:val="00316878"/>
    <w:rsid w:val="00320ADF"/>
    <w:rsid w:val="003217BF"/>
    <w:rsid w:val="0033309F"/>
    <w:rsid w:val="00334EE7"/>
    <w:rsid w:val="00343109"/>
    <w:rsid w:val="003630B7"/>
    <w:rsid w:val="00366FE5"/>
    <w:rsid w:val="00370677"/>
    <w:rsid w:val="00374EC0"/>
    <w:rsid w:val="0037567A"/>
    <w:rsid w:val="00376FA7"/>
    <w:rsid w:val="003900AE"/>
    <w:rsid w:val="0039124E"/>
    <w:rsid w:val="00395C54"/>
    <w:rsid w:val="00396152"/>
    <w:rsid w:val="00397D8A"/>
    <w:rsid w:val="003A1ACA"/>
    <w:rsid w:val="003A1ED8"/>
    <w:rsid w:val="003B21BF"/>
    <w:rsid w:val="003B415A"/>
    <w:rsid w:val="003B7320"/>
    <w:rsid w:val="003C5519"/>
    <w:rsid w:val="003D2524"/>
    <w:rsid w:val="003D4661"/>
    <w:rsid w:val="003E186A"/>
    <w:rsid w:val="003E5793"/>
    <w:rsid w:val="003E6328"/>
    <w:rsid w:val="003F7516"/>
    <w:rsid w:val="00400BC0"/>
    <w:rsid w:val="00403A0F"/>
    <w:rsid w:val="00405656"/>
    <w:rsid w:val="00405A80"/>
    <w:rsid w:val="00406A16"/>
    <w:rsid w:val="00412677"/>
    <w:rsid w:val="00416147"/>
    <w:rsid w:val="00422221"/>
    <w:rsid w:val="00423D14"/>
    <w:rsid w:val="0042553A"/>
    <w:rsid w:val="00426697"/>
    <w:rsid w:val="004429C5"/>
    <w:rsid w:val="00444AEA"/>
    <w:rsid w:val="004505E8"/>
    <w:rsid w:val="00450D51"/>
    <w:rsid w:val="004519AC"/>
    <w:rsid w:val="00455338"/>
    <w:rsid w:val="0045627C"/>
    <w:rsid w:val="00461984"/>
    <w:rsid w:val="004805C9"/>
    <w:rsid w:val="00481245"/>
    <w:rsid w:val="00487E4E"/>
    <w:rsid w:val="00494548"/>
    <w:rsid w:val="00494A26"/>
    <w:rsid w:val="00495D78"/>
    <w:rsid w:val="004B02AB"/>
    <w:rsid w:val="004B54F2"/>
    <w:rsid w:val="004B5693"/>
    <w:rsid w:val="004C1285"/>
    <w:rsid w:val="004C7D44"/>
    <w:rsid w:val="004D1331"/>
    <w:rsid w:val="004D1EE6"/>
    <w:rsid w:val="004D751C"/>
    <w:rsid w:val="004D7C24"/>
    <w:rsid w:val="004E0B8B"/>
    <w:rsid w:val="004E18A8"/>
    <w:rsid w:val="004E752C"/>
    <w:rsid w:val="0050056D"/>
    <w:rsid w:val="0050188E"/>
    <w:rsid w:val="00513962"/>
    <w:rsid w:val="00515979"/>
    <w:rsid w:val="005202BD"/>
    <w:rsid w:val="005216F4"/>
    <w:rsid w:val="00522BDD"/>
    <w:rsid w:val="00522DF2"/>
    <w:rsid w:val="005232AF"/>
    <w:rsid w:val="00525514"/>
    <w:rsid w:val="00527D09"/>
    <w:rsid w:val="00531EBC"/>
    <w:rsid w:val="00535759"/>
    <w:rsid w:val="00560559"/>
    <w:rsid w:val="005656C6"/>
    <w:rsid w:val="00573A09"/>
    <w:rsid w:val="00594EB6"/>
    <w:rsid w:val="005A4F44"/>
    <w:rsid w:val="005A6CAE"/>
    <w:rsid w:val="005B0F63"/>
    <w:rsid w:val="005B3816"/>
    <w:rsid w:val="005B3ED4"/>
    <w:rsid w:val="005C0017"/>
    <w:rsid w:val="005C5001"/>
    <w:rsid w:val="005C759E"/>
    <w:rsid w:val="005D2A0D"/>
    <w:rsid w:val="005E2D1F"/>
    <w:rsid w:val="005E3B26"/>
    <w:rsid w:val="005E3E3E"/>
    <w:rsid w:val="005E56EB"/>
    <w:rsid w:val="005E755F"/>
    <w:rsid w:val="005E75B4"/>
    <w:rsid w:val="005F02E7"/>
    <w:rsid w:val="005F2C7A"/>
    <w:rsid w:val="005F6828"/>
    <w:rsid w:val="0060303F"/>
    <w:rsid w:val="00610352"/>
    <w:rsid w:val="0061222F"/>
    <w:rsid w:val="006124E1"/>
    <w:rsid w:val="006158EC"/>
    <w:rsid w:val="00617844"/>
    <w:rsid w:val="00617CDD"/>
    <w:rsid w:val="00621D61"/>
    <w:rsid w:val="00624F60"/>
    <w:rsid w:val="006250CF"/>
    <w:rsid w:val="00632200"/>
    <w:rsid w:val="006346FC"/>
    <w:rsid w:val="00635D1C"/>
    <w:rsid w:val="0064412D"/>
    <w:rsid w:val="0064506B"/>
    <w:rsid w:val="0064686C"/>
    <w:rsid w:val="00662E46"/>
    <w:rsid w:val="00663C08"/>
    <w:rsid w:val="00663F3F"/>
    <w:rsid w:val="00664EE1"/>
    <w:rsid w:val="00667D2A"/>
    <w:rsid w:val="00667FEE"/>
    <w:rsid w:val="0067572B"/>
    <w:rsid w:val="00681675"/>
    <w:rsid w:val="00686836"/>
    <w:rsid w:val="00691805"/>
    <w:rsid w:val="006A300B"/>
    <w:rsid w:val="006A5429"/>
    <w:rsid w:val="006A6B43"/>
    <w:rsid w:val="006A6EB9"/>
    <w:rsid w:val="006B050D"/>
    <w:rsid w:val="006B4F0F"/>
    <w:rsid w:val="006B6CD7"/>
    <w:rsid w:val="006B7C35"/>
    <w:rsid w:val="006C5044"/>
    <w:rsid w:val="006C585A"/>
    <w:rsid w:val="006D2AF2"/>
    <w:rsid w:val="006D5A1A"/>
    <w:rsid w:val="006D5EA5"/>
    <w:rsid w:val="006D7F87"/>
    <w:rsid w:val="006E3AAB"/>
    <w:rsid w:val="006E6035"/>
    <w:rsid w:val="007015DC"/>
    <w:rsid w:val="007029D5"/>
    <w:rsid w:val="00712023"/>
    <w:rsid w:val="007161E9"/>
    <w:rsid w:val="0072017A"/>
    <w:rsid w:val="00720B24"/>
    <w:rsid w:val="007222B5"/>
    <w:rsid w:val="00725512"/>
    <w:rsid w:val="00731029"/>
    <w:rsid w:val="00741D15"/>
    <w:rsid w:val="00743D90"/>
    <w:rsid w:val="00750283"/>
    <w:rsid w:val="0075197F"/>
    <w:rsid w:val="007520DD"/>
    <w:rsid w:val="00760CA2"/>
    <w:rsid w:val="00766453"/>
    <w:rsid w:val="00770998"/>
    <w:rsid w:val="007834F3"/>
    <w:rsid w:val="0079043E"/>
    <w:rsid w:val="00796DBC"/>
    <w:rsid w:val="00797844"/>
    <w:rsid w:val="007A0DFE"/>
    <w:rsid w:val="007A1811"/>
    <w:rsid w:val="007B2EE2"/>
    <w:rsid w:val="007B7122"/>
    <w:rsid w:val="007B7647"/>
    <w:rsid w:val="007C4EA1"/>
    <w:rsid w:val="007C6C0F"/>
    <w:rsid w:val="007D4881"/>
    <w:rsid w:val="007D560B"/>
    <w:rsid w:val="007E48A0"/>
    <w:rsid w:val="007E666D"/>
    <w:rsid w:val="007F2937"/>
    <w:rsid w:val="007F2CF2"/>
    <w:rsid w:val="007F6D00"/>
    <w:rsid w:val="008005F6"/>
    <w:rsid w:val="00800EC5"/>
    <w:rsid w:val="0080248D"/>
    <w:rsid w:val="0080587F"/>
    <w:rsid w:val="00806CB2"/>
    <w:rsid w:val="00806DFF"/>
    <w:rsid w:val="00807EF9"/>
    <w:rsid w:val="00825583"/>
    <w:rsid w:val="00825A75"/>
    <w:rsid w:val="00830FDB"/>
    <w:rsid w:val="0083240F"/>
    <w:rsid w:val="00833892"/>
    <w:rsid w:val="00842104"/>
    <w:rsid w:val="00842257"/>
    <w:rsid w:val="00845F56"/>
    <w:rsid w:val="00853D0E"/>
    <w:rsid w:val="008542A5"/>
    <w:rsid w:val="008715FC"/>
    <w:rsid w:val="00875E99"/>
    <w:rsid w:val="00884A14"/>
    <w:rsid w:val="00890953"/>
    <w:rsid w:val="00892208"/>
    <w:rsid w:val="00893682"/>
    <w:rsid w:val="008A2601"/>
    <w:rsid w:val="008A2A08"/>
    <w:rsid w:val="008A6A23"/>
    <w:rsid w:val="008A7E21"/>
    <w:rsid w:val="008B749D"/>
    <w:rsid w:val="008B7E95"/>
    <w:rsid w:val="008C00B5"/>
    <w:rsid w:val="008C02F6"/>
    <w:rsid w:val="008C707D"/>
    <w:rsid w:val="008C791D"/>
    <w:rsid w:val="008D0893"/>
    <w:rsid w:val="008D4BF2"/>
    <w:rsid w:val="008D79EF"/>
    <w:rsid w:val="008E475C"/>
    <w:rsid w:val="008E4F18"/>
    <w:rsid w:val="008E56C6"/>
    <w:rsid w:val="008E7EAA"/>
    <w:rsid w:val="008F1307"/>
    <w:rsid w:val="008F20D3"/>
    <w:rsid w:val="008F4B43"/>
    <w:rsid w:val="008F7FBD"/>
    <w:rsid w:val="009000BD"/>
    <w:rsid w:val="00901B35"/>
    <w:rsid w:val="00903A17"/>
    <w:rsid w:val="00910B56"/>
    <w:rsid w:val="009136F9"/>
    <w:rsid w:val="00925563"/>
    <w:rsid w:val="009305C0"/>
    <w:rsid w:val="00934C63"/>
    <w:rsid w:val="00936C15"/>
    <w:rsid w:val="00937ABC"/>
    <w:rsid w:val="00946E62"/>
    <w:rsid w:val="00947B81"/>
    <w:rsid w:val="0095145B"/>
    <w:rsid w:val="00951CF6"/>
    <w:rsid w:val="00953FDD"/>
    <w:rsid w:val="00954B03"/>
    <w:rsid w:val="0096093A"/>
    <w:rsid w:val="00965549"/>
    <w:rsid w:val="00966E64"/>
    <w:rsid w:val="00972406"/>
    <w:rsid w:val="00975396"/>
    <w:rsid w:val="00981B69"/>
    <w:rsid w:val="00983EB4"/>
    <w:rsid w:val="00984934"/>
    <w:rsid w:val="00990030"/>
    <w:rsid w:val="00992129"/>
    <w:rsid w:val="009A4200"/>
    <w:rsid w:val="009B4660"/>
    <w:rsid w:val="009B5418"/>
    <w:rsid w:val="009B596B"/>
    <w:rsid w:val="009C14D1"/>
    <w:rsid w:val="009C2908"/>
    <w:rsid w:val="009C6B95"/>
    <w:rsid w:val="009D08A2"/>
    <w:rsid w:val="009D23BE"/>
    <w:rsid w:val="009D575A"/>
    <w:rsid w:val="009D58A0"/>
    <w:rsid w:val="009E5634"/>
    <w:rsid w:val="009F2BB0"/>
    <w:rsid w:val="009F6D54"/>
    <w:rsid w:val="00A002BF"/>
    <w:rsid w:val="00A0613E"/>
    <w:rsid w:val="00A070A5"/>
    <w:rsid w:val="00A14376"/>
    <w:rsid w:val="00A1678A"/>
    <w:rsid w:val="00A2141D"/>
    <w:rsid w:val="00A32929"/>
    <w:rsid w:val="00A45B5D"/>
    <w:rsid w:val="00A46318"/>
    <w:rsid w:val="00A501F9"/>
    <w:rsid w:val="00A5106D"/>
    <w:rsid w:val="00A510C8"/>
    <w:rsid w:val="00A5285C"/>
    <w:rsid w:val="00A53FFB"/>
    <w:rsid w:val="00A556B3"/>
    <w:rsid w:val="00A62EC6"/>
    <w:rsid w:val="00A63BC6"/>
    <w:rsid w:val="00A65BAB"/>
    <w:rsid w:val="00A66852"/>
    <w:rsid w:val="00A674ED"/>
    <w:rsid w:val="00A73C71"/>
    <w:rsid w:val="00A765FD"/>
    <w:rsid w:val="00A82DA1"/>
    <w:rsid w:val="00A90AFF"/>
    <w:rsid w:val="00A93BB6"/>
    <w:rsid w:val="00A96BA7"/>
    <w:rsid w:val="00AA0E34"/>
    <w:rsid w:val="00AA2DDE"/>
    <w:rsid w:val="00AA372B"/>
    <w:rsid w:val="00AA4832"/>
    <w:rsid w:val="00AA4FD5"/>
    <w:rsid w:val="00AA5819"/>
    <w:rsid w:val="00AB5D22"/>
    <w:rsid w:val="00AC616B"/>
    <w:rsid w:val="00AC7152"/>
    <w:rsid w:val="00AD367A"/>
    <w:rsid w:val="00AD3937"/>
    <w:rsid w:val="00AD3D82"/>
    <w:rsid w:val="00AD43E2"/>
    <w:rsid w:val="00AF05BA"/>
    <w:rsid w:val="00AF0CE7"/>
    <w:rsid w:val="00AF1B4E"/>
    <w:rsid w:val="00AF31AE"/>
    <w:rsid w:val="00B03772"/>
    <w:rsid w:val="00B043AE"/>
    <w:rsid w:val="00B0460A"/>
    <w:rsid w:val="00B04632"/>
    <w:rsid w:val="00B059CF"/>
    <w:rsid w:val="00B06A95"/>
    <w:rsid w:val="00B06FBD"/>
    <w:rsid w:val="00B07A7B"/>
    <w:rsid w:val="00B10B6A"/>
    <w:rsid w:val="00B14B49"/>
    <w:rsid w:val="00B1581C"/>
    <w:rsid w:val="00B204B0"/>
    <w:rsid w:val="00B245C4"/>
    <w:rsid w:val="00B26943"/>
    <w:rsid w:val="00B279C8"/>
    <w:rsid w:val="00B33D00"/>
    <w:rsid w:val="00B41B03"/>
    <w:rsid w:val="00B515FC"/>
    <w:rsid w:val="00B51C82"/>
    <w:rsid w:val="00B52FC7"/>
    <w:rsid w:val="00B54747"/>
    <w:rsid w:val="00B5677E"/>
    <w:rsid w:val="00B77139"/>
    <w:rsid w:val="00B8170D"/>
    <w:rsid w:val="00B83139"/>
    <w:rsid w:val="00B918FE"/>
    <w:rsid w:val="00B93B09"/>
    <w:rsid w:val="00B959A6"/>
    <w:rsid w:val="00BC1E3B"/>
    <w:rsid w:val="00BC24D5"/>
    <w:rsid w:val="00BC3D44"/>
    <w:rsid w:val="00BD3438"/>
    <w:rsid w:val="00BF1D72"/>
    <w:rsid w:val="00BF4221"/>
    <w:rsid w:val="00C0172A"/>
    <w:rsid w:val="00C0668D"/>
    <w:rsid w:val="00C06D2E"/>
    <w:rsid w:val="00C109D1"/>
    <w:rsid w:val="00C1695B"/>
    <w:rsid w:val="00C16DEE"/>
    <w:rsid w:val="00C336C0"/>
    <w:rsid w:val="00C3535A"/>
    <w:rsid w:val="00C37C7D"/>
    <w:rsid w:val="00C40FAF"/>
    <w:rsid w:val="00C415AE"/>
    <w:rsid w:val="00C41952"/>
    <w:rsid w:val="00C42C3A"/>
    <w:rsid w:val="00C522D3"/>
    <w:rsid w:val="00C57DFE"/>
    <w:rsid w:val="00C73D95"/>
    <w:rsid w:val="00C8657F"/>
    <w:rsid w:val="00C8747B"/>
    <w:rsid w:val="00C875EF"/>
    <w:rsid w:val="00C9006C"/>
    <w:rsid w:val="00C906A7"/>
    <w:rsid w:val="00C9642D"/>
    <w:rsid w:val="00CA59CE"/>
    <w:rsid w:val="00CA7E05"/>
    <w:rsid w:val="00CB5324"/>
    <w:rsid w:val="00CB5C7B"/>
    <w:rsid w:val="00CB7F46"/>
    <w:rsid w:val="00CC28C3"/>
    <w:rsid w:val="00CC2A06"/>
    <w:rsid w:val="00CC5EEF"/>
    <w:rsid w:val="00CD47D1"/>
    <w:rsid w:val="00CD6100"/>
    <w:rsid w:val="00CD6A74"/>
    <w:rsid w:val="00CE1CCC"/>
    <w:rsid w:val="00CF08E8"/>
    <w:rsid w:val="00CF2E92"/>
    <w:rsid w:val="00CF5E8C"/>
    <w:rsid w:val="00CF6688"/>
    <w:rsid w:val="00D027B9"/>
    <w:rsid w:val="00D02FBB"/>
    <w:rsid w:val="00D128BD"/>
    <w:rsid w:val="00D1290B"/>
    <w:rsid w:val="00D20CD0"/>
    <w:rsid w:val="00D24B80"/>
    <w:rsid w:val="00D27164"/>
    <w:rsid w:val="00D36B9D"/>
    <w:rsid w:val="00D40411"/>
    <w:rsid w:val="00D40680"/>
    <w:rsid w:val="00D4684B"/>
    <w:rsid w:val="00D473F1"/>
    <w:rsid w:val="00D510D8"/>
    <w:rsid w:val="00D520CA"/>
    <w:rsid w:val="00D52F14"/>
    <w:rsid w:val="00D5385D"/>
    <w:rsid w:val="00D552AD"/>
    <w:rsid w:val="00D56F01"/>
    <w:rsid w:val="00D61EEC"/>
    <w:rsid w:val="00D71039"/>
    <w:rsid w:val="00D93558"/>
    <w:rsid w:val="00DA72DA"/>
    <w:rsid w:val="00DB3311"/>
    <w:rsid w:val="00DB3FA0"/>
    <w:rsid w:val="00DB5F95"/>
    <w:rsid w:val="00DB715B"/>
    <w:rsid w:val="00DC3801"/>
    <w:rsid w:val="00DC3C2E"/>
    <w:rsid w:val="00DE0067"/>
    <w:rsid w:val="00DE0410"/>
    <w:rsid w:val="00DE12C5"/>
    <w:rsid w:val="00DE3D31"/>
    <w:rsid w:val="00DE49BC"/>
    <w:rsid w:val="00DE4B72"/>
    <w:rsid w:val="00DE7EDC"/>
    <w:rsid w:val="00DF1D6A"/>
    <w:rsid w:val="00DF3FA2"/>
    <w:rsid w:val="00E01902"/>
    <w:rsid w:val="00E12E1B"/>
    <w:rsid w:val="00E17361"/>
    <w:rsid w:val="00E21456"/>
    <w:rsid w:val="00E365E6"/>
    <w:rsid w:val="00E40765"/>
    <w:rsid w:val="00E4080F"/>
    <w:rsid w:val="00E42627"/>
    <w:rsid w:val="00E47DCE"/>
    <w:rsid w:val="00E600DA"/>
    <w:rsid w:val="00E62A4B"/>
    <w:rsid w:val="00E62E34"/>
    <w:rsid w:val="00E71FEE"/>
    <w:rsid w:val="00E74695"/>
    <w:rsid w:val="00E80BBF"/>
    <w:rsid w:val="00E816E8"/>
    <w:rsid w:val="00E8518D"/>
    <w:rsid w:val="00E8580D"/>
    <w:rsid w:val="00E868DA"/>
    <w:rsid w:val="00E87AA1"/>
    <w:rsid w:val="00E96C04"/>
    <w:rsid w:val="00EA2740"/>
    <w:rsid w:val="00EA6BCA"/>
    <w:rsid w:val="00EA7F50"/>
    <w:rsid w:val="00EB5166"/>
    <w:rsid w:val="00EC03DB"/>
    <w:rsid w:val="00EC20E8"/>
    <w:rsid w:val="00EC75AB"/>
    <w:rsid w:val="00ED2D6F"/>
    <w:rsid w:val="00ED37D8"/>
    <w:rsid w:val="00EE011B"/>
    <w:rsid w:val="00EE322B"/>
    <w:rsid w:val="00EE4F92"/>
    <w:rsid w:val="00EE64EB"/>
    <w:rsid w:val="00EF0070"/>
    <w:rsid w:val="00EF6AB4"/>
    <w:rsid w:val="00F002B8"/>
    <w:rsid w:val="00F00B9F"/>
    <w:rsid w:val="00F05B72"/>
    <w:rsid w:val="00F157E3"/>
    <w:rsid w:val="00F21B10"/>
    <w:rsid w:val="00F258ED"/>
    <w:rsid w:val="00F33E9D"/>
    <w:rsid w:val="00F35B04"/>
    <w:rsid w:val="00F415CC"/>
    <w:rsid w:val="00F43955"/>
    <w:rsid w:val="00F44FCA"/>
    <w:rsid w:val="00F45141"/>
    <w:rsid w:val="00F5758C"/>
    <w:rsid w:val="00F57F6B"/>
    <w:rsid w:val="00F606D0"/>
    <w:rsid w:val="00F60836"/>
    <w:rsid w:val="00F65F52"/>
    <w:rsid w:val="00F704FC"/>
    <w:rsid w:val="00F7157D"/>
    <w:rsid w:val="00F741A9"/>
    <w:rsid w:val="00F75562"/>
    <w:rsid w:val="00F767FC"/>
    <w:rsid w:val="00F83FB6"/>
    <w:rsid w:val="00F856FF"/>
    <w:rsid w:val="00F8673F"/>
    <w:rsid w:val="00F87F50"/>
    <w:rsid w:val="00F90044"/>
    <w:rsid w:val="00FA32AE"/>
    <w:rsid w:val="00FA3593"/>
    <w:rsid w:val="00FB0BCC"/>
    <w:rsid w:val="00FB10E3"/>
    <w:rsid w:val="00FB17AA"/>
    <w:rsid w:val="00FB307E"/>
    <w:rsid w:val="00FB5BF5"/>
    <w:rsid w:val="00FC054A"/>
    <w:rsid w:val="00FC7E7B"/>
    <w:rsid w:val="00FD24D4"/>
    <w:rsid w:val="00FD2ABB"/>
    <w:rsid w:val="00FD537A"/>
    <w:rsid w:val="00FE0E56"/>
    <w:rsid w:val="00FE0EB4"/>
    <w:rsid w:val="00FE10CE"/>
    <w:rsid w:val="00FE1933"/>
    <w:rsid w:val="00FE3D66"/>
    <w:rsid w:val="00FE638C"/>
    <w:rsid w:val="00FE6647"/>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9D08A2"/>
    <w:pPr>
      <w:ind w:left="1296"/>
    </w:pPr>
  </w:style>
  <w:style w:type="table" w:styleId="Lentelstinklelis">
    <w:name w:val="Table Grid"/>
    <w:basedOn w:val="prastojilente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223EB5"/>
    <w:rPr>
      <w:sz w:val="16"/>
      <w:szCs w:val="16"/>
    </w:rPr>
  </w:style>
  <w:style w:type="paragraph" w:styleId="Komentarotekstas">
    <w:name w:val="annotation text"/>
    <w:basedOn w:val="prastasis"/>
    <w:link w:val="KomentarotekstasDiagrama"/>
    <w:uiPriority w:val="99"/>
    <w:unhideWhenUsed/>
    <w:rsid w:val="00223EB5"/>
    <w:rPr>
      <w:sz w:val="20"/>
    </w:rPr>
  </w:style>
  <w:style w:type="character" w:customStyle="1" w:styleId="KomentarotekstasDiagrama">
    <w:name w:val="Komentaro tekstas Diagrama"/>
    <w:basedOn w:val="Numatytasispastraiposriftas"/>
    <w:link w:val="Komentarotekstas"/>
    <w:uiPriority w:val="99"/>
    <w:rsid w:val="00223EB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23EB5"/>
    <w:rPr>
      <w:b/>
      <w:bCs/>
    </w:rPr>
  </w:style>
  <w:style w:type="character" w:customStyle="1" w:styleId="KomentarotemaDiagrama">
    <w:name w:val="Komentaro tema Diagrama"/>
    <w:basedOn w:val="KomentarotekstasDiagrama"/>
    <w:link w:val="Komentarotema"/>
    <w:uiPriority w:val="99"/>
    <w:semiHidden/>
    <w:rsid w:val="00223EB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223E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EB5"/>
    <w:rPr>
      <w:rFonts w:ascii="Segoe UI" w:eastAsia="Times New Roman" w:hAnsi="Segoe UI" w:cs="Segoe UI"/>
      <w:sz w:val="18"/>
      <w:szCs w:val="18"/>
      <w:lang w:val="lt-LT"/>
    </w:rPr>
  </w:style>
  <w:style w:type="paragraph" w:styleId="Sraopastraipa">
    <w:name w:val="List Paragraph"/>
    <w:basedOn w:val="prastasis"/>
    <w:uiPriority w:val="34"/>
    <w:qFormat/>
    <w:rsid w:val="0064686C"/>
    <w:pPr>
      <w:ind w:left="720"/>
      <w:contextualSpacing/>
    </w:pPr>
  </w:style>
  <w:style w:type="paragraph" w:styleId="Puslapioinaostekstas">
    <w:name w:val="footnote text"/>
    <w:basedOn w:val="prastasis"/>
    <w:link w:val="PuslapioinaostekstasDiagrama"/>
    <w:uiPriority w:val="99"/>
    <w:semiHidden/>
    <w:unhideWhenUsed/>
    <w:rsid w:val="006D5EA5"/>
    <w:rPr>
      <w:sz w:val="20"/>
    </w:rPr>
  </w:style>
  <w:style w:type="character" w:customStyle="1" w:styleId="PuslapioinaostekstasDiagrama">
    <w:name w:val="Puslapio išnašos tekstas Diagrama"/>
    <w:basedOn w:val="Numatytasispastraiposriftas"/>
    <w:link w:val="Puslapioinaostekstas"/>
    <w:uiPriority w:val="99"/>
    <w:semiHidden/>
    <w:rsid w:val="006D5EA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6D5EA5"/>
    <w:rPr>
      <w:vertAlign w:val="superscript"/>
    </w:rPr>
  </w:style>
  <w:style w:type="paragraph" w:styleId="Antrats">
    <w:name w:val="header"/>
    <w:aliases w:val="Char,Diagrama"/>
    <w:basedOn w:val="prastasis"/>
    <w:link w:val="AntratsDiagrama"/>
    <w:uiPriority w:val="99"/>
    <w:unhideWhenUsed/>
    <w:rsid w:val="00D56F01"/>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D56F01"/>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56F01"/>
    <w:pPr>
      <w:tabs>
        <w:tab w:val="center" w:pos="4819"/>
        <w:tab w:val="right" w:pos="9638"/>
      </w:tabs>
    </w:pPr>
  </w:style>
  <w:style w:type="character" w:customStyle="1" w:styleId="PoratDiagrama">
    <w:name w:val="Poraštė Diagrama"/>
    <w:basedOn w:val="Numatytasispastraiposriftas"/>
    <w:link w:val="Porat"/>
    <w:uiPriority w:val="99"/>
    <w:rsid w:val="00D56F01"/>
    <w:rPr>
      <w:rFonts w:ascii="Times New Roman" w:eastAsia="Times New Roman" w:hAnsi="Times New Roman" w:cs="Times New Roman"/>
      <w:sz w:val="24"/>
      <w:szCs w:val="20"/>
      <w:lang w:val="lt-LT"/>
    </w:rPr>
  </w:style>
  <w:style w:type="character" w:customStyle="1" w:styleId="FontStyle53">
    <w:name w:val="Font Style53"/>
    <w:rsid w:val="006C5044"/>
    <w:rPr>
      <w:rFonts w:ascii="Times New Roman" w:hAnsi="Times New Roman" w:cs="Times New Roman"/>
      <w:b/>
      <w:bCs/>
      <w:sz w:val="22"/>
      <w:szCs w:val="22"/>
    </w:rPr>
  </w:style>
  <w:style w:type="paragraph" w:customStyle="1" w:styleId="Default">
    <w:name w:val="Default"/>
    <w:rsid w:val="00C9642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F44FCA"/>
    <w:rPr>
      <w:color w:val="0563C1" w:themeColor="hyperlink"/>
      <w:u w:val="single"/>
    </w:rPr>
  </w:style>
  <w:style w:type="character" w:styleId="Neapdorotaspaminjimas">
    <w:name w:val="Unresolved Mention"/>
    <w:basedOn w:val="Numatytasispastraiposriftas"/>
    <w:uiPriority w:val="99"/>
    <w:semiHidden/>
    <w:unhideWhenUsed/>
    <w:rsid w:val="00F44FCA"/>
    <w:rPr>
      <w:color w:val="605E5C"/>
      <w:shd w:val="clear" w:color="auto" w:fill="E1DFDD"/>
    </w:rPr>
  </w:style>
  <w:style w:type="paragraph" w:customStyle="1" w:styleId="doc-ti">
    <w:name w:val="doc-ti"/>
    <w:basedOn w:val="prastasis"/>
    <w:rsid w:val="005E56EB"/>
    <w:pPr>
      <w:spacing w:before="240" w:after="120"/>
      <w:jc w:val="center"/>
    </w:pPr>
    <w:rPr>
      <w:b/>
      <w:bCs/>
      <w:szCs w:val="24"/>
      <w:lang w:eastAsia="lt-LT"/>
    </w:rPr>
  </w:style>
  <w:style w:type="paragraph" w:customStyle="1" w:styleId="Style29">
    <w:name w:val="Style29"/>
    <w:basedOn w:val="prastasis"/>
    <w:rsid w:val="00984934"/>
    <w:pPr>
      <w:widowControl w:val="0"/>
      <w:autoSpaceDE w:val="0"/>
      <w:autoSpaceDN w:val="0"/>
      <w:adjustRightInd w:val="0"/>
      <w:spacing w:line="276" w:lineRule="exact"/>
      <w:ind w:firstLine="547"/>
      <w:jc w:val="both"/>
    </w:pPr>
    <w:rPr>
      <w:szCs w:val="24"/>
      <w:lang w:eastAsia="lt-LT"/>
    </w:rPr>
  </w:style>
  <w:style w:type="paragraph" w:customStyle="1" w:styleId="Style25">
    <w:name w:val="Style25"/>
    <w:basedOn w:val="prastasis"/>
    <w:rsid w:val="007520DD"/>
    <w:pPr>
      <w:widowControl w:val="0"/>
      <w:autoSpaceDE w:val="0"/>
      <w:autoSpaceDN w:val="0"/>
      <w:adjustRightInd w:val="0"/>
      <w:spacing w:line="274" w:lineRule="exact"/>
      <w:ind w:firstLine="288"/>
      <w:jc w:val="both"/>
    </w:pPr>
    <w:rPr>
      <w:szCs w:val="24"/>
      <w:lang w:eastAsia="lt-LT"/>
    </w:rPr>
  </w:style>
  <w:style w:type="paragraph" w:styleId="prastasiniatinklio">
    <w:name w:val="Normal (Web)"/>
    <w:basedOn w:val="prastasis"/>
    <w:uiPriority w:val="99"/>
    <w:unhideWhenUsed/>
    <w:qFormat/>
    <w:rsid w:val="00750283"/>
    <w:pPr>
      <w:suppressAutoHyphens/>
      <w:spacing w:beforeAutospacing="1" w:after="2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686565">
      <w:bodyDiv w:val="1"/>
      <w:marLeft w:val="0"/>
      <w:marRight w:val="0"/>
      <w:marTop w:val="0"/>
      <w:marBottom w:val="0"/>
      <w:divBdr>
        <w:top w:val="none" w:sz="0" w:space="0" w:color="auto"/>
        <w:left w:val="none" w:sz="0" w:space="0" w:color="auto"/>
        <w:bottom w:val="none" w:sz="0" w:space="0" w:color="auto"/>
        <w:right w:val="none" w:sz="0" w:space="0" w:color="auto"/>
      </w:divBdr>
      <w:divsChild>
        <w:div w:id="801652733">
          <w:marLeft w:val="446"/>
          <w:marRight w:val="0"/>
          <w:marTop w:val="150"/>
          <w:marBottom w:val="0"/>
          <w:divBdr>
            <w:top w:val="none" w:sz="0" w:space="0" w:color="auto"/>
            <w:left w:val="none" w:sz="0" w:space="0" w:color="auto"/>
            <w:bottom w:val="none" w:sz="0" w:space="0" w:color="auto"/>
            <w:right w:val="none" w:sz="0" w:space="0" w:color="auto"/>
          </w:divBdr>
        </w:div>
        <w:div w:id="1388411042">
          <w:marLeft w:val="446"/>
          <w:marRight w:val="0"/>
          <w:marTop w:val="150"/>
          <w:marBottom w:val="0"/>
          <w:divBdr>
            <w:top w:val="none" w:sz="0" w:space="0" w:color="auto"/>
            <w:left w:val="none" w:sz="0" w:space="0" w:color="auto"/>
            <w:bottom w:val="none" w:sz="0" w:space="0" w:color="auto"/>
            <w:right w:val="none" w:sz="0" w:space="0" w:color="auto"/>
          </w:divBdr>
        </w:div>
        <w:div w:id="1052776231">
          <w:marLeft w:val="446"/>
          <w:marRight w:val="0"/>
          <w:marTop w:val="150"/>
          <w:marBottom w:val="0"/>
          <w:divBdr>
            <w:top w:val="none" w:sz="0" w:space="0" w:color="auto"/>
            <w:left w:val="none" w:sz="0" w:space="0" w:color="auto"/>
            <w:bottom w:val="none" w:sz="0" w:space="0" w:color="auto"/>
            <w:right w:val="none" w:sz="0" w:space="0" w:color="auto"/>
          </w:divBdr>
        </w:div>
        <w:div w:id="447166849">
          <w:marLeft w:val="446"/>
          <w:marRight w:val="0"/>
          <w:marTop w:val="150"/>
          <w:marBottom w:val="0"/>
          <w:divBdr>
            <w:top w:val="none" w:sz="0" w:space="0" w:color="auto"/>
            <w:left w:val="none" w:sz="0" w:space="0" w:color="auto"/>
            <w:bottom w:val="none" w:sz="0" w:space="0" w:color="auto"/>
            <w:right w:val="none" w:sz="0" w:space="0" w:color="auto"/>
          </w:divBdr>
        </w:div>
        <w:div w:id="404692518">
          <w:marLeft w:val="446"/>
          <w:marRight w:val="0"/>
          <w:marTop w:val="150"/>
          <w:marBottom w:val="0"/>
          <w:divBdr>
            <w:top w:val="none" w:sz="0" w:space="0" w:color="auto"/>
            <w:left w:val="none" w:sz="0" w:space="0" w:color="auto"/>
            <w:bottom w:val="none" w:sz="0" w:space="0" w:color="auto"/>
            <w:right w:val="none" w:sz="0" w:space="0" w:color="auto"/>
          </w:divBdr>
        </w:div>
      </w:divsChild>
    </w:div>
    <w:div w:id="1442604866">
      <w:bodyDiv w:val="1"/>
      <w:marLeft w:val="0"/>
      <w:marRight w:val="0"/>
      <w:marTop w:val="0"/>
      <w:marBottom w:val="0"/>
      <w:divBdr>
        <w:top w:val="none" w:sz="0" w:space="0" w:color="auto"/>
        <w:left w:val="none" w:sz="0" w:space="0" w:color="auto"/>
        <w:bottom w:val="none" w:sz="0" w:space="0" w:color="auto"/>
        <w:right w:val="none" w:sz="0" w:space="0" w:color="auto"/>
      </w:divBdr>
    </w:div>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C2C93-3974-4242-958F-617967BB89D5}">
  <ds:schemaRefs>
    <ds:schemaRef ds:uri="http://schemas.openxmlformats.org/officeDocument/2006/bibliography"/>
  </ds:schemaRefs>
</ds:datastoreItem>
</file>

<file path=customXml/itemProps2.xml><?xml version="1.0" encoding="utf-8"?>
<ds:datastoreItem xmlns:ds="http://schemas.openxmlformats.org/officeDocument/2006/customXml" ds:itemID="{0CC6B3ED-9BAD-48C5-9D00-C26E76194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09C04-BD53-4B28-8370-B0559201F9EF}">
  <ds:schemaRefs>
    <ds:schemaRef ds:uri="http://schemas.microsoft.com/sharepoint/v3/contenttype/forms"/>
  </ds:schemaRefs>
</ds:datastoreItem>
</file>

<file path=customXml/itemProps4.xml><?xml version="1.0" encoding="utf-8"?>
<ds:datastoreItem xmlns:ds="http://schemas.openxmlformats.org/officeDocument/2006/customXml" ds:itemID="{DD833F16-25AB-4FBB-9E8F-53D1697FC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5270</Words>
  <Characters>3004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Lina Sveklaite</cp:lastModifiedBy>
  <cp:revision>76</cp:revision>
  <cp:lastPrinted>2018-08-10T07:02:00Z</cp:lastPrinted>
  <dcterms:created xsi:type="dcterms:W3CDTF">2020-02-25T12:01:00Z</dcterms:created>
  <dcterms:modified xsi:type="dcterms:W3CDTF">2020-08-31T07:15:00Z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