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84"/>
        <w:gridCol w:w="2919"/>
        <w:gridCol w:w="3649"/>
      </w:tblGrid>
      <w:tr w:rsidR="002E45CF" w14:paraId="297F3E2C" w14:textId="77777777">
        <w:trPr>
          <w:jc w:val="center"/>
        </w:trPr>
        <w:tc>
          <w:tcPr>
            <w:tcW w:w="3284" w:type="dxa"/>
          </w:tcPr>
          <w:p w14:paraId="60F49527" w14:textId="77777777" w:rsidR="002E45CF" w:rsidRDefault="002E45CF">
            <w:pPr>
              <w:tabs>
                <w:tab w:val="center" w:pos="4153"/>
                <w:tab w:val="right" w:pos="8306"/>
              </w:tabs>
              <w:rPr>
                <w:sz w:val="20"/>
                <w:lang w:eastAsia="lt-LT"/>
              </w:rPr>
            </w:pPr>
          </w:p>
          <w:p w14:paraId="220AEDFC" w14:textId="77777777" w:rsidR="002E45CF" w:rsidRDefault="002E45CF">
            <w:pPr>
              <w:jc w:val="center"/>
              <w:rPr>
                <w:sz w:val="20"/>
                <w:lang w:eastAsia="lt-LT"/>
              </w:rPr>
            </w:pPr>
          </w:p>
        </w:tc>
        <w:tc>
          <w:tcPr>
            <w:tcW w:w="2919" w:type="dxa"/>
          </w:tcPr>
          <w:p w14:paraId="185896D8" w14:textId="77777777" w:rsidR="002E45CF" w:rsidRDefault="002E45CF" w:rsidP="00B715D1">
            <w:pPr>
              <w:rPr>
                <w:sz w:val="20"/>
                <w:lang w:eastAsia="lt-LT"/>
              </w:rPr>
            </w:pPr>
          </w:p>
        </w:tc>
        <w:tc>
          <w:tcPr>
            <w:tcW w:w="3649" w:type="dxa"/>
          </w:tcPr>
          <w:p w14:paraId="21E1BC16" w14:textId="6D088327" w:rsidR="002E45CF" w:rsidRDefault="00CD65AB" w:rsidP="00CD65AB">
            <w:pPr>
              <w:tabs>
                <w:tab w:val="left" w:pos="1167"/>
              </w:tabs>
              <w:ind w:left="1167"/>
              <w:rPr>
                <w:b/>
                <w:lang w:eastAsia="lt-LT"/>
              </w:rPr>
            </w:pPr>
            <w:r>
              <w:rPr>
                <w:b/>
                <w:lang w:eastAsia="lt-LT"/>
              </w:rPr>
              <w:t xml:space="preserve"> </w:t>
            </w:r>
            <w:r w:rsidR="002648F9">
              <w:rPr>
                <w:b/>
                <w:lang w:eastAsia="lt-LT"/>
              </w:rPr>
              <w:t>Projekt</w:t>
            </w:r>
            <w:r>
              <w:rPr>
                <w:b/>
                <w:lang w:eastAsia="lt-LT"/>
              </w:rPr>
              <w:t>o</w:t>
            </w:r>
          </w:p>
          <w:p w14:paraId="1B33B3A3" w14:textId="3809DA4D" w:rsidR="00CD65AB" w:rsidRDefault="00CD65AB" w:rsidP="00CD65AB">
            <w:pPr>
              <w:tabs>
                <w:tab w:val="left" w:pos="1167"/>
              </w:tabs>
              <w:ind w:left="1167"/>
              <w:jc w:val="right"/>
              <w:rPr>
                <w:b/>
                <w:lang w:eastAsia="lt-LT"/>
              </w:rPr>
            </w:pPr>
            <w:r>
              <w:rPr>
                <w:b/>
                <w:lang w:eastAsia="lt-LT"/>
              </w:rPr>
              <w:t>lyginamasis variantas</w:t>
            </w:r>
          </w:p>
        </w:tc>
      </w:tr>
      <w:tr w:rsidR="002E45CF" w14:paraId="55384FE6" w14:textId="77777777">
        <w:trPr>
          <w:jc w:val="center"/>
        </w:trPr>
        <w:tc>
          <w:tcPr>
            <w:tcW w:w="3284" w:type="dxa"/>
          </w:tcPr>
          <w:p w14:paraId="1180DC2E" w14:textId="77777777" w:rsidR="002E45CF" w:rsidRDefault="002E45CF">
            <w:pPr>
              <w:jc w:val="center"/>
              <w:rPr>
                <w:sz w:val="20"/>
                <w:lang w:eastAsia="lt-LT"/>
              </w:rPr>
            </w:pPr>
          </w:p>
        </w:tc>
        <w:tc>
          <w:tcPr>
            <w:tcW w:w="2919" w:type="dxa"/>
          </w:tcPr>
          <w:p w14:paraId="178B7B0C" w14:textId="4E7A6E39" w:rsidR="002E45CF" w:rsidRDefault="002E45CF">
            <w:pPr>
              <w:jc w:val="center"/>
              <w:rPr>
                <w:sz w:val="20"/>
                <w:lang w:eastAsia="lt-LT"/>
              </w:rPr>
            </w:pPr>
          </w:p>
        </w:tc>
        <w:tc>
          <w:tcPr>
            <w:tcW w:w="3649" w:type="dxa"/>
          </w:tcPr>
          <w:p w14:paraId="5CFC46E3" w14:textId="77777777" w:rsidR="002E45CF" w:rsidRDefault="002E45CF" w:rsidP="00B715D1">
            <w:pPr>
              <w:rPr>
                <w:sz w:val="20"/>
                <w:lang w:eastAsia="lt-LT"/>
              </w:rPr>
            </w:pPr>
          </w:p>
        </w:tc>
      </w:tr>
    </w:tbl>
    <w:p w14:paraId="1964FB81" w14:textId="77777777" w:rsidR="00E277DA" w:rsidRPr="00FE6ACA" w:rsidRDefault="00E277DA" w:rsidP="00E277DA">
      <w:pPr>
        <w:keepNext/>
        <w:jc w:val="center"/>
        <w:rPr>
          <w:b/>
          <w:caps/>
          <w:szCs w:val="24"/>
          <w:lang w:eastAsia="lt-LT"/>
        </w:rPr>
      </w:pPr>
      <w:r w:rsidRPr="00FE6ACA">
        <w:rPr>
          <w:b/>
          <w:caps/>
          <w:szCs w:val="24"/>
          <w:lang w:eastAsia="lt-LT"/>
        </w:rPr>
        <w:t>Lietuvos Respublikos Vyriausybė</w:t>
      </w:r>
    </w:p>
    <w:p w14:paraId="70C3E6DD" w14:textId="77777777" w:rsidR="002E45CF" w:rsidRPr="00B66FD0" w:rsidRDefault="002E45CF">
      <w:pPr>
        <w:jc w:val="center"/>
        <w:rPr>
          <w:b/>
          <w:caps/>
          <w:sz w:val="28"/>
          <w:szCs w:val="28"/>
          <w:lang w:eastAsia="lt-LT"/>
        </w:rPr>
      </w:pPr>
    </w:p>
    <w:p w14:paraId="267CB2EF" w14:textId="77777777" w:rsidR="002E45CF" w:rsidRPr="00E277DA" w:rsidRDefault="002648F9">
      <w:pPr>
        <w:jc w:val="center"/>
        <w:rPr>
          <w:b/>
          <w:caps/>
          <w:szCs w:val="24"/>
          <w:lang w:eastAsia="lt-LT"/>
        </w:rPr>
      </w:pPr>
      <w:r w:rsidRPr="00E277DA">
        <w:rPr>
          <w:b/>
          <w:caps/>
          <w:szCs w:val="24"/>
          <w:lang w:eastAsia="lt-LT"/>
        </w:rPr>
        <w:t>NUTARIMAS</w:t>
      </w:r>
    </w:p>
    <w:p w14:paraId="46FDB67C" w14:textId="2D53F2BD" w:rsidR="002E45CF" w:rsidRPr="00E277DA" w:rsidRDefault="002648F9" w:rsidP="00E0432C">
      <w:pPr>
        <w:suppressAutoHyphens/>
        <w:jc w:val="center"/>
        <w:textAlignment w:val="baseline"/>
        <w:rPr>
          <w:b/>
          <w:caps/>
          <w:szCs w:val="24"/>
          <w:lang w:eastAsia="lt-LT"/>
        </w:rPr>
      </w:pPr>
      <w:r w:rsidRPr="00E277DA">
        <w:rPr>
          <w:b/>
          <w:caps/>
          <w:szCs w:val="24"/>
          <w:lang w:eastAsia="lt-LT"/>
        </w:rPr>
        <w:t xml:space="preserve">Dėl </w:t>
      </w:r>
      <w:r w:rsidR="00E0432C" w:rsidRPr="00E277DA">
        <w:rPr>
          <w:b/>
          <w:caps/>
          <w:szCs w:val="24"/>
          <w:lang w:eastAsia="lt-LT"/>
        </w:rPr>
        <w:t xml:space="preserve">LIETUVOS RESPUBLIKOS VYRIAUSYBĖs 2015 m. liepos 1 d. nutarimo </w:t>
      </w:r>
      <w:r w:rsidR="009E2E12">
        <w:rPr>
          <w:b/>
          <w:caps/>
          <w:szCs w:val="24"/>
          <w:lang w:eastAsia="lt-LT"/>
        </w:rPr>
        <w:br/>
      </w:r>
      <w:r w:rsidR="00E0432C" w:rsidRPr="00E277DA">
        <w:rPr>
          <w:b/>
          <w:caps/>
          <w:szCs w:val="24"/>
          <w:lang w:eastAsia="lt-LT"/>
        </w:rPr>
        <w:t>Nr. 686 „DĖL LIETUVOS NACIONALINIO RADIJO IR TELEVIZIJOS RADIJO IR TELEVIZIJOS PROGRAMŲ SIGNALŲ ELEKTRONINIŲ RYŠIŲ TINKLAIS PERDAVIMO VISUOMENEI PASLAUGŲ IR PASLAUGŲ, KURIŲ REIKIA LIETUVOS NACIONALINIO RADIJO IR TELEVIZIJOS RADIJO IR TELEVIZIJOS TINKLAMS TEIKTI IR EKSPLOATUOTI, TEIKIMO IR KOMPENSAVIMO UŽ ŠIŲ PASLAUGŲ TEIKIMĄ TVARKOS IR SĄLYGŲ APRAŠO PATVIRTINIMO“ pakeitimo</w:t>
      </w:r>
    </w:p>
    <w:p w14:paraId="0E4E9D60" w14:textId="77777777" w:rsidR="002E45CF" w:rsidRDefault="002E45CF">
      <w:pPr>
        <w:jc w:val="center"/>
        <w:rPr>
          <w:b/>
          <w:sz w:val="26"/>
          <w:lang w:eastAsia="lt-LT"/>
        </w:rPr>
      </w:pPr>
    </w:p>
    <w:p w14:paraId="78F815AF" w14:textId="77777777" w:rsidR="002E45CF" w:rsidRDefault="002648F9">
      <w:pPr>
        <w:jc w:val="center"/>
        <w:rPr>
          <w:lang w:eastAsia="lt-LT"/>
        </w:rPr>
      </w:pPr>
      <w:r>
        <w:rPr>
          <w:lang w:eastAsia="lt-LT"/>
        </w:rPr>
        <w:t xml:space="preserve">2020 m. _________ __ d. Nr. </w:t>
      </w:r>
    </w:p>
    <w:p w14:paraId="6064C20C" w14:textId="77777777" w:rsidR="002E45CF" w:rsidRDefault="002648F9">
      <w:pPr>
        <w:jc w:val="center"/>
        <w:rPr>
          <w:lang w:eastAsia="lt-LT"/>
        </w:rPr>
      </w:pPr>
      <w:r>
        <w:rPr>
          <w:lang w:eastAsia="lt-LT"/>
        </w:rPr>
        <w:t>Vilnius</w:t>
      </w:r>
    </w:p>
    <w:p w14:paraId="147540B8" w14:textId="77777777" w:rsidR="002E45CF" w:rsidRDefault="002E45CF">
      <w:pPr>
        <w:rPr>
          <w:lang w:eastAsia="lt-LT"/>
        </w:rPr>
      </w:pPr>
    </w:p>
    <w:p w14:paraId="56FD0077" w14:textId="77777777" w:rsidR="002E45CF" w:rsidRDefault="002E45CF">
      <w:pPr>
        <w:rPr>
          <w:lang w:eastAsia="lt-LT"/>
        </w:rPr>
      </w:pPr>
    </w:p>
    <w:p w14:paraId="287E556C" w14:textId="77777777" w:rsidR="00B715D1" w:rsidRDefault="00B715D1">
      <w:pPr>
        <w:rPr>
          <w:lang w:eastAsia="lt-LT"/>
        </w:rPr>
        <w:sectPr w:rsidR="00B715D1">
          <w:headerReference w:type="even" r:id="rId9"/>
          <w:headerReference w:type="default" r:id="rId10"/>
          <w:footerReference w:type="even" r:id="rId11"/>
          <w:footerReference w:type="default" r:id="rId12"/>
          <w:headerReference w:type="first" r:id="rId13"/>
          <w:footerReference w:type="first" r:id="rId14"/>
          <w:pgSz w:w="11906" w:h="16838" w:code="9"/>
          <w:pgMar w:top="964" w:right="567" w:bottom="1134" w:left="1701" w:header="567" w:footer="567" w:gutter="0"/>
          <w:cols w:space="1296"/>
          <w:titlePg/>
        </w:sectPr>
      </w:pPr>
    </w:p>
    <w:p w14:paraId="4307ACAC" w14:textId="77777777" w:rsidR="002E45CF" w:rsidRDefault="002648F9">
      <w:pPr>
        <w:ind w:firstLine="720"/>
        <w:jc w:val="both"/>
        <w:rPr>
          <w:color w:val="000000"/>
          <w:szCs w:val="24"/>
          <w:lang w:eastAsia="lt-LT"/>
        </w:rPr>
      </w:pPr>
      <w:r>
        <w:rPr>
          <w:color w:val="000000"/>
          <w:szCs w:val="24"/>
          <w:lang w:eastAsia="lt-LT"/>
        </w:rPr>
        <w:lastRenderedPageBreak/>
        <w:t>Lietuvos Respublikos Vyriausybė n u t a r i a:</w:t>
      </w:r>
    </w:p>
    <w:p w14:paraId="5DE45273" w14:textId="2EDF637B" w:rsidR="0070174F" w:rsidRDefault="0070174F">
      <w:pPr>
        <w:ind w:firstLine="720"/>
        <w:jc w:val="both"/>
        <w:rPr>
          <w:color w:val="000000"/>
          <w:szCs w:val="24"/>
          <w:lang w:eastAsia="lt-LT"/>
        </w:rPr>
      </w:pPr>
      <w:r w:rsidRPr="0070174F">
        <w:rPr>
          <w:color w:val="000000"/>
          <w:szCs w:val="24"/>
          <w:lang w:eastAsia="lt-LT"/>
        </w:rPr>
        <w:t>Pakeisti Lietuvos Respublikos Vyriausybės 20</w:t>
      </w:r>
      <w:r>
        <w:rPr>
          <w:color w:val="000000"/>
          <w:szCs w:val="24"/>
          <w:lang w:eastAsia="lt-LT"/>
        </w:rPr>
        <w:t>15</w:t>
      </w:r>
      <w:r w:rsidRPr="0070174F">
        <w:rPr>
          <w:color w:val="000000"/>
          <w:szCs w:val="24"/>
          <w:lang w:eastAsia="lt-LT"/>
        </w:rPr>
        <w:t xml:space="preserve"> m. </w:t>
      </w:r>
      <w:r>
        <w:rPr>
          <w:color w:val="000000"/>
          <w:szCs w:val="24"/>
          <w:lang w:eastAsia="lt-LT"/>
        </w:rPr>
        <w:t>liepos</w:t>
      </w:r>
      <w:r w:rsidRPr="0070174F">
        <w:rPr>
          <w:color w:val="000000"/>
          <w:szCs w:val="24"/>
          <w:lang w:eastAsia="lt-LT"/>
        </w:rPr>
        <w:t xml:space="preserve"> </w:t>
      </w:r>
      <w:r>
        <w:rPr>
          <w:color w:val="000000"/>
          <w:szCs w:val="24"/>
          <w:lang w:eastAsia="lt-LT"/>
        </w:rPr>
        <w:t xml:space="preserve">1 d. </w:t>
      </w:r>
      <w:r w:rsidR="00C64300">
        <w:rPr>
          <w:color w:val="000000"/>
          <w:szCs w:val="24"/>
          <w:lang w:eastAsia="lt-LT"/>
        </w:rPr>
        <w:t xml:space="preserve">nutarimą </w:t>
      </w:r>
      <w:r>
        <w:rPr>
          <w:color w:val="000000"/>
          <w:szCs w:val="24"/>
          <w:lang w:eastAsia="lt-LT"/>
        </w:rPr>
        <w:t>Nr. 686</w:t>
      </w:r>
      <w:r w:rsidRPr="0070174F">
        <w:rPr>
          <w:color w:val="000000"/>
          <w:szCs w:val="24"/>
          <w:lang w:eastAsia="lt-LT"/>
        </w:rPr>
        <w:t xml:space="preserve"> </w:t>
      </w:r>
      <w:r w:rsidR="00E977E4" w:rsidRPr="00E977E4">
        <w:rPr>
          <w:color w:val="000000"/>
          <w:szCs w:val="24"/>
          <w:lang w:eastAsia="lt-LT"/>
        </w:rPr>
        <w:t>„Dėl Lietuvos nacionalinio radijo ir televizijos</w:t>
      </w:r>
      <w:r w:rsidR="00AF1952" w:rsidRPr="00AF1952">
        <w:rPr>
          <w:szCs w:val="24"/>
        </w:rPr>
        <w:t xml:space="preserve"> </w:t>
      </w:r>
      <w:r w:rsidR="00AF1952" w:rsidRPr="00255373">
        <w:rPr>
          <w:szCs w:val="24"/>
        </w:rPr>
        <w:t>radijo ir televizijos</w:t>
      </w:r>
      <w:r w:rsidR="00E977E4" w:rsidRPr="00E977E4">
        <w:rPr>
          <w:color w:val="000000"/>
          <w:szCs w:val="24"/>
          <w:lang w:eastAsia="lt-LT"/>
        </w:rPr>
        <w:t xml:space="preserve"> programų signalų elektroninių ryšių tinklais perdavimo visuomenei paslaugų ir paslaugų, kurių reikia </w:t>
      </w:r>
      <w:r w:rsidR="003602F3" w:rsidRPr="003602F3">
        <w:rPr>
          <w:color w:val="000000"/>
          <w:szCs w:val="24"/>
          <w:lang w:eastAsia="lt-LT"/>
        </w:rPr>
        <w:t>Lietuvos nacionalinio radijo ir televizijos</w:t>
      </w:r>
      <w:r w:rsidR="00E977E4" w:rsidRPr="00E977E4">
        <w:rPr>
          <w:color w:val="000000"/>
          <w:szCs w:val="24"/>
          <w:lang w:eastAsia="lt-LT"/>
        </w:rPr>
        <w:t xml:space="preserve"> radijo ir televizijos tinklams teikti ir eksploatuoti, teikimo ir kompensavimo už šių paslaugų teikimą tvarko</w:t>
      </w:r>
      <w:r w:rsidR="00E977E4">
        <w:rPr>
          <w:color w:val="000000"/>
          <w:szCs w:val="24"/>
          <w:lang w:eastAsia="lt-LT"/>
        </w:rPr>
        <w:t>s ir sąlygų aprašo patvirtinimo</w:t>
      </w:r>
      <w:r w:rsidRPr="0070174F">
        <w:rPr>
          <w:color w:val="000000"/>
          <w:szCs w:val="24"/>
          <w:lang w:eastAsia="lt-LT"/>
        </w:rPr>
        <w:t>“:</w:t>
      </w:r>
    </w:p>
    <w:p w14:paraId="19407F4D" w14:textId="537CFF8F" w:rsidR="00C64300" w:rsidRPr="00C64300" w:rsidRDefault="00C64300" w:rsidP="00C64300">
      <w:pPr>
        <w:pStyle w:val="Sraopastraipa"/>
        <w:numPr>
          <w:ilvl w:val="0"/>
          <w:numId w:val="3"/>
        </w:numPr>
        <w:jc w:val="both"/>
        <w:rPr>
          <w:color w:val="000000"/>
          <w:szCs w:val="24"/>
          <w:lang w:eastAsia="lt-LT"/>
        </w:rPr>
      </w:pPr>
      <w:r w:rsidRPr="00C64300">
        <w:rPr>
          <w:color w:val="000000"/>
          <w:szCs w:val="24"/>
          <w:lang w:eastAsia="lt-LT"/>
        </w:rPr>
        <w:t>Pakeisti preambulę ir ją išdėstyti taip:</w:t>
      </w:r>
    </w:p>
    <w:p w14:paraId="0992F83E" w14:textId="5D64AFEF" w:rsidR="00C64300" w:rsidRDefault="00C64300" w:rsidP="00C64300">
      <w:pPr>
        <w:ind w:firstLine="709"/>
        <w:jc w:val="both"/>
        <w:rPr>
          <w:color w:val="000000"/>
          <w:szCs w:val="24"/>
          <w:lang w:eastAsia="lt-LT"/>
        </w:rPr>
      </w:pPr>
      <w:r w:rsidRPr="00C64300">
        <w:rPr>
          <w:color w:val="000000"/>
          <w:szCs w:val="24"/>
          <w:lang w:eastAsia="lt-LT"/>
        </w:rPr>
        <w:t xml:space="preserve">„Vadovaudamasi Lietuvos Respublikos Lietuvos nacionalinio radijo ir televizijos įstatymo </w:t>
      </w:r>
      <w:r w:rsidR="009E2E12">
        <w:rPr>
          <w:color w:val="000000"/>
          <w:szCs w:val="24"/>
          <w:lang w:eastAsia="lt-LT"/>
        </w:rPr>
        <w:br/>
      </w:r>
      <w:r w:rsidRPr="00C64300">
        <w:rPr>
          <w:color w:val="000000"/>
          <w:szCs w:val="24"/>
          <w:lang w:eastAsia="lt-LT"/>
        </w:rPr>
        <w:t>5 straipsnio pakeitimo įstatymo 2 straipsnio 4 dalimi ir 2011 m. gruodžio 20 d. Europos Komisijos sprendimu Nr. 2012/21/ES dėl Sutarties dėl Europos Sąjungos veikimo 106 straipsnio 2 dalies taikymo valstybės pagalbai, kompensacijos už viešąją paslaugą forma skiriamai tam tikroms įmonėms, kurioms pavesta teikti visuotinės ekonominės svarbos paslaugas</w:t>
      </w:r>
      <w:r w:rsidR="00C04A28">
        <w:rPr>
          <w:color w:val="000000"/>
          <w:szCs w:val="24"/>
          <w:lang w:eastAsia="lt-LT"/>
        </w:rPr>
        <w:t xml:space="preserve"> </w:t>
      </w:r>
      <w:r w:rsidR="00C04A28" w:rsidRPr="00C04A28">
        <w:rPr>
          <w:strike/>
          <w:color w:val="000000"/>
          <w:szCs w:val="24"/>
          <w:lang w:eastAsia="lt-LT"/>
        </w:rPr>
        <w:t>(OL 2012 L 7, p. 3)</w:t>
      </w:r>
      <w:r w:rsidRPr="00C64300">
        <w:rPr>
          <w:color w:val="000000"/>
          <w:szCs w:val="24"/>
          <w:lang w:eastAsia="lt-LT"/>
        </w:rPr>
        <w:t xml:space="preserve">, atsižvelgdama į </w:t>
      </w:r>
      <w:r w:rsidRPr="00F74480">
        <w:rPr>
          <w:strike/>
          <w:color w:val="000000"/>
          <w:szCs w:val="24"/>
          <w:lang w:eastAsia="lt-LT"/>
        </w:rPr>
        <w:t xml:space="preserve">Lietuvos Respublikos Lietuvos nacionalinio radijo ir televizijos įstatymo 15 straipsnį ir </w:t>
      </w:r>
      <w:r w:rsidR="00EA3BE1" w:rsidRPr="00F74480">
        <w:rPr>
          <w:strike/>
          <w:color w:val="000000"/>
          <w:szCs w:val="24"/>
          <w:lang w:eastAsia="lt-LT"/>
        </w:rPr>
        <w:t>VšĮ</w:t>
      </w:r>
      <w:r w:rsidR="00EA3BE1" w:rsidRPr="00EA3BE1">
        <w:rPr>
          <w:color w:val="000000"/>
          <w:szCs w:val="24"/>
          <w:lang w:eastAsia="lt-LT"/>
        </w:rPr>
        <w:t xml:space="preserve"> </w:t>
      </w:r>
      <w:r w:rsidR="00351E39">
        <w:rPr>
          <w:b/>
          <w:bCs/>
          <w:color w:val="000000"/>
          <w:szCs w:val="24"/>
          <w:lang w:eastAsia="lt-LT"/>
        </w:rPr>
        <w:t>v</w:t>
      </w:r>
      <w:r w:rsidR="009135C0" w:rsidRPr="00EA3BE1">
        <w:rPr>
          <w:b/>
          <w:bCs/>
          <w:color w:val="000000"/>
          <w:szCs w:val="24"/>
          <w:lang w:eastAsia="lt-LT"/>
        </w:rPr>
        <w:t>iešosios</w:t>
      </w:r>
      <w:r w:rsidR="009135C0">
        <w:rPr>
          <w:color w:val="000000"/>
          <w:szCs w:val="24"/>
          <w:lang w:eastAsia="lt-LT"/>
        </w:rPr>
        <w:t xml:space="preserve"> </w:t>
      </w:r>
      <w:r w:rsidR="009135C0" w:rsidRPr="00EA3BE1">
        <w:rPr>
          <w:b/>
          <w:bCs/>
          <w:color w:val="000000"/>
          <w:szCs w:val="24"/>
          <w:lang w:eastAsia="lt-LT"/>
        </w:rPr>
        <w:t>įstaigos</w:t>
      </w:r>
      <w:r w:rsidRPr="00C64300">
        <w:rPr>
          <w:color w:val="000000"/>
          <w:szCs w:val="24"/>
          <w:lang w:eastAsia="lt-LT"/>
        </w:rPr>
        <w:t xml:space="preserve"> „Lietuvos nacionalinis radijas ir televizija“ (toliau – LRT) radijo ir televizijos programų signalų elektroninių ryšių tinklais perdavimo visuomenei paslaugų ir paslaugų, kurių reikia LRT radijo ir televizijos tinklams teikti ir eksploatuoti, svarbą visuomenei, Lietuvos Respublikos Vyriausybė n</w:t>
      </w:r>
      <w:r w:rsidR="009E2E12">
        <w:rPr>
          <w:color w:val="000000"/>
          <w:szCs w:val="24"/>
          <w:lang w:eastAsia="lt-LT"/>
        </w:rPr>
        <w:t> </w:t>
      </w:r>
      <w:r w:rsidRPr="00C64300">
        <w:rPr>
          <w:color w:val="000000"/>
          <w:szCs w:val="24"/>
          <w:lang w:eastAsia="lt-LT"/>
        </w:rPr>
        <w:t>u</w:t>
      </w:r>
      <w:r w:rsidR="009E2E12">
        <w:rPr>
          <w:color w:val="000000"/>
          <w:szCs w:val="24"/>
          <w:lang w:eastAsia="lt-LT"/>
        </w:rPr>
        <w:t> </w:t>
      </w:r>
      <w:r w:rsidRPr="00C64300">
        <w:rPr>
          <w:color w:val="000000"/>
          <w:szCs w:val="24"/>
          <w:lang w:eastAsia="lt-LT"/>
        </w:rPr>
        <w:t>t</w:t>
      </w:r>
      <w:r w:rsidR="009E2E12">
        <w:rPr>
          <w:color w:val="000000"/>
          <w:szCs w:val="24"/>
          <w:lang w:eastAsia="lt-LT"/>
        </w:rPr>
        <w:t> </w:t>
      </w:r>
      <w:r w:rsidRPr="00C64300">
        <w:rPr>
          <w:color w:val="000000"/>
          <w:szCs w:val="24"/>
          <w:lang w:eastAsia="lt-LT"/>
        </w:rPr>
        <w:t>a</w:t>
      </w:r>
      <w:r w:rsidR="009E2E12">
        <w:rPr>
          <w:color w:val="000000"/>
          <w:szCs w:val="24"/>
          <w:lang w:eastAsia="lt-LT"/>
        </w:rPr>
        <w:t> </w:t>
      </w:r>
      <w:r w:rsidRPr="00C64300">
        <w:rPr>
          <w:color w:val="000000"/>
          <w:szCs w:val="24"/>
          <w:lang w:eastAsia="lt-LT"/>
        </w:rPr>
        <w:t>r</w:t>
      </w:r>
      <w:r w:rsidR="009E2E12">
        <w:rPr>
          <w:color w:val="000000"/>
          <w:szCs w:val="24"/>
          <w:lang w:eastAsia="lt-LT"/>
        </w:rPr>
        <w:t> </w:t>
      </w:r>
      <w:r w:rsidRPr="00C64300">
        <w:rPr>
          <w:color w:val="000000"/>
          <w:szCs w:val="24"/>
          <w:lang w:eastAsia="lt-LT"/>
        </w:rPr>
        <w:t>i</w:t>
      </w:r>
      <w:r w:rsidR="009E2E12">
        <w:rPr>
          <w:color w:val="000000"/>
          <w:szCs w:val="24"/>
          <w:lang w:eastAsia="lt-LT"/>
        </w:rPr>
        <w:t> </w:t>
      </w:r>
      <w:r w:rsidRPr="00C64300">
        <w:rPr>
          <w:color w:val="000000"/>
          <w:szCs w:val="24"/>
          <w:lang w:eastAsia="lt-LT"/>
        </w:rPr>
        <w:t>a:“.</w:t>
      </w:r>
    </w:p>
    <w:p w14:paraId="4D2164EC" w14:textId="22729426" w:rsidR="00C64300" w:rsidRDefault="00C64300" w:rsidP="00C64300">
      <w:pPr>
        <w:pStyle w:val="Sraopastraipa"/>
        <w:numPr>
          <w:ilvl w:val="0"/>
          <w:numId w:val="3"/>
        </w:numPr>
        <w:tabs>
          <w:tab w:val="left" w:pos="1134"/>
        </w:tabs>
        <w:ind w:left="0" w:firstLine="709"/>
        <w:jc w:val="both"/>
        <w:rPr>
          <w:color w:val="000000"/>
          <w:szCs w:val="24"/>
          <w:lang w:eastAsia="lt-LT"/>
        </w:rPr>
      </w:pPr>
      <w:r w:rsidRPr="00C64300">
        <w:rPr>
          <w:color w:val="000000"/>
          <w:szCs w:val="24"/>
          <w:lang w:eastAsia="lt-LT"/>
        </w:rPr>
        <w:t>Pakeisti nurodytu nutarimu patvirtintą Lietuvos nacionalinio radijo ir televizijos radijo ir televizijos programų signalų elektroninių ryšių tinklais perdavimo visuomenei paslaugų ir paslaugų, kurių reikia Lietuvos nacionalinio radijo ir televizijos radijo ir televizijos tinklams teikti ir eksploatuoti, teikimo ir kompensavimo už šių paslaugų teikimą tvarkos ir sąlygų aprašą:</w:t>
      </w:r>
    </w:p>
    <w:p w14:paraId="79D8DD85" w14:textId="77777777" w:rsidR="00C64300" w:rsidRPr="00C64300" w:rsidRDefault="00C64300" w:rsidP="00C64300">
      <w:pPr>
        <w:pStyle w:val="Sraopastraipa"/>
        <w:tabs>
          <w:tab w:val="left" w:pos="1134"/>
        </w:tabs>
        <w:ind w:left="0" w:firstLine="709"/>
        <w:jc w:val="both"/>
        <w:rPr>
          <w:color w:val="000000"/>
          <w:szCs w:val="24"/>
          <w:lang w:eastAsia="lt-LT"/>
        </w:rPr>
      </w:pPr>
      <w:r w:rsidRPr="00C64300">
        <w:rPr>
          <w:color w:val="000000"/>
          <w:szCs w:val="24"/>
          <w:lang w:eastAsia="lt-LT"/>
        </w:rPr>
        <w:t>2.1. Pakeisti 3 punktą ir jį išdėstyti taip:</w:t>
      </w:r>
    </w:p>
    <w:p w14:paraId="20AA3E43" w14:textId="381DF55E" w:rsidR="00C64300" w:rsidRDefault="00C64300" w:rsidP="00773734">
      <w:pPr>
        <w:pStyle w:val="Sraopastraipa"/>
        <w:tabs>
          <w:tab w:val="left" w:pos="1134"/>
        </w:tabs>
        <w:ind w:left="0" w:firstLine="709"/>
        <w:jc w:val="both"/>
        <w:rPr>
          <w:color w:val="000000"/>
          <w:szCs w:val="24"/>
          <w:lang w:eastAsia="lt-LT"/>
        </w:rPr>
      </w:pPr>
      <w:r w:rsidRPr="00C64300">
        <w:rPr>
          <w:color w:val="000000"/>
          <w:szCs w:val="24"/>
          <w:lang w:eastAsia="lt-LT"/>
        </w:rPr>
        <w:t xml:space="preserve">„3. Apraše vartojamos sąvokos suprantamos taip, kaip apibrėžtos Lietuvos Respublikos elektroninių ryšių įstatyme, Lietuvos Respublikos Lietuvos nacionalinio radijo ir televizijos įstatyme ir 2011 m. gruodžio 20 d. Europos Komisijos sprendime Nr. 2012/21/ES dėl Sutarties dėl Europos Sąjungos veikimo 106 straipsnio 2 dalies taikymo valstybės pagalbai, kompensacijos už viešąją paslaugą forma skiriamai tam tikroms įmonėms, kurioms pavesta teikti visuotinės ekonominės svarbos paslaugas </w:t>
      </w:r>
      <w:r w:rsidR="00351E39" w:rsidRPr="00351E39">
        <w:rPr>
          <w:strike/>
          <w:szCs w:val="24"/>
          <w:lang w:eastAsia="lt-LT"/>
        </w:rPr>
        <w:t>(OL 2012 L 7, p. 3)</w:t>
      </w:r>
      <w:r w:rsidR="00351E39">
        <w:rPr>
          <w:szCs w:val="24"/>
          <w:lang w:eastAsia="lt-LT"/>
        </w:rPr>
        <w:t xml:space="preserve"> </w:t>
      </w:r>
      <w:r w:rsidRPr="00C64300">
        <w:rPr>
          <w:color w:val="000000"/>
          <w:szCs w:val="24"/>
          <w:lang w:eastAsia="lt-LT"/>
        </w:rPr>
        <w:t>(toliau – Sprendimas).“</w:t>
      </w:r>
    </w:p>
    <w:p w14:paraId="12A60971" w14:textId="39FE3EC0" w:rsidR="00567214" w:rsidRPr="00773734" w:rsidRDefault="00773734" w:rsidP="00773734">
      <w:pPr>
        <w:pStyle w:val="Sraopastraipa"/>
        <w:tabs>
          <w:tab w:val="left" w:pos="1134"/>
        </w:tabs>
        <w:ind w:left="0" w:firstLine="709"/>
        <w:jc w:val="both"/>
        <w:rPr>
          <w:color w:val="000000"/>
          <w:szCs w:val="24"/>
        </w:rPr>
      </w:pPr>
      <w:r>
        <w:t xml:space="preserve">2.2. </w:t>
      </w:r>
      <w:r w:rsidR="00C02AB4">
        <w:t>Pakeisti 5 punktą ir jį išdėstyti taip:</w:t>
      </w:r>
    </w:p>
    <w:p w14:paraId="01E9EF0A" w14:textId="6604C453" w:rsidR="00567214" w:rsidRPr="008A0554" w:rsidRDefault="001F71E7" w:rsidP="008A0554">
      <w:pPr>
        <w:ind w:firstLine="720"/>
        <w:jc w:val="both"/>
        <w:rPr>
          <w:szCs w:val="24"/>
          <w:lang w:eastAsia="lt-LT"/>
        </w:rPr>
      </w:pPr>
      <w:r>
        <w:rPr>
          <w:color w:val="000000"/>
          <w:szCs w:val="24"/>
        </w:rPr>
        <w:t xml:space="preserve">„5. </w:t>
      </w:r>
      <w:r w:rsidR="00F74480">
        <w:rPr>
          <w:color w:val="000000"/>
          <w:szCs w:val="24"/>
        </w:rPr>
        <w:t>Paslaugos teikiamos LRT ir teikėjui sudarius paslaugų teikimo sutartis (toliau – sutartys), kuriose nustatomas Apraše nurodytų paslaugų pobūdis, mastas, paslaugų teikimo tvarka ir kainos apskaičiavimo principai</w:t>
      </w:r>
      <w:r w:rsidR="00F74480" w:rsidRPr="00BD068D">
        <w:rPr>
          <w:b/>
          <w:strike/>
          <w:color w:val="000000"/>
          <w:szCs w:val="24"/>
        </w:rPr>
        <w:t xml:space="preserve"> </w:t>
      </w:r>
      <w:r w:rsidR="00F74480" w:rsidRPr="00BD068D">
        <w:rPr>
          <w:bCs/>
          <w:strike/>
          <w:color w:val="000000"/>
          <w:szCs w:val="24"/>
        </w:rPr>
        <w:t>ir kurios sudaromos ne vėliau kaip per 2 mėnesius nuo Aprašo įsigaliojimo dienos</w:t>
      </w:r>
      <w:r w:rsidR="00F74480" w:rsidRPr="00F74480">
        <w:rPr>
          <w:bCs/>
          <w:color w:val="000000"/>
          <w:szCs w:val="24"/>
        </w:rPr>
        <w:t>.</w:t>
      </w:r>
      <w:r w:rsidR="00F74480">
        <w:rPr>
          <w:bCs/>
          <w:color w:val="000000"/>
          <w:szCs w:val="24"/>
        </w:rPr>
        <w:t>“</w:t>
      </w:r>
    </w:p>
    <w:p w14:paraId="10E00C76" w14:textId="52A81D50" w:rsidR="00E97325" w:rsidRPr="00773734" w:rsidRDefault="00773734" w:rsidP="00773734">
      <w:pPr>
        <w:ind w:left="720"/>
        <w:jc w:val="both"/>
        <w:rPr>
          <w:color w:val="000000"/>
          <w:szCs w:val="24"/>
        </w:rPr>
      </w:pPr>
      <w:r>
        <w:t xml:space="preserve">2.3. </w:t>
      </w:r>
      <w:r w:rsidR="00E97325">
        <w:t xml:space="preserve">Pakeisti </w:t>
      </w:r>
      <w:r w:rsidR="00CA7059">
        <w:t>10</w:t>
      </w:r>
      <w:r w:rsidR="00E97325">
        <w:t xml:space="preserve"> punktą ir jį išdėstyti taip:</w:t>
      </w:r>
    </w:p>
    <w:p w14:paraId="3300E6F6" w14:textId="79DF5079" w:rsidR="002E39F2" w:rsidRDefault="00E97325" w:rsidP="00210271">
      <w:pPr>
        <w:widowControl w:val="0"/>
        <w:tabs>
          <w:tab w:val="left" w:pos="1276"/>
        </w:tabs>
        <w:ind w:firstLine="720"/>
        <w:jc w:val="both"/>
        <w:rPr>
          <w:szCs w:val="24"/>
          <w:lang w:eastAsia="lt-LT"/>
        </w:rPr>
      </w:pPr>
      <w:r>
        <w:rPr>
          <w:color w:val="000000"/>
          <w:szCs w:val="24"/>
          <w:lang w:eastAsia="lt-LT"/>
        </w:rPr>
        <w:t>„</w:t>
      </w:r>
      <w:r w:rsidRPr="00E97325">
        <w:rPr>
          <w:color w:val="000000"/>
          <w:szCs w:val="24"/>
          <w:lang w:eastAsia="lt-LT"/>
        </w:rPr>
        <w:t xml:space="preserve">10. </w:t>
      </w:r>
      <w:r w:rsidRPr="00E97325">
        <w:rPr>
          <w:szCs w:val="24"/>
          <w:lang w:eastAsia="lt-LT"/>
        </w:rPr>
        <w:t xml:space="preserve">Paslaugų kaina turi būti pagrįsta teikėjo patirtomis paslaugų teikimo LRT sąnaudomis </w:t>
      </w:r>
      <w:r w:rsidRPr="00E97325">
        <w:rPr>
          <w:szCs w:val="24"/>
          <w:lang w:eastAsia="lt-LT"/>
        </w:rPr>
        <w:lastRenderedPageBreak/>
        <w:t>(atsižvelgiant į protingumo kriterijų atitinkančią investicijų grąžą). Sąnaudų apskaitai ir apskaitos atskyrimui</w:t>
      </w:r>
      <w:r w:rsidR="009135C0">
        <w:rPr>
          <w:szCs w:val="24"/>
          <w:lang w:eastAsia="lt-LT"/>
        </w:rPr>
        <w:t xml:space="preserve"> </w:t>
      </w:r>
      <w:r w:rsidRPr="00E97325">
        <w:rPr>
          <w:szCs w:val="24"/>
          <w:lang w:eastAsia="lt-LT"/>
        </w:rPr>
        <w:t xml:space="preserve">taikomi </w:t>
      </w:r>
      <w:r w:rsidR="006564E3" w:rsidRPr="006564E3">
        <w:rPr>
          <w:strike/>
          <w:szCs w:val="24"/>
          <w:lang w:eastAsia="lt-LT"/>
        </w:rPr>
        <w:t>Aprašo 12 punkte nustatyti reikalavimai, taip pat</w:t>
      </w:r>
      <w:r w:rsidR="006564E3" w:rsidRPr="006564E3">
        <w:rPr>
          <w:szCs w:val="24"/>
          <w:lang w:eastAsia="lt-LT"/>
        </w:rPr>
        <w:t xml:space="preserve"> </w:t>
      </w:r>
      <w:r w:rsidRPr="00E97325">
        <w:rPr>
          <w:szCs w:val="24"/>
          <w:lang w:eastAsia="lt-LT"/>
        </w:rPr>
        <w:t xml:space="preserve">reikalavimai, nustatyti Tarnybos </w:t>
      </w:r>
      <w:r w:rsidR="00BE019C" w:rsidRPr="006564E3">
        <w:rPr>
          <w:b/>
          <w:bCs/>
          <w:szCs w:val="24"/>
          <w:lang w:eastAsia="lt-LT"/>
        </w:rPr>
        <w:t>direktoriaus</w:t>
      </w:r>
      <w:r w:rsidR="00BE019C">
        <w:rPr>
          <w:szCs w:val="24"/>
          <w:lang w:eastAsia="lt-LT"/>
        </w:rPr>
        <w:t xml:space="preserve"> </w:t>
      </w:r>
      <w:r w:rsidRPr="00E97325">
        <w:rPr>
          <w:szCs w:val="24"/>
          <w:lang w:eastAsia="lt-LT"/>
        </w:rPr>
        <w:t>tvirtinamose sąnaudų apskaitos taisyklėse</w:t>
      </w:r>
      <w:r w:rsidR="006564E3" w:rsidRPr="008C5B64">
        <w:rPr>
          <w:szCs w:val="24"/>
          <w:lang w:eastAsia="lt-LT"/>
        </w:rPr>
        <w:t>,</w:t>
      </w:r>
      <w:r w:rsidR="006564E3">
        <w:rPr>
          <w:szCs w:val="24"/>
          <w:lang w:eastAsia="lt-LT"/>
        </w:rPr>
        <w:t xml:space="preserve"> </w:t>
      </w:r>
      <w:r w:rsidRPr="00E97325">
        <w:rPr>
          <w:szCs w:val="24"/>
          <w:lang w:eastAsia="lt-LT"/>
        </w:rPr>
        <w:t xml:space="preserve">apskaitos atskyrimo taisyklėse ir su apskaitos atskyrimu susijusiuose reikalavimuose. Įrodinėjimo, kad paslaugų kaina pagrįsta sąnaudomis, atsižvelgiant į protingumo kriterijų atitinkančią investicijų grąžą, našta tenka teikėjui. Paslaugų kaina gali būti keičiama ne daugiau kaip kartą per metus </w:t>
      </w:r>
      <w:r w:rsidRPr="00E97325">
        <w:rPr>
          <w:color w:val="000000"/>
          <w:szCs w:val="24"/>
          <w:lang w:eastAsia="lt-LT"/>
        </w:rPr>
        <w:t>ne vėliau kaip iki einamųjų kalendorinių metų birželio 1 d. –</w:t>
      </w:r>
      <w:r w:rsidRPr="00E97325">
        <w:rPr>
          <w:szCs w:val="24"/>
          <w:lang w:eastAsia="lt-LT"/>
        </w:rPr>
        <w:t xml:space="preserve"> Tarnybai pateikiami paslaugų kainos pagrindimo sąnaudomis skaičiavimai ir paslaugų kainos </w:t>
      </w:r>
      <w:r>
        <w:rPr>
          <w:szCs w:val="24"/>
          <w:lang w:eastAsia="lt-LT"/>
        </w:rPr>
        <w:t>pakeitimo būtinumo pagrindimas.“</w:t>
      </w:r>
    </w:p>
    <w:p w14:paraId="77862CF1" w14:textId="38EB7DFB" w:rsidR="00CA7059" w:rsidRPr="00172E31" w:rsidRDefault="00172E31" w:rsidP="009E2E12">
      <w:pPr>
        <w:pStyle w:val="Sraopastraipa"/>
        <w:widowControl w:val="0"/>
        <w:numPr>
          <w:ilvl w:val="1"/>
          <w:numId w:val="3"/>
        </w:numPr>
        <w:tabs>
          <w:tab w:val="left" w:pos="1276"/>
        </w:tabs>
        <w:jc w:val="both"/>
        <w:rPr>
          <w:szCs w:val="24"/>
          <w:lang w:eastAsia="lt-LT"/>
        </w:rPr>
      </w:pPr>
      <w:r>
        <w:rPr>
          <w:szCs w:val="24"/>
          <w:lang w:eastAsia="lt-LT"/>
        </w:rPr>
        <w:t xml:space="preserve"> </w:t>
      </w:r>
      <w:r w:rsidR="002D655D" w:rsidRPr="00172E31">
        <w:rPr>
          <w:szCs w:val="24"/>
          <w:lang w:eastAsia="lt-LT"/>
        </w:rPr>
        <w:t>Pripažinti netekusiu galios 12 punktą.</w:t>
      </w:r>
    </w:p>
    <w:p w14:paraId="29FABE42" w14:textId="2751537A" w:rsidR="00172E31" w:rsidRPr="00172E31" w:rsidRDefault="00172E31" w:rsidP="0022130A">
      <w:pPr>
        <w:widowControl w:val="0"/>
        <w:tabs>
          <w:tab w:val="left" w:pos="1276"/>
        </w:tabs>
        <w:ind w:firstLine="720"/>
        <w:jc w:val="both"/>
        <w:rPr>
          <w:szCs w:val="24"/>
        </w:rPr>
      </w:pPr>
      <w:r w:rsidRPr="00DA79B1">
        <w:rPr>
          <w:strike/>
          <w:color w:val="000000"/>
          <w:szCs w:val="24"/>
        </w:rPr>
        <w:t>12. Teikėjas, vykdydamas Aprašo 10 punkte nurodytus reikalavimus, ne vėliau kaip iki einamųjų kalendorinių metų birželio 1 d. pateikia Tarnybai informaciją apie praėjusių ataskaitinių metų sąnaudų apskaitą ir apskaitos atskyrimą, kuri turi būti teikėjo lėšomis patikrinta audito. Audito reikalavimai turi būti iš anksto suderinti su Tarnyba.</w:t>
      </w:r>
    </w:p>
    <w:p w14:paraId="772322C2" w14:textId="483DFB63" w:rsidR="00CF4544" w:rsidRPr="00FE4B99" w:rsidRDefault="00210271" w:rsidP="009E2E12">
      <w:pPr>
        <w:pStyle w:val="Sraopastraipa"/>
        <w:ind w:left="709"/>
        <w:jc w:val="both"/>
        <w:rPr>
          <w:color w:val="000000"/>
          <w:szCs w:val="24"/>
        </w:rPr>
      </w:pPr>
      <w:r>
        <w:t xml:space="preserve">2.5.  </w:t>
      </w:r>
      <w:r w:rsidR="00580AC5">
        <w:t>Pakeisti 13 punktą</w:t>
      </w:r>
      <w:r w:rsidR="00CF4544" w:rsidRPr="00FE4B99">
        <w:t xml:space="preserve"> ir jį išdėstyti taip:</w:t>
      </w:r>
    </w:p>
    <w:p w14:paraId="519FB8ED" w14:textId="495E2F21" w:rsidR="00CA7059" w:rsidRPr="00FE4B99" w:rsidRDefault="00CF4544" w:rsidP="0022130A">
      <w:pPr>
        <w:widowControl w:val="0"/>
        <w:tabs>
          <w:tab w:val="left" w:pos="1276"/>
        </w:tabs>
        <w:ind w:firstLine="720"/>
        <w:jc w:val="both"/>
        <w:rPr>
          <w:szCs w:val="24"/>
        </w:rPr>
      </w:pPr>
      <w:r w:rsidRPr="00FE4B99">
        <w:rPr>
          <w:bCs/>
          <w:color w:val="000000"/>
          <w:szCs w:val="24"/>
        </w:rPr>
        <w:t>„</w:t>
      </w:r>
      <w:r w:rsidR="00580AC5" w:rsidRPr="00FE4B99">
        <w:rPr>
          <w:bCs/>
          <w:color w:val="000000"/>
          <w:szCs w:val="24"/>
        </w:rPr>
        <w:t>1</w:t>
      </w:r>
      <w:r w:rsidR="00580AC5">
        <w:rPr>
          <w:bCs/>
          <w:color w:val="000000"/>
          <w:szCs w:val="24"/>
        </w:rPr>
        <w:t>3</w:t>
      </w:r>
      <w:r w:rsidR="005D4133" w:rsidRPr="00FE4B99">
        <w:rPr>
          <w:bCs/>
          <w:color w:val="000000"/>
          <w:szCs w:val="24"/>
        </w:rPr>
        <w:t>.</w:t>
      </w:r>
      <w:r w:rsidR="005D4133" w:rsidRPr="00FE4B99">
        <w:rPr>
          <w:color w:val="000000"/>
          <w:szCs w:val="24"/>
        </w:rPr>
        <w:t xml:space="preserve"> </w:t>
      </w:r>
      <w:r w:rsidR="008D500B">
        <w:rPr>
          <w:szCs w:val="24"/>
        </w:rPr>
        <w:t xml:space="preserve">Tarnyba, </w:t>
      </w:r>
      <w:r w:rsidR="008D500B" w:rsidRPr="00C20DE8">
        <w:rPr>
          <w:strike/>
          <w:szCs w:val="24"/>
        </w:rPr>
        <w:t>gavusi Aprašo 12 punkte nurodytus duomenis ir</w:t>
      </w:r>
      <w:r w:rsidR="008D500B" w:rsidRPr="00840F00">
        <w:rPr>
          <w:strike/>
          <w:szCs w:val="24"/>
        </w:rPr>
        <w:t xml:space="preserve"> </w:t>
      </w:r>
      <w:r w:rsidR="008D500B" w:rsidRPr="00840F00">
        <w:rPr>
          <w:bCs/>
          <w:strike/>
          <w:szCs w:val="24"/>
        </w:rPr>
        <w:t>įvertinusi</w:t>
      </w:r>
      <w:r w:rsidR="008D500B">
        <w:rPr>
          <w:bCs/>
          <w:szCs w:val="24"/>
        </w:rPr>
        <w:t xml:space="preserve"> </w:t>
      </w:r>
      <w:r w:rsidR="00840F00">
        <w:rPr>
          <w:b/>
          <w:szCs w:val="24"/>
        </w:rPr>
        <w:t xml:space="preserve">patikrinusi </w:t>
      </w:r>
      <w:r w:rsidR="008D500B">
        <w:rPr>
          <w:bCs/>
          <w:szCs w:val="24"/>
        </w:rPr>
        <w:t xml:space="preserve">paslaugų kainų pagrįstumą sąnaudomis, </w:t>
      </w:r>
      <w:r w:rsidR="008D500B" w:rsidRPr="00C20DE8">
        <w:rPr>
          <w:bCs/>
          <w:strike/>
          <w:szCs w:val="24"/>
        </w:rPr>
        <w:t>patikrina paslaugų kainos pagrįstumą sąnaudomis ir</w:t>
      </w:r>
      <w:r w:rsidR="008D500B" w:rsidRPr="00C20DE8">
        <w:rPr>
          <w:bCs/>
          <w:szCs w:val="24"/>
        </w:rPr>
        <w:t xml:space="preserve"> pateikia</w:t>
      </w:r>
      <w:r w:rsidR="008D500B">
        <w:rPr>
          <w:bCs/>
          <w:szCs w:val="24"/>
        </w:rPr>
        <w:t xml:space="preserve"> </w:t>
      </w:r>
      <w:r w:rsidR="008D500B">
        <w:rPr>
          <w:szCs w:val="24"/>
        </w:rPr>
        <w:t xml:space="preserve">Lietuvos Respublikos </w:t>
      </w:r>
      <w:r w:rsidR="008D500B">
        <w:rPr>
          <w:bCs/>
          <w:szCs w:val="24"/>
        </w:rPr>
        <w:t xml:space="preserve">susisiekimo ministerijai išvadą. </w:t>
      </w:r>
      <w:r w:rsidR="008D500B">
        <w:rPr>
          <w:szCs w:val="24"/>
        </w:rPr>
        <w:t>Paslaugų kainos pagrįstumą sąnaudomis per praėjusius kalendorinius metus Tarnyba patikrina ne vėliau kaip iki einamųjų kalendorinių metų spalio</w:t>
      </w:r>
      <w:r w:rsidR="0022130A">
        <w:rPr>
          <w:szCs w:val="24"/>
        </w:rPr>
        <w:t xml:space="preserve"> </w:t>
      </w:r>
      <w:bookmarkStart w:id="0" w:name="_GoBack"/>
      <w:bookmarkEnd w:id="0"/>
      <w:r w:rsidR="008D500B">
        <w:rPr>
          <w:szCs w:val="24"/>
        </w:rPr>
        <w:t>31 dienos</w:t>
      </w:r>
      <w:r w:rsidR="005D4133" w:rsidRPr="00FE4B99">
        <w:rPr>
          <w:szCs w:val="24"/>
        </w:rPr>
        <w:t>.</w:t>
      </w:r>
      <w:r w:rsidRPr="00FE4B99">
        <w:rPr>
          <w:szCs w:val="24"/>
        </w:rPr>
        <w:t>“</w:t>
      </w:r>
    </w:p>
    <w:tbl>
      <w:tblPr>
        <w:tblW w:w="0" w:type="auto"/>
        <w:tblLayout w:type="fixed"/>
        <w:tblLook w:val="0000" w:firstRow="0" w:lastRow="0" w:firstColumn="0" w:lastColumn="0" w:noHBand="0" w:noVBand="0"/>
      </w:tblPr>
      <w:tblGrid>
        <w:gridCol w:w="5070"/>
        <w:gridCol w:w="567"/>
        <w:gridCol w:w="4213"/>
      </w:tblGrid>
      <w:tr w:rsidR="002E45CF" w14:paraId="103D0F07" w14:textId="77777777">
        <w:trPr>
          <w:trHeight w:val="240"/>
        </w:trPr>
        <w:tc>
          <w:tcPr>
            <w:tcW w:w="5070" w:type="dxa"/>
          </w:tcPr>
          <w:p w14:paraId="382F8E96" w14:textId="77777777" w:rsidR="002E45CF" w:rsidRDefault="002E45CF">
            <w:pPr>
              <w:rPr>
                <w:sz w:val="42"/>
                <w:szCs w:val="42"/>
              </w:rPr>
            </w:pPr>
          </w:p>
          <w:p w14:paraId="137DE3AA" w14:textId="77777777" w:rsidR="002E45CF" w:rsidRDefault="002648F9">
            <w:pPr>
              <w:rPr>
                <w:lang w:eastAsia="lt-LT"/>
              </w:rPr>
            </w:pPr>
            <w:r>
              <w:rPr>
                <w:lang w:eastAsia="lt-LT"/>
              </w:rPr>
              <w:t>Ministras Pirmininkas</w:t>
            </w:r>
          </w:p>
        </w:tc>
        <w:tc>
          <w:tcPr>
            <w:tcW w:w="567" w:type="dxa"/>
          </w:tcPr>
          <w:p w14:paraId="5F93BC0F" w14:textId="77777777" w:rsidR="002E45CF" w:rsidRDefault="002E45CF">
            <w:pPr>
              <w:rPr>
                <w:sz w:val="42"/>
                <w:szCs w:val="42"/>
              </w:rPr>
            </w:pPr>
          </w:p>
          <w:p w14:paraId="41A27A58" w14:textId="77777777" w:rsidR="002E45CF" w:rsidRDefault="002E45CF">
            <w:pPr>
              <w:rPr>
                <w:lang w:eastAsia="lt-LT"/>
              </w:rPr>
            </w:pPr>
          </w:p>
        </w:tc>
        <w:tc>
          <w:tcPr>
            <w:tcW w:w="4213" w:type="dxa"/>
          </w:tcPr>
          <w:p w14:paraId="113C5538" w14:textId="77777777" w:rsidR="002E45CF" w:rsidRDefault="002E45CF">
            <w:pPr>
              <w:rPr>
                <w:sz w:val="42"/>
                <w:szCs w:val="42"/>
              </w:rPr>
            </w:pPr>
          </w:p>
          <w:p w14:paraId="529DF140" w14:textId="77777777" w:rsidR="002E45CF" w:rsidRDefault="002648F9">
            <w:pPr>
              <w:rPr>
                <w:lang w:eastAsia="lt-LT"/>
              </w:rPr>
            </w:pPr>
            <w:r>
              <w:rPr>
                <w:lang w:eastAsia="lt-LT"/>
              </w:rPr>
              <w:t>     </w:t>
            </w:r>
          </w:p>
        </w:tc>
      </w:tr>
      <w:tr w:rsidR="002E45CF" w14:paraId="06496753" w14:textId="77777777">
        <w:trPr>
          <w:trHeight w:val="240"/>
        </w:trPr>
        <w:tc>
          <w:tcPr>
            <w:tcW w:w="5070" w:type="dxa"/>
          </w:tcPr>
          <w:p w14:paraId="11762CCE" w14:textId="77777777" w:rsidR="002E45CF" w:rsidRDefault="002E45CF">
            <w:pPr>
              <w:rPr>
                <w:sz w:val="42"/>
                <w:szCs w:val="42"/>
              </w:rPr>
            </w:pPr>
          </w:p>
          <w:p w14:paraId="7DA18338" w14:textId="77777777" w:rsidR="002E45CF" w:rsidRDefault="002648F9">
            <w:pPr>
              <w:rPr>
                <w:lang w:eastAsia="lt-LT"/>
              </w:rPr>
            </w:pPr>
            <w:r>
              <w:rPr>
                <w:lang w:eastAsia="lt-LT"/>
              </w:rPr>
              <w:t>Susisiekimo ministras</w:t>
            </w:r>
          </w:p>
        </w:tc>
        <w:tc>
          <w:tcPr>
            <w:tcW w:w="567" w:type="dxa"/>
          </w:tcPr>
          <w:p w14:paraId="3833F7E0" w14:textId="77777777" w:rsidR="002E45CF" w:rsidRDefault="002E45CF">
            <w:pPr>
              <w:rPr>
                <w:sz w:val="42"/>
                <w:szCs w:val="42"/>
              </w:rPr>
            </w:pPr>
          </w:p>
          <w:p w14:paraId="3CB92205" w14:textId="77777777" w:rsidR="002E45CF" w:rsidRDefault="002E45CF">
            <w:pPr>
              <w:rPr>
                <w:lang w:eastAsia="lt-LT"/>
              </w:rPr>
            </w:pPr>
          </w:p>
        </w:tc>
        <w:tc>
          <w:tcPr>
            <w:tcW w:w="4213" w:type="dxa"/>
          </w:tcPr>
          <w:p w14:paraId="255AE4E6" w14:textId="77777777" w:rsidR="002E45CF" w:rsidRDefault="002E45CF">
            <w:pPr>
              <w:rPr>
                <w:sz w:val="42"/>
                <w:szCs w:val="42"/>
              </w:rPr>
            </w:pPr>
          </w:p>
          <w:p w14:paraId="2B0BFF2F" w14:textId="77777777" w:rsidR="002E45CF" w:rsidRDefault="002648F9">
            <w:pPr>
              <w:rPr>
                <w:lang w:eastAsia="lt-LT"/>
              </w:rPr>
            </w:pPr>
            <w:r>
              <w:rPr>
                <w:lang w:eastAsia="lt-LT"/>
              </w:rPr>
              <w:t>     </w:t>
            </w:r>
          </w:p>
        </w:tc>
      </w:tr>
    </w:tbl>
    <w:p w14:paraId="490D85F0" w14:textId="77777777" w:rsidR="002E45CF" w:rsidRDefault="002E45CF">
      <w:pPr>
        <w:rPr>
          <w:lang w:eastAsia="lt-LT"/>
        </w:rPr>
        <w:sectPr w:rsidR="002E45CF">
          <w:type w:val="continuous"/>
          <w:pgSz w:w="11906" w:h="16838" w:code="9"/>
          <w:pgMar w:top="1134" w:right="567" w:bottom="1134" w:left="1701" w:header="567" w:footer="567" w:gutter="0"/>
          <w:cols w:space="1296"/>
        </w:sectPr>
      </w:pPr>
    </w:p>
    <w:p w14:paraId="26D8172A" w14:textId="77777777" w:rsidR="002E45CF" w:rsidRDefault="002E45CF">
      <w:pPr>
        <w:rPr>
          <w:sz w:val="20"/>
          <w:lang w:eastAsia="lt-LT"/>
        </w:rPr>
      </w:pPr>
    </w:p>
    <w:sectPr w:rsidR="002E45CF">
      <w:headerReference w:type="even" r:id="rId15"/>
      <w:headerReference w:type="default" r:id="rId16"/>
      <w:footerReference w:type="first" r:id="rId17"/>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D0339" w14:textId="77777777" w:rsidR="00D063C1" w:rsidRDefault="00D063C1">
      <w:pPr>
        <w:rPr>
          <w:sz w:val="20"/>
          <w:lang w:eastAsia="lt-LT"/>
        </w:rPr>
      </w:pPr>
      <w:r>
        <w:rPr>
          <w:sz w:val="20"/>
          <w:lang w:eastAsia="lt-LT"/>
        </w:rPr>
        <w:separator/>
      </w:r>
    </w:p>
  </w:endnote>
  <w:endnote w:type="continuationSeparator" w:id="0">
    <w:p w14:paraId="3CDEB49B" w14:textId="77777777" w:rsidR="00D063C1" w:rsidRDefault="00D063C1">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3E2EA" w14:textId="77777777" w:rsidR="002E45CF" w:rsidRDefault="002E45CF">
    <w:pPr>
      <w:tabs>
        <w:tab w:val="center" w:pos="4153"/>
        <w:tab w:val="right" w:pos="8306"/>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328E1" w14:textId="77777777" w:rsidR="002E45CF" w:rsidRDefault="002E45CF">
    <w:pPr>
      <w:tabs>
        <w:tab w:val="center" w:pos="4153"/>
        <w:tab w:val="right" w:pos="8306"/>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AC194" w14:textId="77777777" w:rsidR="002E45CF" w:rsidRDefault="002E45CF">
    <w:pPr>
      <w:tabs>
        <w:tab w:val="center" w:pos="4153"/>
        <w:tab w:val="right" w:pos="8306"/>
      </w:tabs>
      <w:jc w:val="right"/>
      <w:rPr>
        <w:sz w:val="20"/>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E4943" w14:textId="77777777" w:rsidR="002E45CF" w:rsidRDefault="002E45CF">
    <w:pPr>
      <w:tabs>
        <w:tab w:val="center" w:pos="4153"/>
        <w:tab w:val="right" w:pos="8306"/>
      </w:tabs>
      <w:jc w:val="right"/>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119B8" w14:textId="77777777" w:rsidR="00D063C1" w:rsidRDefault="00D063C1">
      <w:pPr>
        <w:rPr>
          <w:sz w:val="20"/>
          <w:lang w:eastAsia="lt-LT"/>
        </w:rPr>
      </w:pPr>
      <w:r>
        <w:rPr>
          <w:sz w:val="20"/>
          <w:lang w:eastAsia="lt-LT"/>
        </w:rPr>
        <w:separator/>
      </w:r>
    </w:p>
  </w:footnote>
  <w:footnote w:type="continuationSeparator" w:id="0">
    <w:p w14:paraId="3E77F6AD" w14:textId="77777777" w:rsidR="00D063C1" w:rsidRDefault="00D063C1">
      <w:pPr>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0A573" w14:textId="77777777" w:rsidR="002E45CF" w:rsidRDefault="002648F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13A80BB7" w14:textId="77777777" w:rsidR="002E45CF" w:rsidRDefault="002E45CF">
    <w:pPr>
      <w:tabs>
        <w:tab w:val="center" w:pos="4153"/>
        <w:tab w:val="right" w:pos="8306"/>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A857F" w14:textId="77777777" w:rsidR="002E45CF" w:rsidRDefault="002648F9">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22130A">
      <w:rPr>
        <w:noProof/>
        <w:lang w:eastAsia="lt-LT"/>
      </w:rPr>
      <w:t>2</w:t>
    </w:r>
    <w:r>
      <w:rPr>
        <w:lang w:eastAsia="lt-LT"/>
      </w:rPr>
      <w:fldChar w:fldCharType="end"/>
    </w:r>
  </w:p>
  <w:p w14:paraId="3A201A7A" w14:textId="77777777" w:rsidR="002E45CF" w:rsidRDefault="002E45CF">
    <w:pPr>
      <w:tabs>
        <w:tab w:val="center" w:pos="4153"/>
        <w:tab w:val="right" w:pos="8306"/>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C5090" w14:textId="77777777" w:rsidR="002E45CF" w:rsidRDefault="002E45CF">
    <w:pPr>
      <w:tabs>
        <w:tab w:val="center" w:pos="4153"/>
        <w:tab w:val="right" w:pos="8306"/>
      </w:tabs>
      <w:rPr>
        <w:sz w:val="20"/>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42A37" w14:textId="77777777" w:rsidR="002E45CF" w:rsidRDefault="002648F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66444C55" w14:textId="77777777" w:rsidR="002E45CF" w:rsidRDefault="002E45CF">
    <w:pPr>
      <w:tabs>
        <w:tab w:val="center" w:pos="4153"/>
        <w:tab w:val="right" w:pos="8306"/>
      </w:tabs>
      <w:rPr>
        <w:sz w:val="20"/>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AA870" w14:textId="77777777" w:rsidR="002E45CF" w:rsidRDefault="002648F9">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sidR="00AF1952">
      <w:rPr>
        <w:noProof/>
        <w:sz w:val="20"/>
        <w:lang w:eastAsia="lt-LT"/>
      </w:rPr>
      <w:t>2</w:t>
    </w:r>
    <w:r>
      <w:rPr>
        <w:sz w:val="20"/>
        <w:lang w:eastAsia="lt-LT"/>
      </w:rPr>
      <w:fldChar w:fldCharType="end"/>
    </w:r>
  </w:p>
  <w:p w14:paraId="4A1CA834" w14:textId="77777777" w:rsidR="002E45CF" w:rsidRDefault="002E45CF">
    <w:pPr>
      <w:tabs>
        <w:tab w:val="center" w:pos="4153"/>
        <w:tab w:val="right" w:pos="8306"/>
      </w:tabs>
      <w:rPr>
        <w:sz w:val="20"/>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1316B"/>
    <w:multiLevelType w:val="hybridMultilevel"/>
    <w:tmpl w:val="2A2C5102"/>
    <w:lvl w:ilvl="0" w:tplc="807A2A7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50150714"/>
    <w:multiLevelType w:val="hybridMultilevel"/>
    <w:tmpl w:val="D598BB64"/>
    <w:lvl w:ilvl="0" w:tplc="87148C6E">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7D632256"/>
    <w:multiLevelType w:val="multilevel"/>
    <w:tmpl w:val="1F321752"/>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wMjWzAEJLI0MzEyUdpeDU4uLM/DyQAtNaABybvK0sAAAA"/>
  </w:docVars>
  <w:rsids>
    <w:rsidRoot w:val="009105BC"/>
    <w:rsid w:val="00080641"/>
    <w:rsid w:val="000F0337"/>
    <w:rsid w:val="001016C4"/>
    <w:rsid w:val="00142978"/>
    <w:rsid w:val="00172E31"/>
    <w:rsid w:val="001B0F28"/>
    <w:rsid w:val="001F71E7"/>
    <w:rsid w:val="00210271"/>
    <w:rsid w:val="0022130A"/>
    <w:rsid w:val="00232BFF"/>
    <w:rsid w:val="00257A6A"/>
    <w:rsid w:val="002648F9"/>
    <w:rsid w:val="002A1126"/>
    <w:rsid w:val="002D5F4F"/>
    <w:rsid w:val="002D655D"/>
    <w:rsid w:val="002E39F2"/>
    <w:rsid w:val="002E45CF"/>
    <w:rsid w:val="002F3010"/>
    <w:rsid w:val="00351E39"/>
    <w:rsid w:val="003602F3"/>
    <w:rsid w:val="00397AF9"/>
    <w:rsid w:val="003D76FC"/>
    <w:rsid w:val="0040709F"/>
    <w:rsid w:val="004D1D23"/>
    <w:rsid w:val="005048C3"/>
    <w:rsid w:val="00557FDF"/>
    <w:rsid w:val="00567214"/>
    <w:rsid w:val="00580AC5"/>
    <w:rsid w:val="00584DD9"/>
    <w:rsid w:val="00587F7F"/>
    <w:rsid w:val="005A498B"/>
    <w:rsid w:val="005D4133"/>
    <w:rsid w:val="005D4F9C"/>
    <w:rsid w:val="005E30F8"/>
    <w:rsid w:val="00612991"/>
    <w:rsid w:val="00641F71"/>
    <w:rsid w:val="006474A1"/>
    <w:rsid w:val="006564E3"/>
    <w:rsid w:val="0067786A"/>
    <w:rsid w:val="006F3085"/>
    <w:rsid w:val="0070174F"/>
    <w:rsid w:val="00722325"/>
    <w:rsid w:val="00740FC4"/>
    <w:rsid w:val="00761DB9"/>
    <w:rsid w:val="00773734"/>
    <w:rsid w:val="007A4F17"/>
    <w:rsid w:val="007C0389"/>
    <w:rsid w:val="00840F00"/>
    <w:rsid w:val="00841D68"/>
    <w:rsid w:val="00871476"/>
    <w:rsid w:val="0088250B"/>
    <w:rsid w:val="008900C5"/>
    <w:rsid w:val="008923A7"/>
    <w:rsid w:val="008A006F"/>
    <w:rsid w:val="008A0554"/>
    <w:rsid w:val="008A43D3"/>
    <w:rsid w:val="008C5B64"/>
    <w:rsid w:val="008D500B"/>
    <w:rsid w:val="009105BC"/>
    <w:rsid w:val="009135C0"/>
    <w:rsid w:val="009409BB"/>
    <w:rsid w:val="00983DC3"/>
    <w:rsid w:val="009B2BA1"/>
    <w:rsid w:val="009E2E12"/>
    <w:rsid w:val="00A47034"/>
    <w:rsid w:val="00AA7E82"/>
    <w:rsid w:val="00AD221F"/>
    <w:rsid w:val="00AE69EF"/>
    <w:rsid w:val="00AF1952"/>
    <w:rsid w:val="00B03E9D"/>
    <w:rsid w:val="00B044AF"/>
    <w:rsid w:val="00B66FD0"/>
    <w:rsid w:val="00B67948"/>
    <w:rsid w:val="00B715D1"/>
    <w:rsid w:val="00BA4E54"/>
    <w:rsid w:val="00BE019C"/>
    <w:rsid w:val="00C02AB4"/>
    <w:rsid w:val="00C04A28"/>
    <w:rsid w:val="00C134CC"/>
    <w:rsid w:val="00C53EAE"/>
    <w:rsid w:val="00C63D92"/>
    <w:rsid w:val="00C64300"/>
    <w:rsid w:val="00CA7059"/>
    <w:rsid w:val="00CD65AB"/>
    <w:rsid w:val="00CE2737"/>
    <w:rsid w:val="00CF4544"/>
    <w:rsid w:val="00D063C1"/>
    <w:rsid w:val="00D32E01"/>
    <w:rsid w:val="00E02807"/>
    <w:rsid w:val="00E0432C"/>
    <w:rsid w:val="00E277DA"/>
    <w:rsid w:val="00E803FF"/>
    <w:rsid w:val="00E97325"/>
    <w:rsid w:val="00E977E4"/>
    <w:rsid w:val="00EA3BE1"/>
    <w:rsid w:val="00ED7081"/>
    <w:rsid w:val="00F136C7"/>
    <w:rsid w:val="00F72CD6"/>
    <w:rsid w:val="00F74480"/>
    <w:rsid w:val="00F9104D"/>
    <w:rsid w:val="00FE0751"/>
    <w:rsid w:val="00FE4745"/>
    <w:rsid w:val="00FE4B99"/>
    <w:rsid w:val="00FE6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D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E30F8"/>
    <w:pPr>
      <w:ind w:left="720"/>
      <w:contextualSpacing/>
    </w:pPr>
  </w:style>
  <w:style w:type="character" w:styleId="Komentaronuoroda">
    <w:name w:val="annotation reference"/>
    <w:basedOn w:val="Numatytasispastraiposriftas"/>
    <w:semiHidden/>
    <w:unhideWhenUsed/>
    <w:rsid w:val="00587F7F"/>
    <w:rPr>
      <w:sz w:val="16"/>
      <w:szCs w:val="16"/>
    </w:rPr>
  </w:style>
  <w:style w:type="paragraph" w:styleId="Komentarotekstas">
    <w:name w:val="annotation text"/>
    <w:basedOn w:val="prastasis"/>
    <w:link w:val="KomentarotekstasDiagrama"/>
    <w:semiHidden/>
    <w:unhideWhenUsed/>
    <w:rsid w:val="00587F7F"/>
    <w:rPr>
      <w:sz w:val="20"/>
    </w:rPr>
  </w:style>
  <w:style w:type="character" w:customStyle="1" w:styleId="KomentarotekstasDiagrama">
    <w:name w:val="Komentaro tekstas Diagrama"/>
    <w:basedOn w:val="Numatytasispastraiposriftas"/>
    <w:link w:val="Komentarotekstas"/>
    <w:semiHidden/>
    <w:rsid w:val="00587F7F"/>
    <w:rPr>
      <w:sz w:val="20"/>
    </w:rPr>
  </w:style>
  <w:style w:type="paragraph" w:styleId="Komentarotema">
    <w:name w:val="annotation subject"/>
    <w:basedOn w:val="Komentarotekstas"/>
    <w:next w:val="Komentarotekstas"/>
    <w:link w:val="KomentarotemaDiagrama"/>
    <w:semiHidden/>
    <w:unhideWhenUsed/>
    <w:rsid w:val="00587F7F"/>
    <w:rPr>
      <w:b/>
      <w:bCs/>
    </w:rPr>
  </w:style>
  <w:style w:type="character" w:customStyle="1" w:styleId="KomentarotemaDiagrama">
    <w:name w:val="Komentaro tema Diagrama"/>
    <w:basedOn w:val="KomentarotekstasDiagrama"/>
    <w:link w:val="Komentarotema"/>
    <w:semiHidden/>
    <w:rsid w:val="00587F7F"/>
    <w:rPr>
      <w:b/>
      <w:bCs/>
      <w:sz w:val="20"/>
    </w:rPr>
  </w:style>
  <w:style w:type="paragraph" w:styleId="Debesliotekstas">
    <w:name w:val="Balloon Text"/>
    <w:basedOn w:val="prastasis"/>
    <w:link w:val="DebesliotekstasDiagrama"/>
    <w:semiHidden/>
    <w:unhideWhenUsed/>
    <w:rsid w:val="00587F7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87F7F"/>
    <w:rPr>
      <w:rFonts w:ascii="Segoe UI" w:hAnsi="Segoe UI" w:cs="Segoe UI"/>
      <w:sz w:val="18"/>
      <w:szCs w:val="18"/>
    </w:rPr>
  </w:style>
  <w:style w:type="character" w:styleId="Hipersaitas">
    <w:name w:val="Hyperlink"/>
    <w:basedOn w:val="Numatytasispastraiposriftas"/>
    <w:unhideWhenUsed/>
    <w:rsid w:val="006474A1"/>
    <w:rPr>
      <w:color w:val="0000FF" w:themeColor="hyperlink"/>
      <w:u w:val="single"/>
    </w:rPr>
  </w:style>
  <w:style w:type="character" w:styleId="Perirtashipersaitas">
    <w:name w:val="FollowedHyperlink"/>
    <w:basedOn w:val="Numatytasispastraiposriftas"/>
    <w:semiHidden/>
    <w:unhideWhenUsed/>
    <w:rsid w:val="006474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E30F8"/>
    <w:pPr>
      <w:ind w:left="720"/>
      <w:contextualSpacing/>
    </w:pPr>
  </w:style>
  <w:style w:type="character" w:styleId="Komentaronuoroda">
    <w:name w:val="annotation reference"/>
    <w:basedOn w:val="Numatytasispastraiposriftas"/>
    <w:semiHidden/>
    <w:unhideWhenUsed/>
    <w:rsid w:val="00587F7F"/>
    <w:rPr>
      <w:sz w:val="16"/>
      <w:szCs w:val="16"/>
    </w:rPr>
  </w:style>
  <w:style w:type="paragraph" w:styleId="Komentarotekstas">
    <w:name w:val="annotation text"/>
    <w:basedOn w:val="prastasis"/>
    <w:link w:val="KomentarotekstasDiagrama"/>
    <w:semiHidden/>
    <w:unhideWhenUsed/>
    <w:rsid w:val="00587F7F"/>
    <w:rPr>
      <w:sz w:val="20"/>
    </w:rPr>
  </w:style>
  <w:style w:type="character" w:customStyle="1" w:styleId="KomentarotekstasDiagrama">
    <w:name w:val="Komentaro tekstas Diagrama"/>
    <w:basedOn w:val="Numatytasispastraiposriftas"/>
    <w:link w:val="Komentarotekstas"/>
    <w:semiHidden/>
    <w:rsid w:val="00587F7F"/>
    <w:rPr>
      <w:sz w:val="20"/>
    </w:rPr>
  </w:style>
  <w:style w:type="paragraph" w:styleId="Komentarotema">
    <w:name w:val="annotation subject"/>
    <w:basedOn w:val="Komentarotekstas"/>
    <w:next w:val="Komentarotekstas"/>
    <w:link w:val="KomentarotemaDiagrama"/>
    <w:semiHidden/>
    <w:unhideWhenUsed/>
    <w:rsid w:val="00587F7F"/>
    <w:rPr>
      <w:b/>
      <w:bCs/>
    </w:rPr>
  </w:style>
  <w:style w:type="character" w:customStyle="1" w:styleId="KomentarotemaDiagrama">
    <w:name w:val="Komentaro tema Diagrama"/>
    <w:basedOn w:val="KomentarotekstasDiagrama"/>
    <w:link w:val="Komentarotema"/>
    <w:semiHidden/>
    <w:rsid w:val="00587F7F"/>
    <w:rPr>
      <w:b/>
      <w:bCs/>
      <w:sz w:val="20"/>
    </w:rPr>
  </w:style>
  <w:style w:type="paragraph" w:styleId="Debesliotekstas">
    <w:name w:val="Balloon Text"/>
    <w:basedOn w:val="prastasis"/>
    <w:link w:val="DebesliotekstasDiagrama"/>
    <w:semiHidden/>
    <w:unhideWhenUsed/>
    <w:rsid w:val="00587F7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87F7F"/>
    <w:rPr>
      <w:rFonts w:ascii="Segoe UI" w:hAnsi="Segoe UI" w:cs="Segoe UI"/>
      <w:sz w:val="18"/>
      <w:szCs w:val="18"/>
    </w:rPr>
  </w:style>
  <w:style w:type="character" w:styleId="Hipersaitas">
    <w:name w:val="Hyperlink"/>
    <w:basedOn w:val="Numatytasispastraiposriftas"/>
    <w:unhideWhenUsed/>
    <w:rsid w:val="006474A1"/>
    <w:rPr>
      <w:color w:val="0000FF" w:themeColor="hyperlink"/>
      <w:u w:val="single"/>
    </w:rPr>
  </w:style>
  <w:style w:type="character" w:styleId="Perirtashipersaitas">
    <w:name w:val="FollowedHyperlink"/>
    <w:basedOn w:val="Numatytasispastraiposriftas"/>
    <w:semiHidden/>
    <w:unhideWhenUsed/>
    <w:rsid w:val="006474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40503">
      <w:bodyDiv w:val="1"/>
      <w:marLeft w:val="0"/>
      <w:marRight w:val="0"/>
      <w:marTop w:val="0"/>
      <w:marBottom w:val="0"/>
      <w:divBdr>
        <w:top w:val="none" w:sz="0" w:space="0" w:color="auto"/>
        <w:left w:val="none" w:sz="0" w:space="0" w:color="auto"/>
        <w:bottom w:val="none" w:sz="0" w:space="0" w:color="auto"/>
        <w:right w:val="none" w:sz="0" w:space="0" w:color="auto"/>
      </w:divBdr>
    </w:div>
    <w:div w:id="991712522">
      <w:bodyDiv w:val="1"/>
      <w:marLeft w:val="0"/>
      <w:marRight w:val="0"/>
      <w:marTop w:val="0"/>
      <w:marBottom w:val="0"/>
      <w:divBdr>
        <w:top w:val="none" w:sz="0" w:space="0" w:color="auto"/>
        <w:left w:val="none" w:sz="0" w:space="0" w:color="auto"/>
        <w:bottom w:val="none" w:sz="0" w:space="0" w:color="auto"/>
        <w:right w:val="none" w:sz="0" w:space="0" w:color="auto"/>
      </w:divBdr>
      <w:divsChild>
        <w:div w:id="850218715">
          <w:marLeft w:val="0"/>
          <w:marRight w:val="0"/>
          <w:marTop w:val="0"/>
          <w:marBottom w:val="0"/>
          <w:divBdr>
            <w:top w:val="none" w:sz="0" w:space="0" w:color="auto"/>
            <w:left w:val="none" w:sz="0" w:space="0" w:color="auto"/>
            <w:bottom w:val="none" w:sz="0" w:space="0" w:color="auto"/>
            <w:right w:val="none" w:sz="0" w:space="0" w:color="auto"/>
          </w:divBdr>
        </w:div>
      </w:divsChild>
    </w:div>
    <w:div w:id="992608881">
      <w:bodyDiv w:val="1"/>
      <w:marLeft w:val="0"/>
      <w:marRight w:val="0"/>
      <w:marTop w:val="0"/>
      <w:marBottom w:val="0"/>
      <w:divBdr>
        <w:top w:val="none" w:sz="0" w:space="0" w:color="auto"/>
        <w:left w:val="none" w:sz="0" w:space="0" w:color="auto"/>
        <w:bottom w:val="none" w:sz="0" w:space="0" w:color="auto"/>
        <w:right w:val="none" w:sz="0" w:space="0" w:color="auto"/>
      </w:divBdr>
      <w:divsChild>
        <w:div w:id="2102755249">
          <w:marLeft w:val="0"/>
          <w:marRight w:val="0"/>
          <w:marTop w:val="0"/>
          <w:marBottom w:val="0"/>
          <w:divBdr>
            <w:top w:val="none" w:sz="0" w:space="0" w:color="auto"/>
            <w:left w:val="none" w:sz="0" w:space="0" w:color="auto"/>
            <w:bottom w:val="none" w:sz="0" w:space="0" w:color="auto"/>
            <w:right w:val="none" w:sz="0" w:space="0" w:color="auto"/>
          </w:divBdr>
        </w:div>
        <w:div w:id="1201093794">
          <w:marLeft w:val="0"/>
          <w:marRight w:val="0"/>
          <w:marTop w:val="0"/>
          <w:marBottom w:val="0"/>
          <w:divBdr>
            <w:top w:val="none" w:sz="0" w:space="0" w:color="auto"/>
            <w:left w:val="none" w:sz="0" w:space="0" w:color="auto"/>
            <w:bottom w:val="none" w:sz="0" w:space="0" w:color="auto"/>
            <w:right w:val="none" w:sz="0" w:space="0" w:color="auto"/>
          </w:divBdr>
        </w:div>
      </w:divsChild>
    </w:div>
    <w:div w:id="1497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header4.xml"
                 Type="http://schemas.openxmlformats.org/officeDocument/2006/relationships/header"/>
   <Relationship Id="rId16" Target="header5.xml"
                 Type="http://schemas.openxmlformats.org/officeDocument/2006/relationships/header"/>
   <Relationship Id="rId17" Target="footer4.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20"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EBE2F-04A5-4B23-B712-8764EEEB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4399</Characters>
  <Application>Microsoft Office Word</Application>
  <DocSecurity>4</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5048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2020-06-19T15:53:00Z</dcterms:created>
  <dc:creator>SM</dc:creator>
  <cp:lastModifiedBy>Bendras ERS2</cp:lastModifiedBy>
  <cp:lastPrinted>2020-06-17T07:10:00Z</cp:lastPrinted>
  <dcterms:modified xsi:type="dcterms:W3CDTF">2020-06-19T15:53:00Z</dcterms:modified>
  <cp:revision>2</cp:revision>
</cp:coreProperties>
</file>