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25E3F" w14:textId="5D52BE1C" w:rsidR="000B4B6C" w:rsidRPr="00794D66" w:rsidRDefault="001E3538" w:rsidP="00106010">
      <w:pPr>
        <w:pBdr>
          <w:top w:val="single" w:sz="4" w:space="1" w:color="auto"/>
          <w:bottom w:val="single" w:sz="4" w:space="1" w:color="auto"/>
        </w:pBdr>
        <w:spacing w:after="0"/>
        <w:jc w:val="center"/>
        <w:rPr>
          <w:rFonts w:ascii="Times New Roman" w:eastAsia="SimSun" w:hAnsi="Times New Roman" w:cs="Times New Roman"/>
          <w:b/>
          <w:color w:val="000000"/>
          <w:kern w:val="2"/>
          <w:sz w:val="28"/>
          <w:szCs w:val="28"/>
          <w:lang w:val="fr-FR" w:eastAsia="hi-IN" w:bidi="hi-IN"/>
        </w:rPr>
      </w:pPr>
      <w:r w:rsidRPr="00794D66">
        <w:rPr>
          <w:rFonts w:ascii="Times New Roman" w:hAnsi="Times New Roman" w:cs="Times New Roman"/>
          <w:b/>
          <w:sz w:val="28"/>
          <w:szCs w:val="28"/>
          <w:lang w:val="fr-FR"/>
        </w:rPr>
        <w:t>Dėl g</w:t>
      </w:r>
      <w:r w:rsidR="003D436C" w:rsidRPr="00794D66">
        <w:rPr>
          <w:rFonts w:ascii="Times New Roman" w:hAnsi="Times New Roman" w:cs="Times New Roman"/>
          <w:b/>
          <w:sz w:val="28"/>
          <w:szCs w:val="28"/>
          <w:lang w:val="fr-FR"/>
        </w:rPr>
        <w:t>alim</w:t>
      </w:r>
      <w:r w:rsidRPr="00794D66">
        <w:rPr>
          <w:rFonts w:ascii="Times New Roman" w:hAnsi="Times New Roman" w:cs="Times New Roman"/>
          <w:b/>
          <w:sz w:val="28"/>
          <w:szCs w:val="28"/>
          <w:lang w:val="fr-FR"/>
        </w:rPr>
        <w:t>ų</w:t>
      </w:r>
      <w:r w:rsidR="003D436C" w:rsidRPr="00794D66">
        <w:rPr>
          <w:rFonts w:ascii="Times New Roman" w:hAnsi="Times New Roman" w:cs="Times New Roman"/>
          <w:b/>
          <w:sz w:val="28"/>
          <w:szCs w:val="28"/>
          <w:lang w:val="fr-FR"/>
        </w:rPr>
        <w:t xml:space="preserve"> papildom</w:t>
      </w:r>
      <w:r w:rsidRPr="00794D66">
        <w:rPr>
          <w:rFonts w:ascii="Times New Roman" w:hAnsi="Times New Roman" w:cs="Times New Roman"/>
          <w:b/>
          <w:sz w:val="28"/>
          <w:szCs w:val="28"/>
          <w:lang w:val="fr-FR"/>
        </w:rPr>
        <w:t>ų</w:t>
      </w:r>
      <w:r w:rsidR="003D436C" w:rsidRPr="00794D66">
        <w:rPr>
          <w:rFonts w:ascii="Times New Roman" w:hAnsi="Times New Roman" w:cs="Times New Roman"/>
          <w:b/>
          <w:sz w:val="28"/>
          <w:szCs w:val="28"/>
          <w:lang w:val="fr-FR"/>
        </w:rPr>
        <w:t xml:space="preserve"> ES finansini</w:t>
      </w:r>
      <w:r w:rsidRPr="00794D66">
        <w:rPr>
          <w:rFonts w:ascii="Times New Roman" w:hAnsi="Times New Roman" w:cs="Times New Roman"/>
          <w:b/>
          <w:sz w:val="28"/>
          <w:szCs w:val="28"/>
          <w:lang w:val="fr-FR"/>
        </w:rPr>
        <w:t>ų</w:t>
      </w:r>
      <w:r w:rsidR="003D436C" w:rsidRPr="00794D66">
        <w:rPr>
          <w:rFonts w:ascii="Times New Roman" w:hAnsi="Times New Roman" w:cs="Times New Roman"/>
          <w:b/>
          <w:sz w:val="28"/>
          <w:szCs w:val="28"/>
          <w:lang w:val="fr-FR"/>
        </w:rPr>
        <w:t xml:space="preserve"> instrument</w:t>
      </w:r>
      <w:r w:rsidRPr="00794D66">
        <w:rPr>
          <w:rFonts w:ascii="Times New Roman" w:hAnsi="Times New Roman" w:cs="Times New Roman"/>
          <w:b/>
          <w:sz w:val="28"/>
          <w:szCs w:val="28"/>
          <w:lang w:val="fr-FR"/>
        </w:rPr>
        <w:t>ų</w:t>
      </w:r>
      <w:r w:rsidR="003D436C" w:rsidRPr="00794D66">
        <w:rPr>
          <w:rFonts w:ascii="Times New Roman" w:hAnsi="Times New Roman" w:cs="Times New Roman"/>
          <w:b/>
          <w:sz w:val="28"/>
          <w:szCs w:val="28"/>
          <w:lang w:val="fr-FR"/>
        </w:rPr>
        <w:t xml:space="preserve"> finansuo</w:t>
      </w:r>
      <w:r w:rsidRPr="00794D66">
        <w:rPr>
          <w:rFonts w:ascii="Times New Roman" w:hAnsi="Times New Roman" w:cs="Times New Roman"/>
          <w:b/>
          <w:sz w:val="28"/>
          <w:szCs w:val="28"/>
          <w:lang w:val="fr-FR"/>
        </w:rPr>
        <w:t>jant</w:t>
      </w:r>
      <w:r w:rsidR="003D436C" w:rsidRPr="00794D66">
        <w:rPr>
          <w:rFonts w:ascii="Times New Roman" w:hAnsi="Times New Roman" w:cs="Times New Roman"/>
          <w:b/>
          <w:sz w:val="28"/>
          <w:szCs w:val="28"/>
          <w:lang w:val="fr-FR"/>
        </w:rPr>
        <w:t xml:space="preserve">  pandemijos sukelt</w:t>
      </w:r>
      <w:r w:rsidRPr="00794D66">
        <w:rPr>
          <w:rFonts w:ascii="Times New Roman" w:hAnsi="Times New Roman" w:cs="Times New Roman"/>
          <w:b/>
          <w:sz w:val="28"/>
          <w:szCs w:val="28"/>
          <w:lang w:val="fr-FR"/>
        </w:rPr>
        <w:t>as</w:t>
      </w:r>
      <w:r w:rsidR="003D436C" w:rsidRPr="00794D66">
        <w:rPr>
          <w:rFonts w:ascii="Times New Roman" w:hAnsi="Times New Roman" w:cs="Times New Roman"/>
          <w:b/>
          <w:sz w:val="28"/>
          <w:szCs w:val="28"/>
          <w:lang w:val="fr-FR"/>
        </w:rPr>
        <w:t xml:space="preserve"> pasekm</w:t>
      </w:r>
      <w:r w:rsidRPr="00794D66">
        <w:rPr>
          <w:rFonts w:ascii="Times New Roman" w:hAnsi="Times New Roman" w:cs="Times New Roman"/>
          <w:b/>
          <w:sz w:val="28"/>
          <w:szCs w:val="28"/>
          <w:lang w:val="fr-FR"/>
        </w:rPr>
        <w:t>es</w:t>
      </w:r>
    </w:p>
    <w:p w14:paraId="6DC660C3" w14:textId="77777777" w:rsidR="000B4B6C" w:rsidRPr="00794D66" w:rsidRDefault="000B4B6C" w:rsidP="00106010">
      <w:pPr>
        <w:spacing w:after="0"/>
        <w:contextualSpacing/>
        <w:jc w:val="both"/>
        <w:rPr>
          <w:rFonts w:ascii="Times New Roman" w:hAnsi="Times New Roman" w:cs="Times New Roman"/>
          <w:b/>
          <w:sz w:val="26"/>
          <w:szCs w:val="26"/>
        </w:rPr>
      </w:pPr>
    </w:p>
    <w:p w14:paraId="6E7B1CC9" w14:textId="77777777" w:rsidR="000B4B6C" w:rsidRPr="00794D66" w:rsidRDefault="000B4B6C" w:rsidP="00106010">
      <w:pPr>
        <w:spacing w:after="0"/>
        <w:contextualSpacing/>
        <w:jc w:val="both"/>
        <w:rPr>
          <w:rFonts w:ascii="Times New Roman" w:hAnsi="Times New Roman" w:cs="Times New Roman"/>
          <w:b/>
          <w:sz w:val="26"/>
          <w:szCs w:val="26"/>
          <w:u w:val="single"/>
        </w:rPr>
      </w:pPr>
      <w:r w:rsidRPr="00794D66">
        <w:rPr>
          <w:rFonts w:ascii="Times New Roman" w:hAnsi="Times New Roman" w:cs="Times New Roman"/>
          <w:b/>
          <w:sz w:val="26"/>
          <w:szCs w:val="26"/>
          <w:u w:val="single"/>
        </w:rPr>
        <w:t>I. KLAUSIMO ESMĖ</w:t>
      </w:r>
    </w:p>
    <w:p w14:paraId="040C4648" w14:textId="6F1E1E10" w:rsidR="000B4B6C" w:rsidRPr="00794D66" w:rsidRDefault="00967EE5" w:rsidP="00106010">
      <w:pPr>
        <w:spacing w:after="0"/>
        <w:contextualSpacing/>
        <w:jc w:val="both"/>
        <w:rPr>
          <w:rFonts w:ascii="Times New Roman" w:hAnsi="Times New Roman" w:cs="Times New Roman"/>
          <w:sz w:val="26"/>
          <w:szCs w:val="26"/>
        </w:rPr>
      </w:pPr>
      <w:r w:rsidRPr="00794D66">
        <w:rPr>
          <w:rFonts w:ascii="Times New Roman" w:hAnsi="Times New Roman" w:cs="Times New Roman"/>
          <w:sz w:val="26"/>
          <w:szCs w:val="26"/>
        </w:rPr>
        <w:t>COVID-19 viruso poveikis EZ ir pasaulio ekonomikai yra ženklus ir dar nėra iki galo aišku</w:t>
      </w:r>
      <w:r w:rsidR="003D0A9A" w:rsidRPr="00794D66">
        <w:rPr>
          <w:rFonts w:ascii="Times New Roman" w:hAnsi="Times New Roman" w:cs="Times New Roman"/>
          <w:sz w:val="26"/>
          <w:szCs w:val="26"/>
        </w:rPr>
        <w:t>,</w:t>
      </w:r>
      <w:r w:rsidRPr="00794D66">
        <w:rPr>
          <w:rFonts w:ascii="Times New Roman" w:hAnsi="Times New Roman" w:cs="Times New Roman"/>
          <w:sz w:val="26"/>
          <w:szCs w:val="26"/>
        </w:rPr>
        <w:t xml:space="preserve"> kokio mąsto bus galutinė žala ir kiek laiko truks ekonomi</w:t>
      </w:r>
      <w:r w:rsidR="00AD1FAD" w:rsidRPr="00794D66">
        <w:rPr>
          <w:rFonts w:ascii="Times New Roman" w:hAnsi="Times New Roman" w:cs="Times New Roman"/>
          <w:sz w:val="26"/>
          <w:szCs w:val="26"/>
        </w:rPr>
        <w:t>kos</w:t>
      </w:r>
      <w:r w:rsidRPr="00794D66">
        <w:rPr>
          <w:rFonts w:ascii="Times New Roman" w:hAnsi="Times New Roman" w:cs="Times New Roman"/>
          <w:sz w:val="26"/>
          <w:szCs w:val="26"/>
        </w:rPr>
        <w:t xml:space="preserve"> atsigavimas. Tradicinės pinigų politikos priemonės išnaudotos (ECB depozitų palūkanos -0,5%, skolinimosi palūkanos 0,00%</w:t>
      </w:r>
      <w:r w:rsidRPr="00794D66">
        <w:rPr>
          <w:rStyle w:val="Puslapioinaosnuoroda"/>
          <w:rFonts w:ascii="Times New Roman" w:hAnsi="Times New Roman" w:cs="Times New Roman"/>
          <w:sz w:val="26"/>
          <w:szCs w:val="26"/>
          <w:lang w:val="en-US"/>
        </w:rPr>
        <w:footnoteReference w:id="1"/>
      </w:r>
      <w:r w:rsidRPr="00794D66">
        <w:rPr>
          <w:rFonts w:ascii="Times New Roman" w:hAnsi="Times New Roman" w:cs="Times New Roman"/>
          <w:sz w:val="26"/>
          <w:szCs w:val="26"/>
        </w:rPr>
        <w:t xml:space="preserve">), kiekybinio skatinimo finansiniai ištekliai </w:t>
      </w:r>
      <w:r w:rsidR="00AD1FAD" w:rsidRPr="00794D66">
        <w:rPr>
          <w:rFonts w:ascii="Times New Roman" w:hAnsi="Times New Roman" w:cs="Times New Roman"/>
          <w:sz w:val="26"/>
          <w:szCs w:val="26"/>
        </w:rPr>
        <w:t xml:space="preserve">taip pat naudojami maksimaliai. </w:t>
      </w:r>
      <w:r w:rsidR="00DD6077" w:rsidRPr="00794D66">
        <w:rPr>
          <w:rFonts w:ascii="Times New Roman" w:hAnsi="Times New Roman" w:cs="Times New Roman"/>
          <w:sz w:val="26"/>
          <w:szCs w:val="26"/>
        </w:rPr>
        <w:t xml:space="preserve">Reikalingas fiskalinės politikos atsakas tiek trumpuoju laikotarpiu </w:t>
      </w:r>
      <w:r w:rsidR="00AD1FAD" w:rsidRPr="00794D66">
        <w:rPr>
          <w:rFonts w:ascii="Times New Roman" w:hAnsi="Times New Roman" w:cs="Times New Roman"/>
          <w:sz w:val="26"/>
          <w:szCs w:val="26"/>
        </w:rPr>
        <w:t>(</w:t>
      </w:r>
      <w:r w:rsidR="00DD6077" w:rsidRPr="00794D66">
        <w:rPr>
          <w:rFonts w:ascii="Times New Roman" w:hAnsi="Times New Roman" w:cs="Times New Roman"/>
          <w:sz w:val="26"/>
          <w:szCs w:val="26"/>
        </w:rPr>
        <w:t>siekiant užtikrinti kovos su virusu priemones ir stabilizuoti ekonomiką</w:t>
      </w:r>
      <w:r w:rsidR="00AD1FAD" w:rsidRPr="00794D66">
        <w:rPr>
          <w:rFonts w:ascii="Times New Roman" w:hAnsi="Times New Roman" w:cs="Times New Roman"/>
          <w:sz w:val="26"/>
          <w:szCs w:val="26"/>
        </w:rPr>
        <w:t>),</w:t>
      </w:r>
      <w:r w:rsidR="00DB2AAC" w:rsidRPr="00794D66">
        <w:rPr>
          <w:rFonts w:ascii="Times New Roman" w:hAnsi="Times New Roman" w:cs="Times New Roman"/>
          <w:sz w:val="26"/>
          <w:szCs w:val="26"/>
        </w:rPr>
        <w:t xml:space="preserve"> </w:t>
      </w:r>
      <w:r w:rsidR="00AD1FAD" w:rsidRPr="00794D66">
        <w:rPr>
          <w:rFonts w:ascii="Times New Roman" w:hAnsi="Times New Roman" w:cs="Times New Roman"/>
          <w:sz w:val="26"/>
          <w:szCs w:val="26"/>
        </w:rPr>
        <w:t>t</w:t>
      </w:r>
      <w:r w:rsidR="00DD6077" w:rsidRPr="00794D66">
        <w:rPr>
          <w:rFonts w:ascii="Times New Roman" w:hAnsi="Times New Roman" w:cs="Times New Roman"/>
          <w:sz w:val="26"/>
          <w:szCs w:val="26"/>
        </w:rPr>
        <w:t xml:space="preserve">iek ilguoju laikotarpiu (siekiant skatinti </w:t>
      </w:r>
      <w:r w:rsidR="00AD1FAD" w:rsidRPr="00794D66">
        <w:rPr>
          <w:rFonts w:ascii="Times New Roman" w:hAnsi="Times New Roman" w:cs="Times New Roman"/>
          <w:sz w:val="26"/>
          <w:szCs w:val="26"/>
        </w:rPr>
        <w:t>ekonomikos atsigavimą</w:t>
      </w:r>
      <w:r w:rsidR="00DB2AAC" w:rsidRPr="00794D66">
        <w:rPr>
          <w:rFonts w:ascii="Times New Roman" w:hAnsi="Times New Roman" w:cs="Times New Roman"/>
          <w:sz w:val="26"/>
          <w:szCs w:val="26"/>
        </w:rPr>
        <w:t>)</w:t>
      </w:r>
      <w:r w:rsidR="00DD6077" w:rsidRPr="00794D66">
        <w:rPr>
          <w:rFonts w:ascii="Times New Roman" w:hAnsi="Times New Roman" w:cs="Times New Roman"/>
          <w:sz w:val="26"/>
          <w:szCs w:val="26"/>
        </w:rPr>
        <w:t>.</w:t>
      </w:r>
      <w:r w:rsidR="00AD1FAD" w:rsidRPr="00794D66">
        <w:rPr>
          <w:rFonts w:ascii="Times New Roman" w:hAnsi="Times New Roman" w:cs="Times New Roman"/>
          <w:sz w:val="26"/>
          <w:szCs w:val="26"/>
        </w:rPr>
        <w:t xml:space="preserve"> Svarstomos būtinos priemonės ES lygmeniu, įskaitant ir bendrų euro zonos obligacijų išl</w:t>
      </w:r>
      <w:r w:rsidR="00DB2AAC" w:rsidRPr="00794D66">
        <w:rPr>
          <w:rFonts w:ascii="Times New Roman" w:hAnsi="Times New Roman" w:cs="Times New Roman"/>
          <w:sz w:val="26"/>
          <w:szCs w:val="26"/>
        </w:rPr>
        <w:t>e</w:t>
      </w:r>
      <w:r w:rsidR="00AD1FAD" w:rsidRPr="00794D66">
        <w:rPr>
          <w:rFonts w:ascii="Times New Roman" w:hAnsi="Times New Roman" w:cs="Times New Roman"/>
          <w:sz w:val="26"/>
          <w:szCs w:val="26"/>
        </w:rPr>
        <w:t xml:space="preserve">idimo </w:t>
      </w:r>
      <w:r w:rsidR="00DB2AAC" w:rsidRPr="00794D66">
        <w:rPr>
          <w:rFonts w:ascii="Times New Roman" w:hAnsi="Times New Roman" w:cs="Times New Roman"/>
          <w:sz w:val="26"/>
          <w:szCs w:val="26"/>
        </w:rPr>
        <w:t>privalumai ir trūkumai</w:t>
      </w:r>
      <w:r w:rsidR="00AD1FAD" w:rsidRPr="00794D66">
        <w:rPr>
          <w:rFonts w:ascii="Times New Roman" w:hAnsi="Times New Roman" w:cs="Times New Roman"/>
          <w:sz w:val="26"/>
          <w:szCs w:val="26"/>
        </w:rPr>
        <w:t>.</w:t>
      </w:r>
    </w:p>
    <w:p w14:paraId="413C4FB7" w14:textId="77777777" w:rsidR="001B6C9B" w:rsidRPr="00794D66" w:rsidRDefault="001B6C9B" w:rsidP="00106010">
      <w:pPr>
        <w:spacing w:after="0"/>
        <w:contextualSpacing/>
        <w:jc w:val="both"/>
        <w:rPr>
          <w:rFonts w:ascii="Times New Roman" w:hAnsi="Times New Roman" w:cs="Times New Roman"/>
          <w:b/>
          <w:sz w:val="26"/>
          <w:szCs w:val="26"/>
          <w:u w:val="single"/>
        </w:rPr>
      </w:pPr>
    </w:p>
    <w:p w14:paraId="0C4785F4" w14:textId="66408E66" w:rsidR="004D17EF" w:rsidRPr="00794D66" w:rsidRDefault="004D17EF" w:rsidP="00106010">
      <w:pPr>
        <w:spacing w:after="0"/>
        <w:contextualSpacing/>
        <w:jc w:val="both"/>
        <w:rPr>
          <w:rFonts w:ascii="Times New Roman" w:hAnsi="Times New Roman" w:cs="Times New Roman"/>
          <w:b/>
          <w:sz w:val="26"/>
          <w:szCs w:val="26"/>
          <w:u w:val="single"/>
        </w:rPr>
      </w:pPr>
      <w:r w:rsidRPr="00794D66">
        <w:rPr>
          <w:rFonts w:ascii="Times New Roman" w:hAnsi="Times New Roman" w:cs="Times New Roman"/>
          <w:b/>
          <w:sz w:val="26"/>
          <w:szCs w:val="26"/>
          <w:u w:val="single"/>
        </w:rPr>
        <w:t>Bendros Euro zonos obligacijos</w:t>
      </w:r>
    </w:p>
    <w:p w14:paraId="65F0E3FD" w14:textId="4E66E6E5" w:rsidR="007D310B" w:rsidRPr="00794D66" w:rsidRDefault="00DD6077" w:rsidP="00106010">
      <w:pPr>
        <w:spacing w:after="0"/>
        <w:contextualSpacing/>
        <w:jc w:val="both"/>
        <w:rPr>
          <w:rFonts w:ascii="Times New Roman" w:hAnsi="Times New Roman" w:cs="Times New Roman"/>
          <w:sz w:val="26"/>
          <w:szCs w:val="26"/>
        </w:rPr>
      </w:pPr>
      <w:r w:rsidRPr="00794D66">
        <w:rPr>
          <w:rFonts w:ascii="Times New Roman" w:hAnsi="Times New Roman" w:cs="Times New Roman"/>
          <w:b/>
          <w:sz w:val="26"/>
          <w:szCs w:val="26"/>
        </w:rPr>
        <w:t>Pagrindinė problema yra nelygi EZ VN fiskalinė ir ekonominė padėtis.</w:t>
      </w:r>
      <w:r w:rsidR="00947ADE" w:rsidRPr="00794D66">
        <w:rPr>
          <w:rFonts w:ascii="Times New Roman" w:hAnsi="Times New Roman" w:cs="Times New Roman"/>
          <w:b/>
          <w:sz w:val="26"/>
          <w:szCs w:val="26"/>
        </w:rPr>
        <w:t xml:space="preserve"> </w:t>
      </w:r>
      <w:r w:rsidR="00947ADE" w:rsidRPr="00794D66">
        <w:rPr>
          <w:rFonts w:ascii="Times New Roman" w:hAnsi="Times New Roman" w:cs="Times New Roman"/>
          <w:sz w:val="26"/>
          <w:szCs w:val="26"/>
        </w:rPr>
        <w:t>VN skolos lygiai ženkliai skiriasi. Estijos BVP ir skolos santykis yra 9,2%, Lietuvos 35,9%, o</w:t>
      </w:r>
      <w:r w:rsidR="00096F2A" w:rsidRPr="00794D66">
        <w:rPr>
          <w:rFonts w:ascii="Times New Roman" w:hAnsi="Times New Roman" w:cs="Times New Roman"/>
          <w:sz w:val="26"/>
          <w:szCs w:val="26"/>
        </w:rPr>
        <w:t xml:space="preserve"> Ispanijos 97,9%,  </w:t>
      </w:r>
      <w:r w:rsidR="00947ADE" w:rsidRPr="00794D66">
        <w:rPr>
          <w:rFonts w:ascii="Times New Roman" w:hAnsi="Times New Roman" w:cs="Times New Roman"/>
          <w:sz w:val="26"/>
          <w:szCs w:val="26"/>
        </w:rPr>
        <w:t>Italijos 137</w:t>
      </w:r>
      <w:r w:rsidR="00096F2A" w:rsidRPr="00794D66">
        <w:rPr>
          <w:rFonts w:ascii="Times New Roman" w:hAnsi="Times New Roman" w:cs="Times New Roman"/>
          <w:sz w:val="26"/>
          <w:szCs w:val="26"/>
        </w:rPr>
        <w:t>,3</w:t>
      </w:r>
      <w:r w:rsidR="00947ADE" w:rsidRPr="00794D66">
        <w:rPr>
          <w:rFonts w:ascii="Times New Roman" w:hAnsi="Times New Roman" w:cs="Times New Roman"/>
          <w:sz w:val="26"/>
          <w:szCs w:val="26"/>
        </w:rPr>
        <w:t>%</w:t>
      </w:r>
      <w:r w:rsidR="00096F2A" w:rsidRPr="00794D66">
        <w:rPr>
          <w:rFonts w:ascii="Times New Roman" w:hAnsi="Times New Roman" w:cs="Times New Roman"/>
          <w:sz w:val="26"/>
          <w:szCs w:val="26"/>
        </w:rPr>
        <w:t>, Graikijos 178,2%.</w:t>
      </w:r>
      <w:r w:rsidR="00096F2A" w:rsidRPr="00794D66">
        <w:rPr>
          <w:rStyle w:val="Puslapioinaosnuoroda"/>
          <w:rFonts w:ascii="Times New Roman" w:hAnsi="Times New Roman" w:cs="Times New Roman"/>
          <w:sz w:val="26"/>
          <w:szCs w:val="26"/>
        </w:rPr>
        <w:footnoteReference w:id="2"/>
      </w:r>
      <w:r w:rsidR="00096F2A" w:rsidRPr="00794D66">
        <w:rPr>
          <w:rFonts w:ascii="Times New Roman" w:hAnsi="Times New Roman" w:cs="Times New Roman"/>
          <w:sz w:val="26"/>
          <w:szCs w:val="26"/>
        </w:rPr>
        <w:t xml:space="preserve"> Be to</w:t>
      </w:r>
      <w:r w:rsidR="008C2E01" w:rsidRPr="00794D66">
        <w:rPr>
          <w:rFonts w:ascii="Times New Roman" w:hAnsi="Times New Roman" w:cs="Times New Roman"/>
          <w:sz w:val="26"/>
          <w:szCs w:val="26"/>
        </w:rPr>
        <w:t>,</w:t>
      </w:r>
      <w:r w:rsidR="00096F2A" w:rsidRPr="00794D66">
        <w:rPr>
          <w:rFonts w:ascii="Times New Roman" w:hAnsi="Times New Roman" w:cs="Times New Roman"/>
          <w:sz w:val="26"/>
          <w:szCs w:val="26"/>
        </w:rPr>
        <w:t xml:space="preserve"> skyrėsi ir bendra ekonominė padėtis prieš viruso protrūkį </w:t>
      </w:r>
      <w:r w:rsidR="003D0A9A" w:rsidRPr="00794D66">
        <w:rPr>
          <w:rFonts w:ascii="Times New Roman" w:hAnsi="Times New Roman" w:cs="Times New Roman"/>
          <w:sz w:val="26"/>
          <w:szCs w:val="26"/>
        </w:rPr>
        <w:t xml:space="preserve">- </w:t>
      </w:r>
      <w:r w:rsidR="00096F2A" w:rsidRPr="00794D66">
        <w:rPr>
          <w:rFonts w:ascii="Times New Roman" w:hAnsi="Times New Roman" w:cs="Times New Roman"/>
          <w:sz w:val="26"/>
          <w:szCs w:val="26"/>
        </w:rPr>
        <w:t xml:space="preserve">Lietuvos ekonomika 2019 m. augo 3,9%, o Italijos faktiškai </w:t>
      </w:r>
      <w:proofErr w:type="spellStart"/>
      <w:r w:rsidR="00096F2A" w:rsidRPr="00794D66">
        <w:rPr>
          <w:rFonts w:ascii="Times New Roman" w:hAnsi="Times New Roman" w:cs="Times New Roman"/>
          <w:sz w:val="26"/>
          <w:szCs w:val="26"/>
        </w:rPr>
        <w:t>stagnavo</w:t>
      </w:r>
      <w:proofErr w:type="spellEnd"/>
      <w:r w:rsidR="00096F2A" w:rsidRPr="00794D66">
        <w:rPr>
          <w:rFonts w:ascii="Times New Roman" w:hAnsi="Times New Roman" w:cs="Times New Roman"/>
          <w:sz w:val="26"/>
          <w:szCs w:val="26"/>
        </w:rPr>
        <w:t xml:space="preserve"> su 0,2% BVP augimu.</w:t>
      </w:r>
      <w:r w:rsidR="00096F2A" w:rsidRPr="00794D66">
        <w:rPr>
          <w:rStyle w:val="Puslapioinaosnuoroda"/>
          <w:rFonts w:ascii="Times New Roman" w:hAnsi="Times New Roman" w:cs="Times New Roman"/>
          <w:sz w:val="26"/>
          <w:szCs w:val="26"/>
        </w:rPr>
        <w:footnoteReference w:id="3"/>
      </w:r>
      <w:r w:rsidR="00096F2A" w:rsidRPr="00794D66">
        <w:rPr>
          <w:rFonts w:ascii="Times New Roman" w:hAnsi="Times New Roman" w:cs="Times New Roman"/>
          <w:sz w:val="26"/>
          <w:szCs w:val="26"/>
        </w:rPr>
        <w:t xml:space="preserve"> Dėl šių priežasčių ženkliai skiriasi VN galimybės pasiskolinti pinigų finansų rinkose ir jų mokamos palūkanos. Kadangi finansų rinkų reakcijos yra pro-cikliškos</w:t>
      </w:r>
      <w:r w:rsidR="007D310B" w:rsidRPr="00794D66">
        <w:rPr>
          <w:rFonts w:ascii="Times New Roman" w:hAnsi="Times New Roman" w:cs="Times New Roman"/>
          <w:sz w:val="26"/>
          <w:szCs w:val="26"/>
        </w:rPr>
        <w:t>, daugiausiai finansinių sunkumų turi tos VN, kurioms daugiausiai reikia finansavimo, nes bijoma skolos tvarumo problemos. Ši finansų rinkų baimė veikia savaime išsipildančios pranašystės principu.</w:t>
      </w:r>
    </w:p>
    <w:p w14:paraId="680A08CC" w14:textId="77777777" w:rsidR="004D17EF" w:rsidRPr="00794D66" w:rsidRDefault="00DB2AAC" w:rsidP="00106010">
      <w:pPr>
        <w:spacing w:after="0"/>
        <w:contextualSpacing/>
        <w:jc w:val="both"/>
        <w:rPr>
          <w:rFonts w:ascii="Times New Roman" w:hAnsi="Times New Roman" w:cs="Times New Roman"/>
          <w:sz w:val="26"/>
          <w:szCs w:val="26"/>
        </w:rPr>
      </w:pPr>
      <w:r w:rsidRPr="00794D66">
        <w:rPr>
          <w:rFonts w:ascii="Times New Roman" w:hAnsi="Times New Roman" w:cs="Times New Roman"/>
          <w:b/>
          <w:sz w:val="26"/>
          <w:szCs w:val="26"/>
        </w:rPr>
        <w:t>Vienas iš s</w:t>
      </w:r>
      <w:r w:rsidR="00A87A72" w:rsidRPr="00794D66">
        <w:rPr>
          <w:rFonts w:ascii="Times New Roman" w:hAnsi="Times New Roman" w:cs="Times New Roman"/>
          <w:b/>
          <w:sz w:val="26"/>
          <w:szCs w:val="26"/>
        </w:rPr>
        <w:t>iūlom</w:t>
      </w:r>
      <w:r w:rsidRPr="00794D66">
        <w:rPr>
          <w:rFonts w:ascii="Times New Roman" w:hAnsi="Times New Roman" w:cs="Times New Roman"/>
          <w:b/>
          <w:sz w:val="26"/>
          <w:szCs w:val="26"/>
        </w:rPr>
        <w:t>ų</w:t>
      </w:r>
      <w:r w:rsidR="00A87A72" w:rsidRPr="00794D66">
        <w:rPr>
          <w:rFonts w:ascii="Times New Roman" w:hAnsi="Times New Roman" w:cs="Times New Roman"/>
          <w:b/>
          <w:sz w:val="26"/>
          <w:szCs w:val="26"/>
        </w:rPr>
        <w:t xml:space="preserve"> sprendim</w:t>
      </w:r>
      <w:r w:rsidRPr="00794D66">
        <w:rPr>
          <w:rFonts w:ascii="Times New Roman" w:hAnsi="Times New Roman" w:cs="Times New Roman"/>
          <w:b/>
          <w:sz w:val="26"/>
          <w:szCs w:val="26"/>
        </w:rPr>
        <w:t>ų</w:t>
      </w:r>
      <w:r w:rsidR="003D0A9A" w:rsidRPr="00794D66">
        <w:rPr>
          <w:rFonts w:ascii="Times New Roman" w:hAnsi="Times New Roman" w:cs="Times New Roman"/>
          <w:b/>
          <w:sz w:val="26"/>
          <w:szCs w:val="26"/>
        </w:rPr>
        <w:t xml:space="preserve"> </w:t>
      </w:r>
      <w:r w:rsidR="00A87A72" w:rsidRPr="00794D66">
        <w:rPr>
          <w:rFonts w:ascii="Times New Roman" w:hAnsi="Times New Roman" w:cs="Times New Roman"/>
          <w:b/>
          <w:sz w:val="26"/>
          <w:szCs w:val="26"/>
        </w:rPr>
        <w:t xml:space="preserve">- bendros Euro zonos obligacijos arba, šiuo atveju, </w:t>
      </w:r>
      <w:proofErr w:type="spellStart"/>
      <w:r w:rsidR="00A87A72" w:rsidRPr="00794D66">
        <w:rPr>
          <w:rFonts w:ascii="Times New Roman" w:hAnsi="Times New Roman" w:cs="Times New Roman"/>
          <w:b/>
          <w:sz w:val="26"/>
          <w:szCs w:val="26"/>
        </w:rPr>
        <w:t>Korona</w:t>
      </w:r>
      <w:proofErr w:type="spellEnd"/>
      <w:r w:rsidR="00A87A72" w:rsidRPr="00794D66">
        <w:rPr>
          <w:rFonts w:ascii="Times New Roman" w:hAnsi="Times New Roman" w:cs="Times New Roman"/>
          <w:b/>
          <w:sz w:val="26"/>
          <w:szCs w:val="26"/>
        </w:rPr>
        <w:t xml:space="preserve"> </w:t>
      </w:r>
      <w:r w:rsidR="00DD1BF4" w:rsidRPr="00794D66">
        <w:rPr>
          <w:rFonts w:ascii="Times New Roman" w:hAnsi="Times New Roman" w:cs="Times New Roman"/>
          <w:b/>
          <w:sz w:val="26"/>
          <w:szCs w:val="26"/>
        </w:rPr>
        <w:t xml:space="preserve">obligacijos, t.y., siūloma skolintis bendrai, o ne pavieniui. </w:t>
      </w:r>
      <w:r w:rsidR="00DD1BF4" w:rsidRPr="00794D66">
        <w:rPr>
          <w:rFonts w:ascii="Times New Roman" w:hAnsi="Times New Roman" w:cs="Times New Roman"/>
          <w:sz w:val="26"/>
          <w:szCs w:val="26"/>
        </w:rPr>
        <w:t>Toks instrumentas užtikrintų gerokai didesnius skolinimosi pajėgumus negu pavieniui bei užtikrintų pigesnį skolinimąsi tokioms VN</w:t>
      </w:r>
      <w:r w:rsidRPr="00794D66">
        <w:rPr>
          <w:rFonts w:ascii="Times New Roman" w:hAnsi="Times New Roman" w:cs="Times New Roman"/>
          <w:sz w:val="26"/>
          <w:szCs w:val="26"/>
        </w:rPr>
        <w:t>, kurių skolos tvarumas kelia klausimų</w:t>
      </w:r>
      <w:r w:rsidR="00DD1BF4" w:rsidRPr="00794D66">
        <w:rPr>
          <w:rFonts w:ascii="Times New Roman" w:hAnsi="Times New Roman" w:cs="Times New Roman"/>
          <w:sz w:val="26"/>
          <w:szCs w:val="26"/>
        </w:rPr>
        <w:t>, nes tikimybė, kad visa EZ bankrutuos yra daug mažesnė nei</w:t>
      </w:r>
      <w:r w:rsidR="00E22F55" w:rsidRPr="00794D66">
        <w:rPr>
          <w:rFonts w:ascii="Times New Roman" w:hAnsi="Times New Roman" w:cs="Times New Roman"/>
          <w:sz w:val="26"/>
          <w:szCs w:val="26"/>
        </w:rPr>
        <w:t xml:space="preserve"> pavienės</w:t>
      </w:r>
      <w:r w:rsidR="00752172" w:rsidRPr="00794D66">
        <w:rPr>
          <w:rFonts w:ascii="Times New Roman" w:hAnsi="Times New Roman" w:cs="Times New Roman"/>
          <w:sz w:val="26"/>
          <w:szCs w:val="26"/>
        </w:rPr>
        <w:t xml:space="preserve"> </w:t>
      </w:r>
      <w:r w:rsidRPr="00794D66">
        <w:rPr>
          <w:rFonts w:ascii="Times New Roman" w:hAnsi="Times New Roman" w:cs="Times New Roman"/>
          <w:sz w:val="26"/>
          <w:szCs w:val="26"/>
        </w:rPr>
        <w:t>šalies</w:t>
      </w:r>
      <w:r w:rsidR="00752172" w:rsidRPr="00794D66">
        <w:rPr>
          <w:rFonts w:ascii="Times New Roman" w:hAnsi="Times New Roman" w:cs="Times New Roman"/>
          <w:sz w:val="26"/>
          <w:szCs w:val="26"/>
        </w:rPr>
        <w:t xml:space="preserve"> bankrotas. Iš esmės kiekviena VN garantuotų kitų VN skolą išleistą remiantis šiuo instrumentu, pvz., Vokie</w:t>
      </w:r>
      <w:r w:rsidR="003D0A9A" w:rsidRPr="00794D66">
        <w:rPr>
          <w:rFonts w:ascii="Times New Roman" w:hAnsi="Times New Roman" w:cs="Times New Roman"/>
          <w:sz w:val="26"/>
          <w:szCs w:val="26"/>
        </w:rPr>
        <w:t>tija</w:t>
      </w:r>
      <w:r w:rsidR="00752172" w:rsidRPr="00794D66">
        <w:rPr>
          <w:rFonts w:ascii="Times New Roman" w:hAnsi="Times New Roman" w:cs="Times New Roman"/>
          <w:sz w:val="26"/>
          <w:szCs w:val="26"/>
        </w:rPr>
        <w:t xml:space="preserve"> garantuotų Italijos skolos atidavimą. </w:t>
      </w:r>
      <w:r w:rsidR="00E22F55" w:rsidRPr="00794D66">
        <w:rPr>
          <w:rFonts w:ascii="Times New Roman" w:hAnsi="Times New Roman" w:cs="Times New Roman"/>
          <w:sz w:val="26"/>
          <w:szCs w:val="26"/>
        </w:rPr>
        <w:t xml:space="preserve">Tai leistų užtikrinti pakankamą fiskalinį atsaką šiai krizei net ir </w:t>
      </w:r>
      <w:r w:rsidRPr="00794D66">
        <w:rPr>
          <w:rFonts w:ascii="Times New Roman" w:hAnsi="Times New Roman" w:cs="Times New Roman"/>
          <w:sz w:val="26"/>
          <w:szCs w:val="26"/>
        </w:rPr>
        <w:t>didžiules skolas turinčioms</w:t>
      </w:r>
      <w:r w:rsidR="00E22F55" w:rsidRPr="00794D66">
        <w:rPr>
          <w:rFonts w:ascii="Times New Roman" w:hAnsi="Times New Roman" w:cs="Times New Roman"/>
          <w:sz w:val="26"/>
          <w:szCs w:val="26"/>
        </w:rPr>
        <w:t xml:space="preserve"> VN.</w:t>
      </w:r>
      <w:r w:rsidR="004D17EF" w:rsidRPr="00794D66">
        <w:rPr>
          <w:rFonts w:ascii="Times New Roman" w:hAnsi="Times New Roman" w:cs="Times New Roman"/>
          <w:sz w:val="26"/>
          <w:szCs w:val="26"/>
        </w:rPr>
        <w:t xml:space="preserve"> </w:t>
      </w:r>
    </w:p>
    <w:p w14:paraId="656744B6" w14:textId="1015DA8A" w:rsidR="00A87A72" w:rsidRPr="00794D66" w:rsidRDefault="004D17EF" w:rsidP="00106010">
      <w:pPr>
        <w:spacing w:after="0"/>
        <w:contextualSpacing/>
        <w:jc w:val="both"/>
        <w:rPr>
          <w:rFonts w:ascii="Times New Roman" w:hAnsi="Times New Roman" w:cs="Times New Roman"/>
          <w:sz w:val="26"/>
          <w:szCs w:val="26"/>
        </w:rPr>
      </w:pPr>
      <w:r w:rsidRPr="00794D66">
        <w:rPr>
          <w:rFonts w:ascii="Times New Roman" w:hAnsi="Times New Roman" w:cs="Times New Roman"/>
          <w:sz w:val="26"/>
          <w:szCs w:val="26"/>
        </w:rPr>
        <w:t>Dėl minėtų priežasčių bendrų obligacijų idėją remia 9 VN (BE, FR, GR, IE, IT, LUX, PT, SI, ESP), kurios pasirašė bendrą laišką skirtą EVT pirmininkui</w:t>
      </w:r>
      <w:r w:rsidR="00D87CEE" w:rsidRPr="00794D66">
        <w:rPr>
          <w:rFonts w:ascii="Times New Roman" w:hAnsi="Times New Roman" w:cs="Times New Roman"/>
          <w:sz w:val="26"/>
          <w:szCs w:val="26"/>
        </w:rPr>
        <w:t>,</w:t>
      </w:r>
      <w:r w:rsidRPr="00794D66">
        <w:rPr>
          <w:rFonts w:ascii="Times New Roman" w:hAnsi="Times New Roman" w:cs="Times New Roman"/>
          <w:sz w:val="26"/>
          <w:szCs w:val="26"/>
        </w:rPr>
        <w:t xml:space="preserve"> raginantį </w:t>
      </w:r>
      <w:r w:rsidR="00D87CEE" w:rsidRPr="00794D66">
        <w:rPr>
          <w:rFonts w:ascii="Times New Roman" w:hAnsi="Times New Roman" w:cs="Times New Roman"/>
          <w:sz w:val="26"/>
          <w:szCs w:val="26"/>
        </w:rPr>
        <w:t>sukurti</w:t>
      </w:r>
      <w:r w:rsidRPr="00794D66">
        <w:rPr>
          <w:rFonts w:ascii="Times New Roman" w:hAnsi="Times New Roman" w:cs="Times New Roman"/>
          <w:sz w:val="26"/>
          <w:szCs w:val="26"/>
        </w:rPr>
        <w:t xml:space="preserve"> bendrą skolos instrumentą. Jame dėstoma, kad esant simetriniam ekonomikos sukrėtimui reikalingas </w:t>
      </w:r>
      <w:r w:rsidR="00B70062" w:rsidRPr="00794D66">
        <w:rPr>
          <w:rFonts w:ascii="Times New Roman" w:hAnsi="Times New Roman" w:cs="Times New Roman"/>
          <w:sz w:val="26"/>
          <w:szCs w:val="26"/>
        </w:rPr>
        <w:t>pakankamo mąsto ir ilgos trukmės finansavimo instrumentas</w:t>
      </w:r>
      <w:r w:rsidR="00D87CEE" w:rsidRPr="00794D66">
        <w:rPr>
          <w:rFonts w:ascii="Times New Roman" w:hAnsi="Times New Roman" w:cs="Times New Roman"/>
          <w:sz w:val="26"/>
          <w:szCs w:val="26"/>
        </w:rPr>
        <w:t>,</w:t>
      </w:r>
      <w:r w:rsidRPr="00794D66">
        <w:rPr>
          <w:rFonts w:ascii="Times New Roman" w:hAnsi="Times New Roman" w:cs="Times New Roman"/>
          <w:sz w:val="26"/>
          <w:szCs w:val="26"/>
        </w:rPr>
        <w:t xml:space="preserve"> </w:t>
      </w:r>
      <w:r w:rsidR="00B70062" w:rsidRPr="00794D66">
        <w:rPr>
          <w:rFonts w:ascii="Times New Roman" w:hAnsi="Times New Roman" w:cs="Times New Roman"/>
          <w:sz w:val="26"/>
          <w:szCs w:val="26"/>
        </w:rPr>
        <w:t xml:space="preserve">skirtas finansuoti sveikatos apsaugą bei </w:t>
      </w:r>
      <w:r w:rsidR="00D87CEE" w:rsidRPr="00794D66">
        <w:rPr>
          <w:rFonts w:ascii="Times New Roman" w:hAnsi="Times New Roman" w:cs="Times New Roman"/>
          <w:sz w:val="26"/>
          <w:szCs w:val="26"/>
        </w:rPr>
        <w:t xml:space="preserve">viešosios </w:t>
      </w:r>
      <w:r w:rsidR="00B70062" w:rsidRPr="00794D66">
        <w:rPr>
          <w:rFonts w:ascii="Times New Roman" w:hAnsi="Times New Roman" w:cs="Times New Roman"/>
          <w:sz w:val="26"/>
          <w:szCs w:val="26"/>
        </w:rPr>
        <w:t>politik</w:t>
      </w:r>
      <w:r w:rsidR="00D87CEE" w:rsidRPr="00794D66">
        <w:rPr>
          <w:rFonts w:ascii="Times New Roman" w:hAnsi="Times New Roman" w:cs="Times New Roman"/>
          <w:sz w:val="26"/>
          <w:szCs w:val="26"/>
        </w:rPr>
        <w:t>os priemones</w:t>
      </w:r>
      <w:r w:rsidR="00B70062" w:rsidRPr="00794D66">
        <w:rPr>
          <w:rFonts w:ascii="Times New Roman" w:hAnsi="Times New Roman" w:cs="Times New Roman"/>
          <w:sz w:val="26"/>
          <w:szCs w:val="26"/>
        </w:rPr>
        <w:t>, kuri</w:t>
      </w:r>
      <w:r w:rsidR="00D87CEE" w:rsidRPr="00794D66">
        <w:rPr>
          <w:rFonts w:ascii="Times New Roman" w:hAnsi="Times New Roman" w:cs="Times New Roman"/>
          <w:sz w:val="26"/>
          <w:szCs w:val="26"/>
        </w:rPr>
        <w:t>omis</w:t>
      </w:r>
      <w:r w:rsidR="00B70062" w:rsidRPr="00794D66">
        <w:rPr>
          <w:rFonts w:ascii="Times New Roman" w:hAnsi="Times New Roman" w:cs="Times New Roman"/>
          <w:sz w:val="26"/>
          <w:szCs w:val="26"/>
        </w:rPr>
        <w:t xml:space="preserve"> bus siekiama išsaugoti socialinę ir ekonominę gerovę.</w:t>
      </w:r>
    </w:p>
    <w:p w14:paraId="45C3F839" w14:textId="316DAB10" w:rsidR="007F043D" w:rsidRPr="00794D66" w:rsidRDefault="00752172" w:rsidP="00106010">
      <w:pPr>
        <w:spacing w:after="0"/>
        <w:jc w:val="both"/>
        <w:rPr>
          <w:rFonts w:ascii="Times New Roman" w:eastAsia="Times New Roman" w:hAnsi="Times New Roman" w:cs="Times New Roman"/>
          <w:b/>
          <w:sz w:val="26"/>
          <w:szCs w:val="26"/>
          <w:lang w:eastAsia="fr-BE"/>
        </w:rPr>
      </w:pPr>
      <w:r w:rsidRPr="00794D66">
        <w:rPr>
          <w:rFonts w:ascii="Times New Roman" w:eastAsia="Times New Roman" w:hAnsi="Times New Roman" w:cs="Times New Roman"/>
          <w:b/>
          <w:sz w:val="26"/>
          <w:szCs w:val="26"/>
          <w:lang w:eastAsia="fr-BE"/>
        </w:rPr>
        <w:t xml:space="preserve">Nepaisant to, </w:t>
      </w:r>
      <w:r w:rsidR="00DB0738" w:rsidRPr="00794D66">
        <w:rPr>
          <w:rFonts w:ascii="Times New Roman" w:eastAsia="Times New Roman" w:hAnsi="Times New Roman" w:cs="Times New Roman"/>
          <w:b/>
          <w:sz w:val="26"/>
          <w:szCs w:val="26"/>
          <w:lang w:eastAsia="fr-BE"/>
        </w:rPr>
        <w:t xml:space="preserve">bendros </w:t>
      </w:r>
      <w:r w:rsidRPr="00794D66">
        <w:rPr>
          <w:rFonts w:ascii="Times New Roman" w:eastAsia="Times New Roman" w:hAnsi="Times New Roman" w:cs="Times New Roman"/>
          <w:b/>
          <w:sz w:val="26"/>
          <w:szCs w:val="26"/>
          <w:lang w:eastAsia="fr-BE"/>
        </w:rPr>
        <w:t>obligacijos turi ir trūkumų:</w:t>
      </w:r>
    </w:p>
    <w:p w14:paraId="47B354E0" w14:textId="77777777" w:rsidR="00794D66" w:rsidRPr="00794D66" w:rsidRDefault="00794D66" w:rsidP="00794D66">
      <w:pPr>
        <w:pStyle w:val="Sraopastraipa"/>
        <w:numPr>
          <w:ilvl w:val="0"/>
          <w:numId w:val="2"/>
        </w:numPr>
        <w:pBdr>
          <w:top w:val="nil"/>
          <w:left w:val="nil"/>
          <w:bottom w:val="nil"/>
          <w:right w:val="nil"/>
          <w:between w:val="nil"/>
          <w:bar w:val="nil"/>
        </w:pBdr>
        <w:ind w:left="714" w:hanging="357"/>
        <w:contextualSpacing w:val="0"/>
        <w:jc w:val="both"/>
        <w:rPr>
          <w:rFonts w:ascii="Times New Roman" w:hAnsi="Times New Roman" w:cs="Times New Roman"/>
          <w:sz w:val="26"/>
          <w:szCs w:val="26"/>
        </w:rPr>
      </w:pPr>
      <w:r w:rsidRPr="00794D66">
        <w:rPr>
          <w:rFonts w:ascii="Times New Roman" w:hAnsi="Times New Roman" w:cs="Times New Roman"/>
          <w:b/>
          <w:bCs/>
          <w:sz w:val="26"/>
          <w:szCs w:val="26"/>
        </w:rPr>
        <w:t>ECB plataus masto turto pirkimo programos (APP ir PEPP) yra skirtos užtikrinti sklandų pinigų politikos poveikį visose VN ir padidins VN skolų refinansavimo galimybes bei tvarumą</w:t>
      </w:r>
      <w:r w:rsidRPr="00794D66">
        <w:rPr>
          <w:rFonts w:ascii="Times New Roman" w:hAnsi="Times New Roman" w:cs="Times New Roman"/>
          <w:sz w:val="26"/>
          <w:szCs w:val="26"/>
        </w:rPr>
        <w:t xml:space="preserve">. Tačiau ECB nesiekia eliminuoti rinkos mechanizmų bei VN obligacijų reitingų bei palūkanų skirtumų, kurie priklauso nuo VN skolų tvarumo skirtumų. Šį argumentą naudoja ir tos VN, kurios nesutinka šiame etape solidariai leisti Europos </w:t>
      </w:r>
      <w:proofErr w:type="spellStart"/>
      <w:r w:rsidRPr="00794D66">
        <w:rPr>
          <w:rFonts w:ascii="Times New Roman" w:hAnsi="Times New Roman" w:cs="Times New Roman"/>
          <w:sz w:val="26"/>
          <w:szCs w:val="26"/>
        </w:rPr>
        <w:t>koronaobligacijas</w:t>
      </w:r>
      <w:proofErr w:type="spellEnd"/>
      <w:r w:rsidRPr="00794D66">
        <w:rPr>
          <w:rFonts w:ascii="Times New Roman" w:hAnsi="Times New Roman" w:cs="Times New Roman"/>
          <w:sz w:val="26"/>
          <w:szCs w:val="26"/>
        </w:rPr>
        <w:t>.</w:t>
      </w:r>
    </w:p>
    <w:p w14:paraId="19FD0C52" w14:textId="4C978F28" w:rsidR="00752172" w:rsidRPr="00794D66" w:rsidRDefault="00967EE5" w:rsidP="00106010">
      <w:pPr>
        <w:pStyle w:val="Sraopastraipa"/>
        <w:numPr>
          <w:ilvl w:val="0"/>
          <w:numId w:val="2"/>
        </w:numPr>
        <w:spacing w:after="0"/>
        <w:jc w:val="both"/>
        <w:rPr>
          <w:rFonts w:ascii="Times New Roman" w:hAnsi="Times New Roman" w:cs="Times New Roman"/>
          <w:b/>
          <w:sz w:val="26"/>
          <w:szCs w:val="26"/>
        </w:rPr>
      </w:pPr>
      <w:r w:rsidRPr="00794D66">
        <w:rPr>
          <w:rFonts w:ascii="Times New Roman" w:hAnsi="Times New Roman" w:cs="Times New Roman"/>
          <w:b/>
          <w:sz w:val="26"/>
          <w:szCs w:val="26"/>
        </w:rPr>
        <w:lastRenderedPageBreak/>
        <w:t>Bendra skola, bet savarankiški biudžetai</w:t>
      </w:r>
      <w:r w:rsidR="00752172" w:rsidRPr="00794D66">
        <w:rPr>
          <w:rFonts w:ascii="Times New Roman" w:hAnsi="Times New Roman" w:cs="Times New Roman"/>
          <w:b/>
          <w:sz w:val="26"/>
          <w:szCs w:val="26"/>
        </w:rPr>
        <w:t xml:space="preserve">. </w:t>
      </w:r>
      <w:r w:rsidRPr="00794D66">
        <w:rPr>
          <w:rFonts w:ascii="Times New Roman" w:hAnsi="Times New Roman" w:cs="Times New Roman"/>
          <w:sz w:val="26"/>
          <w:szCs w:val="26"/>
        </w:rPr>
        <w:t>Viešųjų išlaidų lygis ir struktūra skirtingose euro zonos šalyse labai stipriai skiriasi, taikomi labai skirtingi socialinių išmokų standartai. Pvz., pensijos Graikijoje buvo didesnės negu Lietuvoje net ir 2015 m., t. y. tuo metu kai buvo įgyvendinama ESM finansuojama šalies gelbėjimo programa. Kodėl visos euro zonos šalys turėtų bendrai užtikrinti, kad skolintomis lėšomis bus išlaikyti dabartiniai skirtingi socialini</w:t>
      </w:r>
      <w:r w:rsidR="008C2E01" w:rsidRPr="00794D66">
        <w:rPr>
          <w:rFonts w:ascii="Times New Roman" w:hAnsi="Times New Roman" w:cs="Times New Roman"/>
          <w:sz w:val="26"/>
          <w:szCs w:val="26"/>
        </w:rPr>
        <w:t>ai</w:t>
      </w:r>
      <w:r w:rsidRPr="00794D66">
        <w:rPr>
          <w:rFonts w:ascii="Times New Roman" w:hAnsi="Times New Roman" w:cs="Times New Roman"/>
          <w:sz w:val="26"/>
          <w:szCs w:val="26"/>
        </w:rPr>
        <w:t xml:space="preserve"> standartai</w:t>
      </w:r>
      <w:r w:rsidR="008C2E01" w:rsidRPr="00794D66">
        <w:rPr>
          <w:rFonts w:ascii="Times New Roman" w:hAnsi="Times New Roman" w:cs="Times New Roman"/>
          <w:sz w:val="26"/>
          <w:szCs w:val="26"/>
        </w:rPr>
        <w:t xml:space="preserve"> (pvz., minimali mėnesinė alga, arba nedarbo išmoka)</w:t>
      </w:r>
      <w:r w:rsidRPr="00794D66">
        <w:rPr>
          <w:rFonts w:ascii="Times New Roman" w:hAnsi="Times New Roman" w:cs="Times New Roman"/>
          <w:sz w:val="26"/>
          <w:szCs w:val="26"/>
        </w:rPr>
        <w:t xml:space="preserve"> visose euro zonos šalyse, įskaitant ir tas </w:t>
      </w:r>
      <w:r w:rsidR="00752172" w:rsidRPr="00794D66">
        <w:rPr>
          <w:rFonts w:ascii="Times New Roman" w:hAnsi="Times New Roman" w:cs="Times New Roman"/>
          <w:sz w:val="26"/>
          <w:szCs w:val="26"/>
        </w:rPr>
        <w:t>šalis, kur sistema yra netvari?</w:t>
      </w:r>
    </w:p>
    <w:p w14:paraId="1BCE6987" w14:textId="0C29FE67" w:rsidR="00E87BF6" w:rsidRPr="00794D66" w:rsidRDefault="00E87BF6" w:rsidP="00106010">
      <w:pPr>
        <w:pStyle w:val="Sraopastraipa"/>
        <w:numPr>
          <w:ilvl w:val="0"/>
          <w:numId w:val="2"/>
        </w:numPr>
        <w:spacing w:after="0"/>
        <w:jc w:val="both"/>
        <w:rPr>
          <w:rFonts w:ascii="Times New Roman" w:hAnsi="Times New Roman" w:cs="Times New Roman"/>
          <w:b/>
          <w:sz w:val="26"/>
          <w:szCs w:val="26"/>
        </w:rPr>
      </w:pPr>
      <w:r w:rsidRPr="00794D66">
        <w:rPr>
          <w:rFonts w:ascii="Times New Roman" w:hAnsi="Times New Roman" w:cs="Times New Roman"/>
          <w:b/>
          <w:sz w:val="26"/>
          <w:szCs w:val="26"/>
        </w:rPr>
        <w:t xml:space="preserve">Mažėtų paskatos vykdyti reikalingas reformas ir užtikrinti išlaidų efektyvumą. </w:t>
      </w:r>
      <w:r w:rsidRPr="00794D66">
        <w:rPr>
          <w:rFonts w:ascii="Times New Roman" w:hAnsi="Times New Roman" w:cs="Times New Roman"/>
          <w:color w:val="000000"/>
          <w:sz w:val="26"/>
          <w:szCs w:val="26"/>
        </w:rPr>
        <w:t xml:space="preserve">COVID-19  staigiai pagilino problemas, kurios egzistavo anksčiau ir nebuvo išspręstos. </w:t>
      </w:r>
      <w:r w:rsidR="00E31A30" w:rsidRPr="00794D66">
        <w:rPr>
          <w:rFonts w:ascii="Times New Roman" w:hAnsi="Times New Roman" w:cs="Times New Roman"/>
          <w:color w:val="000000"/>
          <w:sz w:val="26"/>
          <w:szCs w:val="26"/>
        </w:rPr>
        <w:t>E</w:t>
      </w:r>
      <w:r w:rsidRPr="00794D66">
        <w:rPr>
          <w:rFonts w:ascii="Times New Roman" w:hAnsi="Times New Roman" w:cs="Times New Roman"/>
          <w:color w:val="000000"/>
          <w:sz w:val="26"/>
          <w:szCs w:val="26"/>
        </w:rPr>
        <w:t xml:space="preserve">sant bendrai skolai,  dar labiau mažės paskatos daryti būtinas struktūrines reformas. Kai kurios šalys gali </w:t>
      </w:r>
      <w:r w:rsidR="006C602D" w:rsidRPr="00794D66">
        <w:rPr>
          <w:rFonts w:ascii="Times New Roman" w:hAnsi="Times New Roman" w:cs="Times New Roman"/>
          <w:color w:val="000000"/>
          <w:sz w:val="26"/>
          <w:szCs w:val="26"/>
        </w:rPr>
        <w:t>pasinaudoti situacija ir nekontroliuoti savo išlaidų</w:t>
      </w:r>
      <w:r w:rsidR="006C602D" w:rsidRPr="00794D66">
        <w:rPr>
          <w:rFonts w:ascii="Times New Roman" w:hAnsi="Times New Roman" w:cs="Times New Roman"/>
          <w:color w:val="000000"/>
          <w:sz w:val="26"/>
          <w:szCs w:val="26"/>
          <w:lang w:val="fr-FR"/>
        </w:rPr>
        <w:t>.</w:t>
      </w:r>
      <w:r w:rsidRPr="00794D66">
        <w:rPr>
          <w:rFonts w:ascii="Times New Roman" w:hAnsi="Times New Roman" w:cs="Times New Roman"/>
          <w:color w:val="000000"/>
          <w:sz w:val="26"/>
          <w:szCs w:val="26"/>
        </w:rPr>
        <w:t xml:space="preserve"> Ilguoju laikotarpiu tai reikštų mažesnį ekonomi</w:t>
      </w:r>
      <w:r w:rsidR="00DB2AAC" w:rsidRPr="00794D66">
        <w:rPr>
          <w:rFonts w:ascii="Times New Roman" w:hAnsi="Times New Roman" w:cs="Times New Roman"/>
          <w:color w:val="000000"/>
          <w:sz w:val="26"/>
          <w:szCs w:val="26"/>
        </w:rPr>
        <w:t>kos</w:t>
      </w:r>
      <w:r w:rsidRPr="00794D66">
        <w:rPr>
          <w:rFonts w:ascii="Times New Roman" w:hAnsi="Times New Roman" w:cs="Times New Roman"/>
          <w:color w:val="000000"/>
          <w:sz w:val="26"/>
          <w:szCs w:val="26"/>
        </w:rPr>
        <w:t xml:space="preserve"> augimą ir aukštesnę nei norimą infliaciją.</w:t>
      </w:r>
    </w:p>
    <w:p w14:paraId="6A2B9989" w14:textId="5499C7E0" w:rsidR="00967EE5" w:rsidRPr="00794D66" w:rsidRDefault="00967EE5" w:rsidP="00106010">
      <w:pPr>
        <w:pStyle w:val="Sraopastraipa"/>
        <w:numPr>
          <w:ilvl w:val="0"/>
          <w:numId w:val="2"/>
        </w:numPr>
        <w:spacing w:after="0"/>
        <w:jc w:val="both"/>
        <w:rPr>
          <w:rFonts w:ascii="Times New Roman" w:hAnsi="Times New Roman" w:cs="Times New Roman"/>
          <w:b/>
          <w:sz w:val="26"/>
          <w:szCs w:val="26"/>
        </w:rPr>
      </w:pPr>
      <w:r w:rsidRPr="00794D66">
        <w:rPr>
          <w:rFonts w:ascii="Times New Roman" w:hAnsi="Times New Roman" w:cs="Times New Roman"/>
          <w:b/>
          <w:color w:val="000000"/>
          <w:sz w:val="26"/>
          <w:szCs w:val="26"/>
        </w:rPr>
        <w:t>Skolinimosi kaštai tarp skirtingų euro zonos šalių suvienodėtų.</w:t>
      </w:r>
      <w:r w:rsidR="00752172" w:rsidRPr="00794D66">
        <w:rPr>
          <w:rFonts w:ascii="Times New Roman" w:hAnsi="Times New Roman" w:cs="Times New Roman"/>
          <w:b/>
          <w:color w:val="000000"/>
          <w:sz w:val="26"/>
          <w:szCs w:val="26"/>
        </w:rPr>
        <w:t xml:space="preserve"> </w:t>
      </w:r>
      <w:r w:rsidRPr="00794D66">
        <w:rPr>
          <w:rFonts w:ascii="Times New Roman" w:hAnsi="Times New Roman" w:cs="Times New Roman"/>
          <w:color w:val="000000"/>
          <w:sz w:val="26"/>
          <w:szCs w:val="26"/>
        </w:rPr>
        <w:t>Skolinimosi kaštai tikėtina didėtų finansiškai tvarkingesnėms šalims, kurios šiuo metu skolinasi pigiau</w:t>
      </w:r>
      <w:r w:rsidR="00C43648" w:rsidRPr="00794D66">
        <w:rPr>
          <w:rFonts w:ascii="Times New Roman" w:hAnsi="Times New Roman" w:cs="Times New Roman"/>
          <w:color w:val="000000"/>
          <w:sz w:val="26"/>
          <w:szCs w:val="26"/>
        </w:rPr>
        <w:t>,</w:t>
      </w:r>
      <w:r w:rsidRPr="00794D66">
        <w:rPr>
          <w:rFonts w:ascii="Times New Roman" w:hAnsi="Times New Roman" w:cs="Times New Roman"/>
          <w:color w:val="000000"/>
          <w:sz w:val="26"/>
          <w:szCs w:val="26"/>
        </w:rPr>
        <w:t xml:space="preserve"> ir mažėtų toms, kurios šiuo metu skolinasi brangiai. Taigi būtų artėjama link euro zonos skolinimosi</w:t>
      </w:r>
      <w:r w:rsidR="00764A5B" w:rsidRPr="00794D66">
        <w:rPr>
          <w:rFonts w:ascii="Times New Roman" w:hAnsi="Times New Roman" w:cs="Times New Roman"/>
          <w:color w:val="000000"/>
          <w:sz w:val="26"/>
          <w:szCs w:val="26"/>
        </w:rPr>
        <w:t xml:space="preserve"> svertinio</w:t>
      </w:r>
      <w:r w:rsidRPr="00794D66">
        <w:rPr>
          <w:rFonts w:ascii="Times New Roman" w:hAnsi="Times New Roman" w:cs="Times New Roman"/>
          <w:color w:val="000000"/>
          <w:sz w:val="26"/>
          <w:szCs w:val="26"/>
        </w:rPr>
        <w:t xml:space="preserve"> vidurkio. </w:t>
      </w:r>
      <w:r w:rsidR="00361D34" w:rsidRPr="00794D66">
        <w:rPr>
          <w:rFonts w:ascii="Times New Roman" w:hAnsi="Times New Roman" w:cs="Times New Roman"/>
          <w:color w:val="000000"/>
          <w:sz w:val="26"/>
          <w:szCs w:val="26"/>
        </w:rPr>
        <w:t>Nepaisant to, j</w:t>
      </w:r>
      <w:r w:rsidR="000F6851" w:rsidRPr="00794D66">
        <w:rPr>
          <w:rFonts w:ascii="Times New Roman" w:hAnsi="Times New Roman" w:cs="Times New Roman"/>
          <w:color w:val="000000"/>
          <w:sz w:val="26"/>
          <w:szCs w:val="26"/>
        </w:rPr>
        <w:t xml:space="preserve">eigu </w:t>
      </w:r>
      <w:r w:rsidR="000F6851" w:rsidRPr="00794D66">
        <w:rPr>
          <w:rFonts w:ascii="Times New Roman" w:hAnsi="Times New Roman" w:cs="Times New Roman"/>
          <w:sz w:val="26"/>
          <w:szCs w:val="26"/>
        </w:rPr>
        <w:t>ECB veiktų kaip garantija (</w:t>
      </w:r>
      <w:proofErr w:type="spellStart"/>
      <w:r w:rsidR="000F6851" w:rsidRPr="00794D66">
        <w:rPr>
          <w:rFonts w:ascii="Times New Roman" w:hAnsi="Times New Roman" w:cs="Times New Roman"/>
          <w:i/>
          <w:sz w:val="26"/>
          <w:szCs w:val="26"/>
        </w:rPr>
        <w:t>backstop</w:t>
      </w:r>
      <w:proofErr w:type="spellEnd"/>
      <w:r w:rsidR="000F6851" w:rsidRPr="00794D66">
        <w:rPr>
          <w:rFonts w:ascii="Times New Roman" w:hAnsi="Times New Roman" w:cs="Times New Roman"/>
          <w:sz w:val="26"/>
          <w:szCs w:val="26"/>
        </w:rPr>
        <w:t xml:space="preserve">) šiam instrumentui, tikėtina, kad skolinimosi kaštai būtų ženkliai mažesni už euro zonos skolinimosi svertinį vidurkį, nes skolos tvarumo rizikos </w:t>
      </w:r>
      <w:r w:rsidR="006C2563" w:rsidRPr="00794D66">
        <w:rPr>
          <w:rFonts w:ascii="Times New Roman" w:hAnsi="Times New Roman" w:cs="Times New Roman"/>
          <w:sz w:val="26"/>
          <w:szCs w:val="26"/>
        </w:rPr>
        <w:t>išvis nebūtų dėl to, kad</w:t>
      </w:r>
      <w:r w:rsidR="000F6851" w:rsidRPr="00794D66">
        <w:rPr>
          <w:rFonts w:ascii="Times New Roman" w:hAnsi="Times New Roman" w:cs="Times New Roman"/>
          <w:sz w:val="26"/>
          <w:szCs w:val="26"/>
        </w:rPr>
        <w:t xml:space="preserve"> ECB turi neribotus finansinius išteklius.</w:t>
      </w:r>
    </w:p>
    <w:p w14:paraId="25AE15EE" w14:textId="77777777" w:rsidR="00967EE5" w:rsidRPr="00794D66" w:rsidRDefault="00967EE5" w:rsidP="00106010">
      <w:pPr>
        <w:pStyle w:val="Sraopastraipa"/>
        <w:numPr>
          <w:ilvl w:val="0"/>
          <w:numId w:val="2"/>
        </w:numPr>
        <w:spacing w:after="0"/>
        <w:jc w:val="both"/>
        <w:rPr>
          <w:rFonts w:ascii="Times New Roman" w:hAnsi="Times New Roman" w:cs="Times New Roman"/>
          <w:b/>
          <w:color w:val="000000"/>
          <w:sz w:val="26"/>
          <w:szCs w:val="26"/>
        </w:rPr>
      </w:pPr>
      <w:r w:rsidRPr="00794D66">
        <w:rPr>
          <w:rFonts w:ascii="Times New Roman" w:hAnsi="Times New Roman" w:cs="Times New Roman"/>
          <w:b/>
          <w:color w:val="000000"/>
          <w:sz w:val="26"/>
          <w:szCs w:val="26"/>
        </w:rPr>
        <w:t xml:space="preserve">Fiskalinio suverenumo praradimas. </w:t>
      </w:r>
      <w:r w:rsidR="00764A5B" w:rsidRPr="00794D66">
        <w:rPr>
          <w:rFonts w:ascii="Times New Roman" w:hAnsi="Times New Roman" w:cs="Times New Roman"/>
          <w:color w:val="000000"/>
          <w:sz w:val="26"/>
          <w:szCs w:val="26"/>
        </w:rPr>
        <w:t>Šalies įtaka</w:t>
      </w:r>
      <w:r w:rsidRPr="00794D66">
        <w:rPr>
          <w:rFonts w:ascii="Times New Roman" w:hAnsi="Times New Roman" w:cs="Times New Roman"/>
          <w:color w:val="000000"/>
          <w:sz w:val="26"/>
          <w:szCs w:val="26"/>
        </w:rPr>
        <w:t xml:space="preserve"> skolos aptarnavimo kaštams, vykdant apdairią finansų politiką, ma</w:t>
      </w:r>
      <w:r w:rsidR="003C235A" w:rsidRPr="00794D66">
        <w:rPr>
          <w:rFonts w:ascii="Times New Roman" w:hAnsi="Times New Roman" w:cs="Times New Roman"/>
          <w:color w:val="000000"/>
          <w:sz w:val="26"/>
          <w:szCs w:val="26"/>
        </w:rPr>
        <w:t>žėtų. Be to, atsirastų rizika</w:t>
      </w:r>
      <w:r w:rsidRPr="00794D66">
        <w:rPr>
          <w:rFonts w:ascii="Times New Roman" w:hAnsi="Times New Roman" w:cs="Times New Roman"/>
          <w:color w:val="000000"/>
          <w:sz w:val="26"/>
          <w:szCs w:val="26"/>
        </w:rPr>
        <w:t xml:space="preserve"> prarasti likvidumą nacionalinėse viešosios skolos rinkose. </w:t>
      </w:r>
    </w:p>
    <w:p w14:paraId="71CE66FD" w14:textId="409CA9B6" w:rsidR="00C54334" w:rsidRPr="00794D66" w:rsidRDefault="00D03ECA" w:rsidP="00D03ECA">
      <w:pPr>
        <w:pStyle w:val="Sraopastraipa"/>
        <w:numPr>
          <w:ilvl w:val="0"/>
          <w:numId w:val="2"/>
        </w:numPr>
        <w:spacing w:after="0"/>
        <w:jc w:val="both"/>
        <w:rPr>
          <w:rFonts w:ascii="Times New Roman" w:hAnsi="Times New Roman" w:cs="Times New Roman"/>
          <w:b/>
          <w:color w:val="000000"/>
          <w:sz w:val="26"/>
          <w:szCs w:val="26"/>
        </w:rPr>
      </w:pPr>
      <w:r w:rsidRPr="00794D66">
        <w:rPr>
          <w:rFonts w:ascii="Times New Roman" w:hAnsi="Times New Roman" w:cs="Times New Roman"/>
          <w:b/>
          <w:color w:val="000000"/>
          <w:sz w:val="26"/>
          <w:szCs w:val="26"/>
        </w:rPr>
        <w:t xml:space="preserve">Padidėtų rinkos fragmentacija. Euro obligacijų sukūrimas sukurtų dar vieną rinką šalia esančių nacionalinių rinkų,. </w:t>
      </w:r>
      <w:r w:rsidR="00C54334" w:rsidRPr="00794D66">
        <w:rPr>
          <w:rFonts w:ascii="Times New Roman" w:hAnsi="Times New Roman" w:cs="Times New Roman"/>
          <w:b/>
          <w:color w:val="000000"/>
          <w:sz w:val="26"/>
          <w:szCs w:val="26"/>
        </w:rPr>
        <w:t>Kovoje su COVID</w:t>
      </w:r>
      <w:r w:rsidR="005F27F5" w:rsidRPr="00794D66">
        <w:rPr>
          <w:rFonts w:ascii="Times New Roman" w:hAnsi="Times New Roman" w:cs="Times New Roman"/>
          <w:color w:val="000000"/>
          <w:sz w:val="26"/>
          <w:szCs w:val="26"/>
        </w:rPr>
        <w:t>-</w:t>
      </w:r>
      <w:r w:rsidR="00C54334" w:rsidRPr="00794D66">
        <w:rPr>
          <w:rFonts w:ascii="Times New Roman" w:hAnsi="Times New Roman" w:cs="Times New Roman"/>
          <w:b/>
          <w:color w:val="000000"/>
          <w:sz w:val="26"/>
          <w:szCs w:val="26"/>
        </w:rPr>
        <w:t>19 reikia greitų sprendimų</w:t>
      </w:r>
      <w:r w:rsidR="00C54334" w:rsidRPr="00794D66">
        <w:rPr>
          <w:rFonts w:ascii="Times New Roman" w:hAnsi="Times New Roman" w:cs="Times New Roman"/>
          <w:color w:val="000000"/>
          <w:sz w:val="26"/>
          <w:szCs w:val="26"/>
        </w:rPr>
        <w:t xml:space="preserve"> </w:t>
      </w:r>
      <w:r w:rsidR="00C54334" w:rsidRPr="00794D66">
        <w:rPr>
          <w:rFonts w:ascii="Times New Roman" w:hAnsi="Times New Roman" w:cs="Times New Roman"/>
          <w:b/>
          <w:color w:val="000000"/>
          <w:sz w:val="26"/>
          <w:szCs w:val="26"/>
        </w:rPr>
        <w:t>ir greitai įgyvendinamų instrumentų</w:t>
      </w:r>
      <w:r w:rsidR="00C54334" w:rsidRPr="00794D66">
        <w:rPr>
          <w:rFonts w:ascii="Times New Roman" w:hAnsi="Times New Roman" w:cs="Times New Roman"/>
          <w:color w:val="000000"/>
          <w:sz w:val="26"/>
          <w:szCs w:val="26"/>
        </w:rPr>
        <w:t xml:space="preserve">, tačiau bendrų obligacijų turėjimas laiko prasme nebūtų greitas. Pažymėtina, kad tokiam sprendimui reikėtų DE, </w:t>
      </w:r>
      <w:r w:rsidR="005F27F5" w:rsidRPr="00794D66">
        <w:rPr>
          <w:rFonts w:ascii="Times New Roman" w:hAnsi="Times New Roman" w:cs="Times New Roman"/>
          <w:color w:val="000000"/>
          <w:sz w:val="26"/>
          <w:szCs w:val="26"/>
        </w:rPr>
        <w:t xml:space="preserve">NL, </w:t>
      </w:r>
      <w:r w:rsidR="00C54334" w:rsidRPr="00794D66">
        <w:rPr>
          <w:rFonts w:ascii="Times New Roman" w:hAnsi="Times New Roman" w:cs="Times New Roman"/>
          <w:color w:val="000000"/>
          <w:sz w:val="26"/>
          <w:szCs w:val="26"/>
        </w:rPr>
        <w:t xml:space="preserve">AT, FI ir galbūt kitų šalių nacionalinių parlamentų pritarimo, o tai užimtų daug laiko ir žinant šių šalių neigiamas pozicijas šiuo klausimu, mažai tikėtina, kad parlamentai pritartų. Taip pat kai kurie ekspertai </w:t>
      </w:r>
      <w:r w:rsidRPr="00794D66">
        <w:rPr>
          <w:rFonts w:ascii="Times New Roman" w:hAnsi="Times New Roman" w:cs="Times New Roman"/>
          <w:color w:val="000000"/>
          <w:sz w:val="26"/>
          <w:szCs w:val="26"/>
        </w:rPr>
        <w:t xml:space="preserve">teigia, kad pagal ES sutarties 125 str. </w:t>
      </w:r>
      <w:r w:rsidR="00C54334" w:rsidRPr="00794D66">
        <w:rPr>
          <w:rFonts w:ascii="Times New Roman" w:hAnsi="Times New Roman" w:cs="Times New Roman"/>
          <w:color w:val="000000"/>
          <w:sz w:val="26"/>
          <w:szCs w:val="26"/>
        </w:rPr>
        <w:t xml:space="preserve"> </w:t>
      </w:r>
      <w:r w:rsidR="00C11F49" w:rsidRPr="00794D66">
        <w:rPr>
          <w:rFonts w:ascii="Times New Roman" w:hAnsi="Times New Roman" w:cs="Times New Roman"/>
          <w:color w:val="000000"/>
          <w:sz w:val="26"/>
          <w:szCs w:val="26"/>
        </w:rPr>
        <w:t xml:space="preserve">euroobligacijos yra </w:t>
      </w:r>
      <w:r w:rsidRPr="00794D66">
        <w:rPr>
          <w:rFonts w:ascii="Times New Roman" w:hAnsi="Times New Roman" w:cs="Times New Roman"/>
          <w:color w:val="000000"/>
          <w:sz w:val="26"/>
          <w:szCs w:val="26"/>
        </w:rPr>
        <w:t>negalimos</w:t>
      </w:r>
      <w:r w:rsidR="00C54334" w:rsidRPr="00794D66">
        <w:rPr>
          <w:rFonts w:ascii="Times New Roman" w:hAnsi="Times New Roman" w:cs="Times New Roman"/>
          <w:color w:val="000000"/>
          <w:sz w:val="26"/>
          <w:szCs w:val="26"/>
        </w:rPr>
        <w:t>.</w:t>
      </w:r>
    </w:p>
    <w:p w14:paraId="5AF44583" w14:textId="54BC8A24" w:rsidR="00C54334" w:rsidRPr="00794D66" w:rsidRDefault="00C54334" w:rsidP="00C54334">
      <w:pPr>
        <w:pStyle w:val="Sraopastraipa"/>
        <w:numPr>
          <w:ilvl w:val="0"/>
          <w:numId w:val="2"/>
        </w:numPr>
        <w:spacing w:after="0"/>
        <w:jc w:val="both"/>
        <w:rPr>
          <w:rFonts w:ascii="Times New Roman" w:hAnsi="Times New Roman" w:cs="Times New Roman"/>
          <w:b/>
          <w:color w:val="000000"/>
          <w:sz w:val="26"/>
          <w:szCs w:val="26"/>
        </w:rPr>
      </w:pPr>
      <w:r w:rsidRPr="00794D66">
        <w:rPr>
          <w:rFonts w:ascii="Times New Roman" w:hAnsi="Times New Roman" w:cs="Times New Roman"/>
          <w:b/>
          <w:color w:val="000000"/>
          <w:sz w:val="26"/>
          <w:szCs w:val="26"/>
        </w:rPr>
        <w:t>Esamų instrumentų gausa.</w:t>
      </w:r>
      <w:r w:rsidRPr="00794D66">
        <w:rPr>
          <w:rFonts w:ascii="Times New Roman" w:hAnsi="Times New Roman" w:cs="Times New Roman"/>
          <w:color w:val="000000"/>
          <w:sz w:val="26"/>
          <w:szCs w:val="26"/>
        </w:rPr>
        <w:t xml:space="preserve"> Pažymėtina, kad ES turi nemažai instrumentų, kurie </w:t>
      </w:r>
      <w:r w:rsidR="00C11F49" w:rsidRPr="00794D66">
        <w:rPr>
          <w:rFonts w:ascii="Times New Roman" w:hAnsi="Times New Roman" w:cs="Times New Roman"/>
          <w:color w:val="000000"/>
          <w:sz w:val="26"/>
          <w:szCs w:val="26"/>
        </w:rPr>
        <w:t xml:space="preserve">gali </w:t>
      </w:r>
      <w:r w:rsidRPr="00794D66">
        <w:rPr>
          <w:rFonts w:ascii="Times New Roman" w:hAnsi="Times New Roman" w:cs="Times New Roman"/>
          <w:color w:val="000000"/>
          <w:sz w:val="26"/>
          <w:szCs w:val="26"/>
        </w:rPr>
        <w:t>prisidėt</w:t>
      </w:r>
      <w:r w:rsidR="00C11F49" w:rsidRPr="00794D66">
        <w:rPr>
          <w:rFonts w:ascii="Times New Roman" w:hAnsi="Times New Roman" w:cs="Times New Roman"/>
          <w:color w:val="000000"/>
          <w:sz w:val="26"/>
          <w:szCs w:val="26"/>
        </w:rPr>
        <w:t>i</w:t>
      </w:r>
      <w:r w:rsidRPr="00794D66">
        <w:rPr>
          <w:rFonts w:ascii="Times New Roman" w:hAnsi="Times New Roman" w:cs="Times New Roman"/>
          <w:color w:val="000000"/>
          <w:sz w:val="26"/>
          <w:szCs w:val="26"/>
        </w:rPr>
        <w:t xml:space="preserve"> prie ekonomikos skatinimo, investicijų palaikymo</w:t>
      </w:r>
      <w:r w:rsidR="00C11F49" w:rsidRPr="00794D66">
        <w:rPr>
          <w:rFonts w:ascii="Times New Roman" w:hAnsi="Times New Roman" w:cs="Times New Roman"/>
          <w:color w:val="000000"/>
          <w:sz w:val="26"/>
          <w:szCs w:val="26"/>
        </w:rPr>
        <w:t xml:space="preserve"> ir</w:t>
      </w:r>
      <w:r w:rsidRPr="00794D66">
        <w:rPr>
          <w:rFonts w:ascii="Times New Roman" w:hAnsi="Times New Roman" w:cs="Times New Roman"/>
          <w:color w:val="000000"/>
          <w:sz w:val="26"/>
          <w:szCs w:val="26"/>
        </w:rPr>
        <w:t xml:space="preserve"> padėt</w:t>
      </w:r>
      <w:r w:rsidR="00C11F49" w:rsidRPr="00794D66">
        <w:rPr>
          <w:rFonts w:ascii="Times New Roman" w:hAnsi="Times New Roman" w:cs="Times New Roman"/>
          <w:color w:val="000000"/>
          <w:sz w:val="26"/>
          <w:szCs w:val="26"/>
        </w:rPr>
        <w:t>i</w:t>
      </w:r>
      <w:r w:rsidRPr="00794D66">
        <w:rPr>
          <w:rFonts w:ascii="Times New Roman" w:hAnsi="Times New Roman" w:cs="Times New Roman"/>
          <w:color w:val="000000"/>
          <w:sz w:val="26"/>
          <w:szCs w:val="26"/>
        </w:rPr>
        <w:t xml:space="preserve"> šalims krizės metu – </w:t>
      </w:r>
      <w:r w:rsidR="00C11F49" w:rsidRPr="00794D66">
        <w:rPr>
          <w:rFonts w:ascii="Times New Roman" w:hAnsi="Times New Roman" w:cs="Times New Roman"/>
          <w:color w:val="000000"/>
          <w:sz w:val="26"/>
          <w:szCs w:val="26"/>
        </w:rPr>
        <w:t xml:space="preserve">ES biudžetas, </w:t>
      </w:r>
      <w:r w:rsidRPr="00794D66">
        <w:rPr>
          <w:rFonts w:ascii="Times New Roman" w:hAnsi="Times New Roman" w:cs="Times New Roman"/>
          <w:color w:val="000000"/>
          <w:sz w:val="26"/>
          <w:szCs w:val="26"/>
        </w:rPr>
        <w:t xml:space="preserve">EIB, ESM ir kt. </w:t>
      </w:r>
      <w:r w:rsidR="00C11F49" w:rsidRPr="00794D66">
        <w:rPr>
          <w:rFonts w:ascii="Times New Roman" w:hAnsi="Times New Roman" w:cs="Times New Roman"/>
          <w:color w:val="000000"/>
          <w:sz w:val="26"/>
          <w:szCs w:val="26"/>
        </w:rPr>
        <w:t xml:space="preserve">Dėl </w:t>
      </w:r>
      <w:r w:rsidRPr="00794D66">
        <w:rPr>
          <w:rFonts w:ascii="Times New Roman" w:hAnsi="Times New Roman" w:cs="Times New Roman"/>
          <w:color w:val="000000"/>
          <w:sz w:val="26"/>
          <w:szCs w:val="26"/>
        </w:rPr>
        <w:t>COVID-19 COM jau yra aktyvavusi ir pasiūliusi nemažai priemonių padėti ekonomikai</w:t>
      </w:r>
      <w:r w:rsidR="00C11F49" w:rsidRPr="00794D66">
        <w:rPr>
          <w:rFonts w:ascii="Times New Roman" w:hAnsi="Times New Roman" w:cs="Times New Roman"/>
          <w:color w:val="000000"/>
          <w:sz w:val="26"/>
          <w:szCs w:val="26"/>
        </w:rPr>
        <w:t xml:space="preserve">, tokių kaip </w:t>
      </w:r>
      <w:proofErr w:type="spellStart"/>
      <w:r w:rsidRPr="00794D66">
        <w:rPr>
          <w:rFonts w:ascii="Times New Roman" w:hAnsi="Times New Roman" w:cs="Times New Roman"/>
          <w:i/>
          <w:sz w:val="26"/>
          <w:szCs w:val="26"/>
        </w:rPr>
        <w:t>Coronavirus</w:t>
      </w:r>
      <w:proofErr w:type="spellEnd"/>
      <w:r w:rsidRPr="00794D66">
        <w:rPr>
          <w:rFonts w:ascii="Times New Roman" w:hAnsi="Times New Roman" w:cs="Times New Roman"/>
          <w:i/>
          <w:sz w:val="26"/>
          <w:szCs w:val="26"/>
        </w:rPr>
        <w:t xml:space="preserve"> </w:t>
      </w:r>
      <w:proofErr w:type="spellStart"/>
      <w:r w:rsidRPr="00794D66">
        <w:rPr>
          <w:rFonts w:ascii="Times New Roman" w:hAnsi="Times New Roman" w:cs="Times New Roman"/>
          <w:i/>
          <w:sz w:val="26"/>
          <w:szCs w:val="26"/>
        </w:rPr>
        <w:t>Response</w:t>
      </w:r>
      <w:proofErr w:type="spellEnd"/>
      <w:r w:rsidRPr="00794D66">
        <w:rPr>
          <w:rFonts w:ascii="Times New Roman" w:hAnsi="Times New Roman" w:cs="Times New Roman"/>
          <w:i/>
          <w:sz w:val="26"/>
          <w:szCs w:val="26"/>
        </w:rPr>
        <w:t xml:space="preserve"> </w:t>
      </w:r>
      <w:proofErr w:type="spellStart"/>
      <w:r w:rsidRPr="00794D66">
        <w:rPr>
          <w:rFonts w:ascii="Times New Roman" w:hAnsi="Times New Roman" w:cs="Times New Roman"/>
          <w:i/>
          <w:sz w:val="26"/>
          <w:szCs w:val="26"/>
        </w:rPr>
        <w:t>Investment</w:t>
      </w:r>
      <w:proofErr w:type="spellEnd"/>
      <w:r w:rsidRPr="00794D66">
        <w:rPr>
          <w:rFonts w:ascii="Times New Roman" w:hAnsi="Times New Roman" w:cs="Times New Roman"/>
          <w:i/>
          <w:sz w:val="26"/>
          <w:szCs w:val="26"/>
        </w:rPr>
        <w:t xml:space="preserve"> </w:t>
      </w:r>
      <w:proofErr w:type="spellStart"/>
      <w:r w:rsidRPr="00794D66">
        <w:rPr>
          <w:rFonts w:ascii="Times New Roman" w:hAnsi="Times New Roman" w:cs="Times New Roman"/>
          <w:i/>
          <w:sz w:val="26"/>
          <w:szCs w:val="26"/>
        </w:rPr>
        <w:t>Initiative</w:t>
      </w:r>
      <w:proofErr w:type="spellEnd"/>
      <w:r w:rsidRPr="00794D66">
        <w:rPr>
          <w:rFonts w:ascii="Times New Roman" w:hAnsi="Times New Roman" w:cs="Times New Roman"/>
          <w:color w:val="000000"/>
          <w:sz w:val="26"/>
          <w:szCs w:val="26"/>
        </w:rPr>
        <w:t xml:space="preserve"> (COM </w:t>
      </w:r>
      <w:r w:rsidR="00BC4141" w:rsidRPr="00794D66">
        <w:rPr>
          <w:rFonts w:ascii="Times New Roman" w:hAnsi="Times New Roman" w:cs="Times New Roman"/>
          <w:color w:val="000000"/>
          <w:sz w:val="26"/>
          <w:szCs w:val="26"/>
        </w:rPr>
        <w:t>balandžio 3 d.</w:t>
      </w:r>
      <w:r w:rsidR="00090C30" w:rsidRPr="00794D66">
        <w:rPr>
          <w:rFonts w:ascii="Times New Roman" w:hAnsi="Times New Roman" w:cs="Times New Roman"/>
          <w:color w:val="000000"/>
          <w:sz w:val="26"/>
          <w:szCs w:val="26"/>
        </w:rPr>
        <w:t xml:space="preserve"> </w:t>
      </w:r>
      <w:r w:rsidRPr="00794D66">
        <w:rPr>
          <w:rFonts w:ascii="Times New Roman" w:hAnsi="Times New Roman" w:cs="Times New Roman"/>
          <w:color w:val="000000"/>
          <w:sz w:val="26"/>
          <w:szCs w:val="26"/>
        </w:rPr>
        <w:t>pateik</w:t>
      </w:r>
      <w:r w:rsidR="00D03ECA" w:rsidRPr="00794D66">
        <w:rPr>
          <w:rFonts w:ascii="Times New Roman" w:hAnsi="Times New Roman" w:cs="Times New Roman"/>
          <w:color w:val="000000"/>
          <w:sz w:val="26"/>
          <w:szCs w:val="26"/>
        </w:rPr>
        <w:t>ė</w:t>
      </w:r>
      <w:r w:rsidRPr="00794D66">
        <w:rPr>
          <w:rFonts w:ascii="Times New Roman" w:hAnsi="Times New Roman" w:cs="Times New Roman"/>
          <w:color w:val="000000"/>
          <w:sz w:val="26"/>
          <w:szCs w:val="26"/>
        </w:rPr>
        <w:t xml:space="preserve"> papildomą pasiūlymą</w:t>
      </w:r>
      <w:r w:rsidR="00090C30" w:rsidRPr="00794D66">
        <w:rPr>
          <w:rFonts w:ascii="Times New Roman" w:hAnsi="Times New Roman" w:cs="Times New Roman"/>
          <w:color w:val="000000"/>
          <w:sz w:val="26"/>
          <w:szCs w:val="26"/>
        </w:rPr>
        <w:t xml:space="preserve"> </w:t>
      </w:r>
      <w:r w:rsidR="00BC4141" w:rsidRPr="00794D66">
        <w:rPr>
          <w:rFonts w:ascii="Times New Roman" w:hAnsi="Times New Roman" w:cs="Times New Roman"/>
          <w:color w:val="000000"/>
          <w:sz w:val="26"/>
          <w:szCs w:val="26"/>
        </w:rPr>
        <w:t>suteikianti dar daugiau lankstumo panaudoti struktūrinių fondų lėšas kovai su pandemija ir jos pasekmėmis</w:t>
      </w:r>
      <w:r w:rsidRPr="00794D66">
        <w:rPr>
          <w:rFonts w:ascii="Times New Roman" w:hAnsi="Times New Roman" w:cs="Times New Roman"/>
          <w:color w:val="000000"/>
          <w:sz w:val="26"/>
          <w:szCs w:val="26"/>
        </w:rPr>
        <w:t>),</w:t>
      </w:r>
      <w:r w:rsidR="00D03ECA" w:rsidRPr="00794D66">
        <w:rPr>
          <w:rFonts w:ascii="Times New Roman" w:hAnsi="Times New Roman" w:cs="Times New Roman"/>
          <w:color w:val="000000"/>
          <w:sz w:val="26"/>
          <w:szCs w:val="26"/>
        </w:rPr>
        <w:t xml:space="preserve"> </w:t>
      </w:r>
      <w:r w:rsidRPr="00794D66">
        <w:rPr>
          <w:rFonts w:ascii="Times New Roman" w:hAnsi="Times New Roman" w:cs="Times New Roman"/>
          <w:color w:val="000000"/>
          <w:sz w:val="26"/>
          <w:szCs w:val="26"/>
        </w:rPr>
        <w:t>valstybės pagalbos sistemos didesnis lankstumas, SGP visiškas lankstumas</w:t>
      </w:r>
      <w:r w:rsidR="00BC4141" w:rsidRPr="00794D66">
        <w:rPr>
          <w:rFonts w:ascii="Times New Roman" w:hAnsi="Times New Roman" w:cs="Times New Roman"/>
          <w:color w:val="000000"/>
          <w:sz w:val="26"/>
          <w:szCs w:val="26"/>
        </w:rPr>
        <w:t>.</w:t>
      </w:r>
      <w:r w:rsidR="00090C30" w:rsidRPr="00794D66">
        <w:rPr>
          <w:rFonts w:ascii="Times New Roman" w:hAnsi="Times New Roman" w:cs="Times New Roman"/>
          <w:color w:val="000000"/>
          <w:sz w:val="26"/>
          <w:szCs w:val="26"/>
        </w:rPr>
        <w:t xml:space="preserve"> </w:t>
      </w:r>
      <w:r w:rsidR="00BC4141" w:rsidRPr="00794D66">
        <w:rPr>
          <w:rFonts w:ascii="Times New Roman" w:hAnsi="Times New Roman" w:cs="Times New Roman"/>
          <w:color w:val="000000"/>
          <w:sz w:val="26"/>
          <w:szCs w:val="26"/>
        </w:rPr>
        <w:t>T</w:t>
      </w:r>
      <w:r w:rsidR="00090C30" w:rsidRPr="00794D66">
        <w:rPr>
          <w:rFonts w:ascii="Times New Roman" w:hAnsi="Times New Roman" w:cs="Times New Roman"/>
          <w:color w:val="000000"/>
          <w:sz w:val="26"/>
          <w:szCs w:val="26"/>
        </w:rPr>
        <w:t xml:space="preserve">aip pat COM </w:t>
      </w:r>
      <w:r w:rsidR="00BC4141" w:rsidRPr="00794D66">
        <w:rPr>
          <w:rFonts w:ascii="Times New Roman" w:hAnsi="Times New Roman" w:cs="Times New Roman"/>
          <w:color w:val="000000"/>
          <w:sz w:val="26"/>
          <w:szCs w:val="26"/>
        </w:rPr>
        <w:t xml:space="preserve">balandžio 3 d. </w:t>
      </w:r>
      <w:r w:rsidR="00090C30" w:rsidRPr="00794D66">
        <w:rPr>
          <w:rFonts w:ascii="Times New Roman" w:hAnsi="Times New Roman" w:cs="Times New Roman"/>
          <w:color w:val="000000"/>
          <w:sz w:val="26"/>
          <w:szCs w:val="26"/>
        </w:rPr>
        <w:t xml:space="preserve"> </w:t>
      </w:r>
      <w:r w:rsidR="000A6DD2" w:rsidRPr="00794D66">
        <w:rPr>
          <w:rFonts w:ascii="Times New Roman" w:hAnsi="Times New Roman" w:cs="Times New Roman"/>
          <w:color w:val="000000"/>
          <w:sz w:val="26"/>
          <w:szCs w:val="26"/>
        </w:rPr>
        <w:t>pateikė</w:t>
      </w:r>
      <w:r w:rsidR="00090C30" w:rsidRPr="00794D66">
        <w:rPr>
          <w:rFonts w:ascii="Times New Roman" w:hAnsi="Times New Roman" w:cs="Times New Roman"/>
          <w:color w:val="000000"/>
          <w:sz w:val="26"/>
          <w:szCs w:val="26"/>
        </w:rPr>
        <w:t xml:space="preserve"> pasiūlym</w:t>
      </w:r>
      <w:r w:rsidR="00BC4141" w:rsidRPr="00794D66">
        <w:rPr>
          <w:rFonts w:ascii="Times New Roman" w:hAnsi="Times New Roman" w:cs="Times New Roman"/>
          <w:color w:val="000000"/>
          <w:sz w:val="26"/>
          <w:szCs w:val="26"/>
        </w:rPr>
        <w:t xml:space="preserve">ą dėl instrumento laikinai paramai nedarbo </w:t>
      </w:r>
      <w:proofErr w:type="spellStart"/>
      <w:r w:rsidR="00BC4141" w:rsidRPr="00794D66">
        <w:rPr>
          <w:rFonts w:ascii="Times New Roman" w:hAnsi="Times New Roman" w:cs="Times New Roman"/>
          <w:color w:val="000000"/>
          <w:sz w:val="26"/>
          <w:szCs w:val="26"/>
        </w:rPr>
        <w:t>rizikoms</w:t>
      </w:r>
      <w:proofErr w:type="spellEnd"/>
      <w:r w:rsidR="00BC4141" w:rsidRPr="00794D66">
        <w:rPr>
          <w:rFonts w:ascii="Times New Roman" w:hAnsi="Times New Roman" w:cs="Times New Roman"/>
          <w:color w:val="000000"/>
          <w:sz w:val="26"/>
          <w:szCs w:val="26"/>
        </w:rPr>
        <w:t xml:space="preserve"> mažinti</w:t>
      </w:r>
      <w:r w:rsidR="00B74072" w:rsidRPr="00794D66">
        <w:rPr>
          <w:rFonts w:ascii="Times New Roman" w:hAnsi="Times New Roman" w:cs="Times New Roman"/>
          <w:color w:val="000000"/>
          <w:sz w:val="26"/>
          <w:szCs w:val="26"/>
        </w:rPr>
        <w:t xml:space="preserve"> (</w:t>
      </w:r>
      <w:r w:rsidR="00BC4141" w:rsidRPr="00794D66">
        <w:rPr>
          <w:rFonts w:ascii="Times New Roman" w:hAnsi="Times New Roman" w:cs="Times New Roman"/>
          <w:color w:val="000000"/>
          <w:sz w:val="26"/>
          <w:szCs w:val="26"/>
        </w:rPr>
        <w:t>kurio paskirtis – suteikti paskolas nacionalinių laikino nedarbo schemų įgyvendinimui</w:t>
      </w:r>
      <w:r w:rsidR="00B74072" w:rsidRPr="00794D66">
        <w:rPr>
          <w:rFonts w:ascii="Times New Roman" w:hAnsi="Times New Roman" w:cs="Times New Roman"/>
          <w:color w:val="000000"/>
          <w:sz w:val="26"/>
          <w:szCs w:val="26"/>
        </w:rPr>
        <w:t>) bei pasiūlymus dėl papildomų ES biudžeto lėšų mobilizavimo ekstremalios padėties poreikiams</w:t>
      </w:r>
      <w:r w:rsidR="00BC4141" w:rsidRPr="00794D66">
        <w:rPr>
          <w:rFonts w:ascii="Times New Roman" w:hAnsi="Times New Roman" w:cs="Times New Roman"/>
          <w:color w:val="000000"/>
          <w:sz w:val="26"/>
          <w:szCs w:val="26"/>
        </w:rPr>
        <w:t xml:space="preserve"> </w:t>
      </w:r>
      <w:r w:rsidRPr="00794D66">
        <w:rPr>
          <w:rFonts w:ascii="Times New Roman" w:hAnsi="Times New Roman" w:cs="Times New Roman"/>
          <w:color w:val="000000"/>
          <w:sz w:val="26"/>
          <w:szCs w:val="26"/>
        </w:rPr>
        <w:t xml:space="preserve">Atitinkamai EIB pasiūlė mobilizuoti iki 40 mlrd. Eurų skirtų padėti šalių </w:t>
      </w:r>
      <w:r w:rsidR="005F27F5" w:rsidRPr="00794D66">
        <w:rPr>
          <w:rFonts w:ascii="Times New Roman" w:hAnsi="Times New Roman" w:cs="Times New Roman"/>
          <w:color w:val="000000"/>
          <w:sz w:val="26"/>
          <w:szCs w:val="26"/>
        </w:rPr>
        <w:t>smulkiam ir vidutiniam verslui</w:t>
      </w:r>
      <w:r w:rsidRPr="00794D66">
        <w:rPr>
          <w:rFonts w:ascii="Times New Roman" w:hAnsi="Times New Roman" w:cs="Times New Roman"/>
          <w:color w:val="000000"/>
          <w:sz w:val="26"/>
          <w:szCs w:val="26"/>
        </w:rPr>
        <w:t xml:space="preserve">, bei sukurti </w:t>
      </w:r>
      <w:proofErr w:type="spellStart"/>
      <w:r w:rsidRPr="00794D66">
        <w:rPr>
          <w:rFonts w:ascii="Times New Roman" w:hAnsi="Times New Roman" w:cs="Times New Roman"/>
          <w:color w:val="000000"/>
          <w:sz w:val="26"/>
          <w:szCs w:val="26"/>
        </w:rPr>
        <w:t>pan-europinį</w:t>
      </w:r>
      <w:proofErr w:type="spellEnd"/>
      <w:r w:rsidRPr="00794D66">
        <w:rPr>
          <w:rFonts w:ascii="Times New Roman" w:hAnsi="Times New Roman" w:cs="Times New Roman"/>
          <w:color w:val="000000"/>
          <w:sz w:val="26"/>
          <w:szCs w:val="26"/>
        </w:rPr>
        <w:t xml:space="preserve"> garantijų fondą, kurio apimtis būtų 25 mlrd. </w:t>
      </w:r>
      <w:proofErr w:type="spellStart"/>
      <w:r w:rsidRPr="00794D66">
        <w:rPr>
          <w:rFonts w:ascii="Times New Roman" w:hAnsi="Times New Roman" w:cs="Times New Roman"/>
          <w:color w:val="000000"/>
          <w:sz w:val="26"/>
          <w:szCs w:val="26"/>
        </w:rPr>
        <w:t>Eur</w:t>
      </w:r>
      <w:proofErr w:type="spellEnd"/>
      <w:r w:rsidR="00B74072" w:rsidRPr="00794D66">
        <w:rPr>
          <w:rFonts w:ascii="Times New Roman" w:hAnsi="Times New Roman" w:cs="Times New Roman"/>
          <w:color w:val="000000"/>
          <w:sz w:val="26"/>
          <w:szCs w:val="26"/>
        </w:rPr>
        <w:t>.</w:t>
      </w:r>
      <w:r w:rsidR="00090C30" w:rsidRPr="00794D66">
        <w:rPr>
          <w:rFonts w:ascii="Times New Roman" w:hAnsi="Times New Roman" w:cs="Times New Roman"/>
          <w:color w:val="000000"/>
          <w:sz w:val="26"/>
          <w:szCs w:val="26"/>
        </w:rPr>
        <w:t xml:space="preserve"> </w:t>
      </w:r>
    </w:p>
    <w:p w14:paraId="228C1A4A" w14:textId="600C602B" w:rsidR="00292CAA" w:rsidRPr="00794D66" w:rsidRDefault="00967EE5" w:rsidP="00794D66">
      <w:pPr>
        <w:pStyle w:val="Sraopastraipa"/>
        <w:numPr>
          <w:ilvl w:val="0"/>
          <w:numId w:val="2"/>
        </w:numPr>
        <w:spacing w:after="0" w:line="240" w:lineRule="auto"/>
        <w:ind w:left="709" w:hanging="283"/>
        <w:jc w:val="both"/>
        <w:rPr>
          <w:rFonts w:ascii="Times New Roman" w:hAnsi="Times New Roman" w:cs="Times New Roman"/>
          <w:b/>
          <w:sz w:val="26"/>
          <w:szCs w:val="26"/>
        </w:rPr>
      </w:pPr>
      <w:r w:rsidRPr="00794D66">
        <w:rPr>
          <w:rFonts w:ascii="Times New Roman" w:hAnsi="Times New Roman" w:cs="Times New Roman"/>
          <w:b/>
          <w:sz w:val="26"/>
          <w:szCs w:val="26"/>
        </w:rPr>
        <w:t>Šalių skolos tvarumas skirtingas</w:t>
      </w:r>
      <w:r w:rsidR="00752172" w:rsidRPr="00794D66">
        <w:rPr>
          <w:rFonts w:ascii="Times New Roman" w:hAnsi="Times New Roman" w:cs="Times New Roman"/>
          <w:b/>
          <w:sz w:val="26"/>
          <w:szCs w:val="26"/>
        </w:rPr>
        <w:t>.</w:t>
      </w:r>
      <w:r w:rsidR="00752172" w:rsidRPr="00794D66">
        <w:rPr>
          <w:rFonts w:ascii="Times New Roman" w:hAnsi="Times New Roman" w:cs="Times New Roman"/>
          <w:sz w:val="26"/>
          <w:szCs w:val="26"/>
        </w:rPr>
        <w:t xml:space="preserve"> </w:t>
      </w:r>
      <w:r w:rsidR="003928F3" w:rsidRPr="00794D66">
        <w:rPr>
          <w:rFonts w:ascii="Times New Roman" w:hAnsi="Times New Roman" w:cs="Times New Roman"/>
          <w:sz w:val="26"/>
          <w:szCs w:val="26"/>
        </w:rPr>
        <w:t>Bendrų obligacijų i</w:t>
      </w:r>
      <w:r w:rsidRPr="00794D66">
        <w:rPr>
          <w:rFonts w:ascii="Times New Roman" w:hAnsi="Times New Roman" w:cs="Times New Roman"/>
          <w:sz w:val="26"/>
          <w:szCs w:val="26"/>
        </w:rPr>
        <w:t xml:space="preserve">dėja naudingesnė šalims, kurių skolos yra didesnės. </w:t>
      </w:r>
      <w:r w:rsidRPr="00794D66">
        <w:rPr>
          <w:rFonts w:ascii="Times New Roman" w:hAnsi="Times New Roman" w:cs="Times New Roman"/>
          <w:color w:val="000000"/>
          <w:sz w:val="26"/>
          <w:szCs w:val="26"/>
        </w:rPr>
        <w:t xml:space="preserve">Visos obligacijų idėjos rėmimo laišką pasirašiusios šalys (išskyrus </w:t>
      </w:r>
      <w:r w:rsidR="00BD7F74" w:rsidRPr="00794D66">
        <w:rPr>
          <w:rFonts w:ascii="Times New Roman" w:hAnsi="Times New Roman" w:cs="Times New Roman"/>
          <w:color w:val="000000"/>
          <w:sz w:val="26"/>
          <w:szCs w:val="26"/>
        </w:rPr>
        <w:t xml:space="preserve">IE ir </w:t>
      </w:r>
      <w:r w:rsidRPr="00794D66">
        <w:rPr>
          <w:rFonts w:ascii="Times New Roman" w:hAnsi="Times New Roman" w:cs="Times New Roman"/>
          <w:color w:val="000000"/>
          <w:sz w:val="26"/>
          <w:szCs w:val="26"/>
        </w:rPr>
        <w:t xml:space="preserve">LUX) </w:t>
      </w:r>
      <w:r w:rsidR="00AC31FE" w:rsidRPr="00794D66">
        <w:rPr>
          <w:rFonts w:ascii="Times New Roman" w:hAnsi="Times New Roman" w:cs="Times New Roman"/>
          <w:color w:val="000000"/>
          <w:sz w:val="26"/>
          <w:szCs w:val="26"/>
        </w:rPr>
        <w:t>jau šiuo metu viršija skolos Ma</w:t>
      </w:r>
      <w:r w:rsidRPr="00794D66">
        <w:rPr>
          <w:rFonts w:ascii="Times New Roman" w:hAnsi="Times New Roman" w:cs="Times New Roman"/>
          <w:color w:val="000000"/>
          <w:sz w:val="26"/>
          <w:szCs w:val="26"/>
        </w:rPr>
        <w:t xml:space="preserve">strichto kriterijų. Laišką pasirašiusios šalys ir jų skola proc. nuo </w:t>
      </w:r>
      <w:r w:rsidRPr="00794D66">
        <w:rPr>
          <w:rFonts w:ascii="Times New Roman" w:hAnsi="Times New Roman" w:cs="Times New Roman"/>
          <w:color w:val="000000"/>
          <w:sz w:val="26"/>
          <w:szCs w:val="26"/>
        </w:rPr>
        <w:lastRenderedPageBreak/>
        <w:t>BVP: BE - 102,3, FR - 100,5, GR- 178,2, IE - 62,6, IT - 137,3, LUX - 20,2, PT- 120,5, SI - 68,1, ESP - 97,9</w:t>
      </w:r>
      <w:r w:rsidR="0077236F" w:rsidRPr="00794D66">
        <w:rPr>
          <w:rFonts w:ascii="Times New Roman" w:hAnsi="Times New Roman" w:cs="Times New Roman"/>
          <w:color w:val="000000"/>
          <w:sz w:val="26"/>
          <w:szCs w:val="26"/>
        </w:rPr>
        <w:t>.</w:t>
      </w:r>
      <w:r w:rsidR="005F27F5" w:rsidRPr="00794D66">
        <w:rPr>
          <w:rFonts w:ascii="Times New Roman" w:hAnsi="Times New Roman" w:cs="Times New Roman"/>
          <w:color w:val="000000"/>
          <w:sz w:val="26"/>
          <w:szCs w:val="26"/>
        </w:rPr>
        <w:t xml:space="preserve"> </w:t>
      </w:r>
      <w:r w:rsidR="00442D4E" w:rsidRPr="00794D66">
        <w:rPr>
          <w:rFonts w:ascii="Times New Roman" w:hAnsi="Times New Roman" w:cs="Times New Roman"/>
          <w:color w:val="000000"/>
          <w:sz w:val="26"/>
          <w:szCs w:val="26"/>
        </w:rPr>
        <w:t>Nepaisant to, pakankamas fiskalinis atsakas kiekvienoje VN yra naudingas visoms VN. Todėl net ir šiaurės VN turėtų būti suinteresuotos sveikomis pietų VN ekonomikomis.</w:t>
      </w:r>
    </w:p>
    <w:p w14:paraId="73D93FA7" w14:textId="77777777" w:rsidR="000B4B6C" w:rsidRPr="00794D66" w:rsidRDefault="000B4B6C" w:rsidP="00794D66">
      <w:pPr>
        <w:pStyle w:val="Sraopastraipa"/>
        <w:widowControl w:val="0"/>
        <w:tabs>
          <w:tab w:val="left" w:pos="567"/>
        </w:tabs>
        <w:suppressAutoHyphens/>
        <w:autoSpaceDN w:val="0"/>
        <w:spacing w:after="0" w:line="240" w:lineRule="auto"/>
        <w:ind w:left="0"/>
        <w:jc w:val="both"/>
        <w:textAlignment w:val="baseline"/>
        <w:rPr>
          <w:rFonts w:ascii="Times New Roman" w:eastAsia="Times New Roman" w:hAnsi="Times New Roman" w:cs="Times New Roman"/>
          <w:sz w:val="26"/>
          <w:szCs w:val="26"/>
          <w:lang w:eastAsia="fr-BE"/>
        </w:rPr>
      </w:pPr>
      <w:r w:rsidRPr="00794D66">
        <w:rPr>
          <w:rFonts w:ascii="Times New Roman" w:eastAsia="Times New Roman" w:hAnsi="Times New Roman" w:cs="Times New Roman"/>
          <w:sz w:val="26"/>
          <w:szCs w:val="26"/>
          <w:lang w:eastAsia="fr-BE"/>
        </w:rPr>
        <w:tab/>
      </w:r>
    </w:p>
    <w:p w14:paraId="70DA4286" w14:textId="64883252" w:rsidR="001E04BC" w:rsidRPr="00794D66" w:rsidRDefault="00E87204" w:rsidP="00106010">
      <w:pPr>
        <w:spacing w:after="0"/>
        <w:contextualSpacing/>
        <w:jc w:val="both"/>
        <w:rPr>
          <w:rFonts w:ascii="Times New Roman" w:hAnsi="Times New Roman" w:cs="Times New Roman"/>
          <w:sz w:val="26"/>
          <w:szCs w:val="26"/>
        </w:rPr>
      </w:pPr>
      <w:r w:rsidRPr="00794D66">
        <w:rPr>
          <w:rFonts w:ascii="Times New Roman" w:hAnsi="Times New Roman" w:cs="Times New Roman"/>
          <w:b/>
          <w:sz w:val="26"/>
          <w:szCs w:val="26"/>
        </w:rPr>
        <w:t>Nepaisant</w:t>
      </w:r>
      <w:r w:rsidR="00E5052E" w:rsidRPr="00794D66">
        <w:rPr>
          <w:rFonts w:ascii="Times New Roman" w:hAnsi="Times New Roman" w:cs="Times New Roman"/>
          <w:b/>
          <w:sz w:val="26"/>
          <w:szCs w:val="26"/>
        </w:rPr>
        <w:t xml:space="preserve"> bendrų obligacijų trūkumų</w:t>
      </w:r>
      <w:r w:rsidR="001E04BC" w:rsidRPr="00794D66">
        <w:rPr>
          <w:rFonts w:ascii="Times New Roman" w:hAnsi="Times New Roman" w:cs="Times New Roman"/>
          <w:b/>
          <w:sz w:val="26"/>
          <w:szCs w:val="26"/>
        </w:rPr>
        <w:t>,</w:t>
      </w:r>
      <w:r w:rsidR="00E5052E" w:rsidRPr="00794D66">
        <w:rPr>
          <w:rFonts w:ascii="Times New Roman" w:hAnsi="Times New Roman" w:cs="Times New Roman"/>
          <w:b/>
          <w:sz w:val="26"/>
          <w:szCs w:val="26"/>
        </w:rPr>
        <w:t xml:space="preserve"> </w:t>
      </w:r>
      <w:r w:rsidR="001E04BC" w:rsidRPr="00794D66">
        <w:rPr>
          <w:rFonts w:ascii="Times New Roman" w:hAnsi="Times New Roman" w:cs="Times New Roman"/>
          <w:b/>
          <w:sz w:val="26"/>
          <w:szCs w:val="26"/>
        </w:rPr>
        <w:t>Lietuvos pozicija jų atžvilgiu turėtų būti svarstoma</w:t>
      </w:r>
      <w:r w:rsidR="00E5052E" w:rsidRPr="00794D66">
        <w:rPr>
          <w:rFonts w:ascii="Times New Roman" w:hAnsi="Times New Roman" w:cs="Times New Roman"/>
          <w:b/>
          <w:sz w:val="26"/>
          <w:szCs w:val="26"/>
        </w:rPr>
        <w:t xml:space="preserve"> bendros</w:t>
      </w:r>
      <w:r w:rsidR="001E04BC" w:rsidRPr="00794D66">
        <w:rPr>
          <w:rFonts w:ascii="Times New Roman" w:hAnsi="Times New Roman" w:cs="Times New Roman"/>
          <w:b/>
          <w:sz w:val="26"/>
          <w:szCs w:val="26"/>
        </w:rPr>
        <w:t xml:space="preserve"> Euro zonos</w:t>
      </w:r>
      <w:r w:rsidR="00E5052E" w:rsidRPr="00794D66">
        <w:rPr>
          <w:rFonts w:ascii="Times New Roman" w:hAnsi="Times New Roman" w:cs="Times New Roman"/>
          <w:b/>
          <w:sz w:val="26"/>
          <w:szCs w:val="26"/>
        </w:rPr>
        <w:t xml:space="preserve"> ekonominės situacijos </w:t>
      </w:r>
      <w:r w:rsidR="001E04BC" w:rsidRPr="00794D66">
        <w:rPr>
          <w:rFonts w:ascii="Times New Roman" w:hAnsi="Times New Roman" w:cs="Times New Roman"/>
          <w:b/>
          <w:sz w:val="26"/>
          <w:szCs w:val="26"/>
        </w:rPr>
        <w:t xml:space="preserve">ir alternatyvų kontekste. </w:t>
      </w:r>
      <w:r w:rsidR="00E5052E" w:rsidRPr="00794D66">
        <w:rPr>
          <w:rFonts w:ascii="Times New Roman" w:hAnsi="Times New Roman" w:cs="Times New Roman"/>
          <w:sz w:val="26"/>
          <w:szCs w:val="26"/>
        </w:rPr>
        <w:t>Pakankamas fiskalinės politikos atsakas yra labai svarbus siekiant užtikrinti Euro zonos ekonominį atsigavimą</w:t>
      </w:r>
      <w:r w:rsidR="003677BF" w:rsidRPr="00794D66">
        <w:rPr>
          <w:rFonts w:ascii="Times New Roman" w:hAnsi="Times New Roman" w:cs="Times New Roman"/>
          <w:sz w:val="26"/>
          <w:szCs w:val="26"/>
        </w:rPr>
        <w:t>,</w:t>
      </w:r>
      <w:r w:rsidR="001E04BC" w:rsidRPr="00794D66">
        <w:rPr>
          <w:rFonts w:ascii="Times New Roman" w:hAnsi="Times New Roman" w:cs="Times New Roman"/>
          <w:sz w:val="26"/>
          <w:szCs w:val="26"/>
        </w:rPr>
        <w:t xml:space="preserve"> nuo kurio priklaus</w:t>
      </w:r>
      <w:r w:rsidR="003677BF" w:rsidRPr="00794D66">
        <w:rPr>
          <w:rFonts w:ascii="Times New Roman" w:hAnsi="Times New Roman" w:cs="Times New Roman"/>
          <w:sz w:val="26"/>
          <w:szCs w:val="26"/>
        </w:rPr>
        <w:t>ys</w:t>
      </w:r>
      <w:r w:rsidR="001E04BC" w:rsidRPr="00794D66">
        <w:rPr>
          <w:rFonts w:ascii="Times New Roman" w:hAnsi="Times New Roman" w:cs="Times New Roman"/>
          <w:sz w:val="26"/>
          <w:szCs w:val="26"/>
        </w:rPr>
        <w:t xml:space="preserve"> ir Lietuvos ekonomikos atsigavimas.</w:t>
      </w:r>
      <w:r w:rsidR="00911190" w:rsidRPr="00794D66">
        <w:rPr>
          <w:rFonts w:ascii="Times New Roman" w:hAnsi="Times New Roman" w:cs="Times New Roman"/>
          <w:sz w:val="26"/>
          <w:szCs w:val="26"/>
        </w:rPr>
        <w:t xml:space="preserve"> Neesant pakankam</w:t>
      </w:r>
      <w:r w:rsidR="003677BF" w:rsidRPr="00794D66">
        <w:rPr>
          <w:rFonts w:ascii="Times New Roman" w:hAnsi="Times New Roman" w:cs="Times New Roman"/>
          <w:sz w:val="26"/>
          <w:szCs w:val="26"/>
        </w:rPr>
        <w:t>ų</w:t>
      </w:r>
      <w:r w:rsidR="00911190" w:rsidRPr="00794D66">
        <w:rPr>
          <w:rFonts w:ascii="Times New Roman" w:hAnsi="Times New Roman" w:cs="Times New Roman"/>
          <w:sz w:val="26"/>
          <w:szCs w:val="26"/>
        </w:rPr>
        <w:t xml:space="preserve"> alternatyv</w:t>
      </w:r>
      <w:r w:rsidR="003677BF" w:rsidRPr="00794D66">
        <w:rPr>
          <w:rFonts w:ascii="Times New Roman" w:hAnsi="Times New Roman" w:cs="Times New Roman"/>
          <w:sz w:val="26"/>
          <w:szCs w:val="26"/>
        </w:rPr>
        <w:t>ų</w:t>
      </w:r>
      <w:r w:rsidR="00911190" w:rsidRPr="00794D66">
        <w:rPr>
          <w:rFonts w:ascii="Times New Roman" w:hAnsi="Times New Roman" w:cs="Times New Roman"/>
          <w:sz w:val="26"/>
          <w:szCs w:val="26"/>
        </w:rPr>
        <w:t>, ekonominiai sunkumai kitose VN gali sukelti skausmingų padarinių Lietuvos ekonomikai ir sukelti grėsmę visam Euro zonos projektui.</w:t>
      </w:r>
      <w:r w:rsidR="001E04BC" w:rsidRPr="00794D66">
        <w:rPr>
          <w:rFonts w:ascii="Times New Roman" w:hAnsi="Times New Roman" w:cs="Times New Roman"/>
          <w:sz w:val="26"/>
          <w:szCs w:val="26"/>
        </w:rPr>
        <w:t xml:space="preserve"> T</w:t>
      </w:r>
      <w:r w:rsidR="00E5052E" w:rsidRPr="00794D66">
        <w:rPr>
          <w:rFonts w:ascii="Times New Roman" w:hAnsi="Times New Roman" w:cs="Times New Roman"/>
          <w:sz w:val="26"/>
          <w:szCs w:val="26"/>
        </w:rPr>
        <w:t xml:space="preserve">aip </w:t>
      </w:r>
      <w:r w:rsidR="005756AF" w:rsidRPr="00794D66">
        <w:rPr>
          <w:rFonts w:ascii="Times New Roman" w:hAnsi="Times New Roman" w:cs="Times New Roman"/>
          <w:sz w:val="26"/>
          <w:szCs w:val="26"/>
        </w:rPr>
        <w:t>pat labai svarbu išvengti VN skolų</w:t>
      </w:r>
      <w:r w:rsidR="00E5052E" w:rsidRPr="00794D66">
        <w:rPr>
          <w:rFonts w:ascii="Times New Roman" w:hAnsi="Times New Roman" w:cs="Times New Roman"/>
          <w:sz w:val="26"/>
          <w:szCs w:val="26"/>
        </w:rPr>
        <w:t xml:space="preserve"> tvarumo krizės, kuri kelia grėsmę adekvačiam fiskaliniam atsakui. Priešingu atveju galima pakliūti į pro-cikliškumo spąstus, t.y., išlaidų mažinimą ekonominio nuosmukio metu</w:t>
      </w:r>
      <w:r w:rsidR="005756AF" w:rsidRPr="00794D66">
        <w:rPr>
          <w:rFonts w:ascii="Times New Roman" w:hAnsi="Times New Roman" w:cs="Times New Roman"/>
          <w:sz w:val="26"/>
          <w:szCs w:val="26"/>
        </w:rPr>
        <w:t>, tai būtų labai žalinga.</w:t>
      </w:r>
      <w:r w:rsidR="00E5052E" w:rsidRPr="00794D66">
        <w:rPr>
          <w:rFonts w:ascii="Times New Roman" w:hAnsi="Times New Roman" w:cs="Times New Roman"/>
          <w:sz w:val="26"/>
          <w:szCs w:val="26"/>
        </w:rPr>
        <w:t xml:space="preserve"> Siekiant skatinti ekonomikos atsigavimą būtina užtikrinti optimalų paklausos lygį, infliaciją Euro zonoje.</w:t>
      </w:r>
      <w:r w:rsidR="005756AF" w:rsidRPr="00794D66">
        <w:rPr>
          <w:rFonts w:ascii="Times New Roman" w:hAnsi="Times New Roman" w:cs="Times New Roman"/>
          <w:sz w:val="26"/>
          <w:szCs w:val="26"/>
        </w:rPr>
        <w:t xml:space="preserve"> </w:t>
      </w:r>
    </w:p>
    <w:p w14:paraId="59B39147" w14:textId="16BF653E" w:rsidR="00D95325" w:rsidRPr="00794D66" w:rsidRDefault="00D95325" w:rsidP="00106010">
      <w:pPr>
        <w:spacing w:after="0"/>
        <w:contextualSpacing/>
        <w:jc w:val="both"/>
        <w:rPr>
          <w:rFonts w:ascii="Times New Roman" w:hAnsi="Times New Roman" w:cs="Times New Roman"/>
          <w:b/>
          <w:sz w:val="26"/>
          <w:szCs w:val="26"/>
        </w:rPr>
      </w:pPr>
      <w:r w:rsidRPr="00794D66">
        <w:rPr>
          <w:rFonts w:ascii="Times New Roman" w:hAnsi="Times New Roman" w:cs="Times New Roman"/>
          <w:sz w:val="26"/>
          <w:szCs w:val="26"/>
        </w:rPr>
        <w:t>Vertinant įvairias priemones taip pat reikėtų turėti omeny Euro zonos ekonomikos mąstą</w:t>
      </w:r>
      <w:r w:rsidR="00911190" w:rsidRPr="00794D66">
        <w:rPr>
          <w:rFonts w:ascii="Times New Roman" w:hAnsi="Times New Roman" w:cs="Times New Roman"/>
          <w:sz w:val="26"/>
          <w:szCs w:val="26"/>
        </w:rPr>
        <w:t>, kuris 2019 m. sudarė 11,9 trilijonus eurų,</w:t>
      </w:r>
      <w:r w:rsidR="00911190" w:rsidRPr="00794D66">
        <w:rPr>
          <w:rStyle w:val="Puslapioinaosnuoroda"/>
          <w:rFonts w:ascii="Times New Roman" w:hAnsi="Times New Roman" w:cs="Times New Roman"/>
          <w:sz w:val="26"/>
          <w:szCs w:val="26"/>
        </w:rPr>
        <w:footnoteReference w:id="4"/>
      </w:r>
      <w:r w:rsidR="00911190" w:rsidRPr="00794D66">
        <w:rPr>
          <w:rFonts w:ascii="Times New Roman" w:hAnsi="Times New Roman" w:cs="Times New Roman"/>
          <w:sz w:val="26"/>
          <w:szCs w:val="26"/>
        </w:rPr>
        <w:t xml:space="preserve"> tai reiškia, kad norint, pvz., 5% BVP dydžio fiskalinio atsako Euro zonos VN reikėtų </w:t>
      </w:r>
      <w:r w:rsidR="00A45163" w:rsidRPr="00794D66">
        <w:rPr>
          <w:rFonts w:ascii="Times New Roman" w:hAnsi="Times New Roman" w:cs="Times New Roman"/>
          <w:sz w:val="26"/>
          <w:szCs w:val="26"/>
        </w:rPr>
        <w:t xml:space="preserve">mobilizuoti </w:t>
      </w:r>
      <w:r w:rsidR="00591083" w:rsidRPr="00794D66">
        <w:rPr>
          <w:rFonts w:ascii="Times New Roman" w:hAnsi="Times New Roman" w:cs="Times New Roman"/>
          <w:sz w:val="26"/>
          <w:szCs w:val="26"/>
        </w:rPr>
        <w:t>595 milijard</w:t>
      </w:r>
      <w:r w:rsidR="00A45163" w:rsidRPr="00794D66">
        <w:rPr>
          <w:rFonts w:ascii="Times New Roman" w:hAnsi="Times New Roman" w:cs="Times New Roman"/>
          <w:sz w:val="26"/>
          <w:szCs w:val="26"/>
        </w:rPr>
        <w:t>us</w:t>
      </w:r>
      <w:r w:rsidR="00911190" w:rsidRPr="00794D66">
        <w:rPr>
          <w:rFonts w:ascii="Times New Roman" w:hAnsi="Times New Roman" w:cs="Times New Roman"/>
          <w:sz w:val="26"/>
          <w:szCs w:val="26"/>
        </w:rPr>
        <w:t xml:space="preserve"> eurų.</w:t>
      </w:r>
    </w:p>
    <w:p w14:paraId="5F51FA99" w14:textId="77777777" w:rsidR="009C06F4" w:rsidRPr="00794D66" w:rsidRDefault="009C06F4" w:rsidP="00106010">
      <w:pPr>
        <w:spacing w:after="0"/>
        <w:contextualSpacing/>
        <w:jc w:val="both"/>
        <w:rPr>
          <w:rFonts w:ascii="Times New Roman" w:hAnsi="Times New Roman" w:cs="Times New Roman"/>
          <w:color w:val="000000"/>
          <w:sz w:val="26"/>
          <w:szCs w:val="26"/>
        </w:rPr>
      </w:pPr>
    </w:p>
    <w:p w14:paraId="475ED893" w14:textId="347AC9CB" w:rsidR="00F90D69" w:rsidRPr="00794D66" w:rsidRDefault="00F90D69" w:rsidP="00F90D69">
      <w:pPr>
        <w:autoSpaceDE w:val="0"/>
        <w:autoSpaceDN w:val="0"/>
        <w:adjustRightInd w:val="0"/>
        <w:spacing w:after="120" w:line="240" w:lineRule="auto"/>
        <w:jc w:val="both"/>
        <w:rPr>
          <w:rFonts w:ascii="Times New Roman" w:hAnsi="Times New Roman" w:cs="Times New Roman"/>
          <w:b/>
          <w:color w:val="000000"/>
          <w:sz w:val="26"/>
          <w:szCs w:val="26"/>
          <w:u w:val="single"/>
        </w:rPr>
      </w:pPr>
      <w:r w:rsidRPr="00794D66">
        <w:rPr>
          <w:rFonts w:ascii="Times New Roman" w:hAnsi="Times New Roman" w:cs="Times New Roman"/>
          <w:b/>
          <w:color w:val="000000"/>
          <w:sz w:val="26"/>
          <w:szCs w:val="26"/>
          <w:u w:val="single"/>
        </w:rPr>
        <w:t>Europos stabilumo mechanizmo (ESM) pasiūlymai:</w:t>
      </w:r>
    </w:p>
    <w:p w14:paraId="1CA75400" w14:textId="77777777" w:rsidR="00F90D69" w:rsidRPr="00794D66" w:rsidRDefault="00F90D69" w:rsidP="00794D66">
      <w:pPr>
        <w:autoSpaceDE w:val="0"/>
        <w:autoSpaceDN w:val="0"/>
        <w:adjustRightInd w:val="0"/>
        <w:spacing w:after="0" w:line="240" w:lineRule="auto"/>
        <w:jc w:val="both"/>
        <w:rPr>
          <w:rFonts w:ascii="Times New Roman" w:hAnsi="Times New Roman" w:cs="Times New Roman"/>
          <w:color w:val="000000"/>
          <w:sz w:val="26"/>
          <w:szCs w:val="26"/>
        </w:rPr>
      </w:pPr>
      <w:r w:rsidRPr="00794D66">
        <w:rPr>
          <w:rFonts w:ascii="Times New Roman" w:hAnsi="Times New Roman" w:cs="Times New Roman"/>
          <w:color w:val="000000"/>
          <w:sz w:val="26"/>
          <w:szCs w:val="26"/>
        </w:rPr>
        <w:t>1 opcija – pagalba ESM valstybėms narėms (VN) per šiuo metu egzistuojantį instrumentą – Griežtesnių sąlygų kredito linija (</w:t>
      </w:r>
      <w:proofErr w:type="spellStart"/>
      <w:r w:rsidRPr="00794D66">
        <w:rPr>
          <w:rFonts w:ascii="Times New Roman" w:hAnsi="Times New Roman" w:cs="Times New Roman"/>
          <w:i/>
          <w:iCs/>
          <w:color w:val="000000"/>
          <w:sz w:val="26"/>
          <w:szCs w:val="26"/>
        </w:rPr>
        <w:t>Enhanced</w:t>
      </w:r>
      <w:proofErr w:type="spellEnd"/>
      <w:r w:rsidRPr="00794D66">
        <w:rPr>
          <w:rFonts w:ascii="Times New Roman" w:hAnsi="Times New Roman" w:cs="Times New Roman"/>
          <w:i/>
          <w:iCs/>
          <w:color w:val="000000"/>
          <w:sz w:val="26"/>
          <w:szCs w:val="26"/>
        </w:rPr>
        <w:t xml:space="preserve"> </w:t>
      </w:r>
      <w:proofErr w:type="spellStart"/>
      <w:r w:rsidRPr="00794D66">
        <w:rPr>
          <w:rFonts w:ascii="Times New Roman" w:hAnsi="Times New Roman" w:cs="Times New Roman"/>
          <w:i/>
          <w:iCs/>
          <w:color w:val="000000"/>
          <w:sz w:val="26"/>
          <w:szCs w:val="26"/>
        </w:rPr>
        <w:t>Conditions</w:t>
      </w:r>
      <w:proofErr w:type="spellEnd"/>
      <w:r w:rsidRPr="00794D66">
        <w:rPr>
          <w:rFonts w:ascii="Times New Roman" w:hAnsi="Times New Roman" w:cs="Times New Roman"/>
          <w:i/>
          <w:iCs/>
          <w:color w:val="000000"/>
          <w:sz w:val="26"/>
          <w:szCs w:val="26"/>
        </w:rPr>
        <w:t xml:space="preserve"> </w:t>
      </w:r>
      <w:proofErr w:type="spellStart"/>
      <w:r w:rsidRPr="00794D66">
        <w:rPr>
          <w:rFonts w:ascii="Times New Roman" w:hAnsi="Times New Roman" w:cs="Times New Roman"/>
          <w:i/>
          <w:iCs/>
          <w:color w:val="000000"/>
          <w:sz w:val="26"/>
          <w:szCs w:val="26"/>
        </w:rPr>
        <w:t>Credit</w:t>
      </w:r>
      <w:proofErr w:type="spellEnd"/>
      <w:r w:rsidRPr="00794D66">
        <w:rPr>
          <w:rFonts w:ascii="Times New Roman" w:hAnsi="Times New Roman" w:cs="Times New Roman"/>
          <w:i/>
          <w:iCs/>
          <w:color w:val="000000"/>
          <w:sz w:val="26"/>
          <w:szCs w:val="26"/>
        </w:rPr>
        <w:t xml:space="preserve"> Line</w:t>
      </w:r>
      <w:r w:rsidRPr="00794D66">
        <w:rPr>
          <w:rFonts w:ascii="Times New Roman" w:hAnsi="Times New Roman" w:cs="Times New Roman"/>
          <w:color w:val="000000"/>
          <w:sz w:val="26"/>
          <w:szCs w:val="26"/>
        </w:rPr>
        <w:t>, ECCL).</w:t>
      </w:r>
    </w:p>
    <w:p w14:paraId="5A4E3A3F" w14:textId="77777777" w:rsidR="00F90D69" w:rsidRPr="00794D66" w:rsidRDefault="00F90D69" w:rsidP="00794D66">
      <w:pPr>
        <w:autoSpaceDE w:val="0"/>
        <w:autoSpaceDN w:val="0"/>
        <w:adjustRightInd w:val="0"/>
        <w:spacing w:after="0" w:line="240" w:lineRule="auto"/>
        <w:jc w:val="both"/>
        <w:rPr>
          <w:rFonts w:ascii="Times New Roman" w:hAnsi="Times New Roman" w:cs="Times New Roman"/>
          <w:color w:val="000000"/>
          <w:sz w:val="26"/>
          <w:szCs w:val="26"/>
        </w:rPr>
      </w:pPr>
      <w:r w:rsidRPr="00794D66">
        <w:rPr>
          <w:rFonts w:ascii="Times New Roman" w:hAnsi="Times New Roman" w:cs="Times New Roman"/>
          <w:color w:val="000000"/>
          <w:sz w:val="26"/>
          <w:szCs w:val="26"/>
        </w:rPr>
        <w:t>Preliminarios apimtys – iki 240 mlrd. eurų (iki 2 proc. nuo BVP, Lietuva galėtų pasiskolinti apie 1 mlrd. eurų). Sąlygiškumas – išlaidos turėtų būti skirtos kovai su COVID-19 padariniais (sveikatos apsaugos srityje ir ekonomikai palaikyti). ECCL prieigą turėtų visos ESM VN, tačiau naudotis juo galėtų tik tos, kurioms reikia (pagal ESM informaciją šiuo metu visos ESM VN atitinka tinkamumo kriterijus, pagrindinis kriterijus – tvari skola). ESM skolinimo kaštai dar galėtų būti peržiūrėti ir adaptuoti prie skolinimo trukmės. Trukmė – 5-10 metų.</w:t>
      </w:r>
    </w:p>
    <w:p w14:paraId="061D7036" w14:textId="479BC16E" w:rsidR="00F90D69" w:rsidRPr="00794D66" w:rsidRDefault="00F90D69" w:rsidP="00794D66">
      <w:pPr>
        <w:autoSpaceDE w:val="0"/>
        <w:autoSpaceDN w:val="0"/>
        <w:adjustRightInd w:val="0"/>
        <w:spacing w:after="0" w:line="240" w:lineRule="auto"/>
        <w:jc w:val="both"/>
        <w:rPr>
          <w:rFonts w:ascii="Times New Roman" w:hAnsi="Times New Roman" w:cs="Times New Roman"/>
          <w:color w:val="000000"/>
          <w:sz w:val="26"/>
          <w:szCs w:val="26"/>
        </w:rPr>
      </w:pPr>
      <w:r w:rsidRPr="00794D66">
        <w:rPr>
          <w:rFonts w:ascii="Times New Roman" w:hAnsi="Times New Roman" w:cs="Times New Roman"/>
          <w:color w:val="000000"/>
          <w:sz w:val="26"/>
          <w:szCs w:val="26"/>
          <w:u w:val="single"/>
        </w:rPr>
        <w:t>Opcijos privalumas</w:t>
      </w:r>
      <w:r w:rsidRPr="00794D66">
        <w:rPr>
          <w:rFonts w:ascii="Times New Roman" w:hAnsi="Times New Roman" w:cs="Times New Roman"/>
          <w:color w:val="000000"/>
          <w:sz w:val="26"/>
          <w:szCs w:val="26"/>
        </w:rPr>
        <w:t xml:space="preserve"> – gali būti įgyvendinta jau dabar pagal galiojančią ESM sutartį. </w:t>
      </w:r>
      <w:r w:rsidR="00A45163" w:rsidRPr="00794D66">
        <w:rPr>
          <w:rFonts w:ascii="Times New Roman" w:hAnsi="Times New Roman" w:cs="Times New Roman"/>
          <w:color w:val="000000"/>
          <w:sz w:val="26"/>
          <w:szCs w:val="26"/>
          <w:u w:val="single"/>
        </w:rPr>
        <w:t>Trūkumas</w:t>
      </w:r>
      <w:r w:rsidRPr="00794D66">
        <w:rPr>
          <w:rFonts w:ascii="Times New Roman" w:hAnsi="Times New Roman" w:cs="Times New Roman"/>
          <w:b/>
          <w:bCs/>
          <w:color w:val="000000"/>
          <w:sz w:val="26"/>
          <w:szCs w:val="26"/>
        </w:rPr>
        <w:t xml:space="preserve"> – </w:t>
      </w:r>
      <w:r w:rsidRPr="00794D66">
        <w:rPr>
          <w:rFonts w:ascii="Times New Roman" w:hAnsi="Times New Roman" w:cs="Times New Roman"/>
          <w:color w:val="000000"/>
          <w:sz w:val="26"/>
          <w:szCs w:val="26"/>
        </w:rPr>
        <w:t>gali atsirasti stigma efektas, jei šalys dalyvautų pavieniui.</w:t>
      </w:r>
    </w:p>
    <w:p w14:paraId="32667B9E" w14:textId="77777777" w:rsidR="00F90D69" w:rsidRPr="00794D66" w:rsidRDefault="00F90D69" w:rsidP="00794D66">
      <w:pPr>
        <w:autoSpaceDE w:val="0"/>
        <w:autoSpaceDN w:val="0"/>
        <w:adjustRightInd w:val="0"/>
        <w:spacing w:after="0" w:line="240" w:lineRule="auto"/>
        <w:jc w:val="both"/>
        <w:rPr>
          <w:rFonts w:ascii="Times New Roman" w:hAnsi="Times New Roman" w:cs="Times New Roman"/>
          <w:color w:val="000000"/>
          <w:sz w:val="26"/>
          <w:szCs w:val="26"/>
        </w:rPr>
      </w:pPr>
      <w:r w:rsidRPr="00794D66">
        <w:rPr>
          <w:rFonts w:ascii="Times New Roman" w:hAnsi="Times New Roman" w:cs="Times New Roman"/>
          <w:color w:val="000000"/>
          <w:sz w:val="26"/>
          <w:szCs w:val="26"/>
        </w:rPr>
        <w:t>- 2 opcija – sukurti naują instrumentą remiantis Tarptautinio valiutos fondo (TVF) patirtimi – Greito likvidumo instrumentą (</w:t>
      </w:r>
      <w:proofErr w:type="spellStart"/>
      <w:r w:rsidRPr="00794D66">
        <w:rPr>
          <w:rFonts w:ascii="Times New Roman" w:hAnsi="Times New Roman" w:cs="Times New Roman"/>
          <w:i/>
          <w:color w:val="000000"/>
          <w:sz w:val="26"/>
          <w:szCs w:val="26"/>
        </w:rPr>
        <w:t>Rapid</w:t>
      </w:r>
      <w:proofErr w:type="spellEnd"/>
      <w:r w:rsidRPr="00794D66">
        <w:rPr>
          <w:rFonts w:ascii="Times New Roman" w:hAnsi="Times New Roman" w:cs="Times New Roman"/>
          <w:i/>
          <w:color w:val="000000"/>
          <w:sz w:val="26"/>
          <w:szCs w:val="26"/>
        </w:rPr>
        <w:t xml:space="preserve"> </w:t>
      </w:r>
      <w:proofErr w:type="spellStart"/>
      <w:r w:rsidRPr="00794D66">
        <w:rPr>
          <w:rFonts w:ascii="Times New Roman" w:hAnsi="Times New Roman" w:cs="Times New Roman"/>
          <w:i/>
          <w:color w:val="000000"/>
          <w:sz w:val="26"/>
          <w:szCs w:val="26"/>
        </w:rPr>
        <w:t>liquidity</w:t>
      </w:r>
      <w:proofErr w:type="spellEnd"/>
      <w:r w:rsidRPr="00794D66">
        <w:rPr>
          <w:rFonts w:ascii="Times New Roman" w:hAnsi="Times New Roman" w:cs="Times New Roman"/>
          <w:i/>
          <w:color w:val="000000"/>
          <w:sz w:val="26"/>
          <w:szCs w:val="26"/>
        </w:rPr>
        <w:t xml:space="preserve"> </w:t>
      </w:r>
      <w:proofErr w:type="spellStart"/>
      <w:r w:rsidRPr="00794D66">
        <w:rPr>
          <w:rFonts w:ascii="Times New Roman" w:hAnsi="Times New Roman" w:cs="Times New Roman"/>
          <w:i/>
          <w:color w:val="000000"/>
          <w:sz w:val="26"/>
          <w:szCs w:val="26"/>
        </w:rPr>
        <w:t>instrument</w:t>
      </w:r>
      <w:proofErr w:type="spellEnd"/>
      <w:r w:rsidRPr="00794D66">
        <w:rPr>
          <w:rFonts w:ascii="Times New Roman" w:hAnsi="Times New Roman" w:cs="Times New Roman"/>
          <w:color w:val="000000"/>
          <w:sz w:val="26"/>
          <w:szCs w:val="26"/>
        </w:rPr>
        <w:t>, RLI). Preliminarios apimtys – iki 80 mlrd. eurų. Sąlygiškumas – neatidėliotinų išlaidų pagrindimas.</w:t>
      </w:r>
    </w:p>
    <w:p w14:paraId="20A1387D" w14:textId="78662278" w:rsidR="00F90D69" w:rsidRPr="00794D66" w:rsidRDefault="00F90D69" w:rsidP="00794D66">
      <w:pPr>
        <w:autoSpaceDE w:val="0"/>
        <w:autoSpaceDN w:val="0"/>
        <w:adjustRightInd w:val="0"/>
        <w:spacing w:after="0" w:line="240" w:lineRule="auto"/>
        <w:jc w:val="both"/>
        <w:rPr>
          <w:rFonts w:ascii="Times New Roman" w:hAnsi="Times New Roman" w:cs="Times New Roman"/>
          <w:color w:val="000000"/>
          <w:sz w:val="26"/>
          <w:szCs w:val="26"/>
        </w:rPr>
      </w:pPr>
      <w:r w:rsidRPr="00794D66">
        <w:rPr>
          <w:rFonts w:ascii="Times New Roman" w:hAnsi="Times New Roman" w:cs="Times New Roman"/>
          <w:color w:val="000000"/>
          <w:sz w:val="26"/>
          <w:szCs w:val="26"/>
          <w:u w:val="single"/>
        </w:rPr>
        <w:t>2 opcijos privalumas</w:t>
      </w:r>
      <w:r w:rsidRPr="00794D66">
        <w:rPr>
          <w:rFonts w:ascii="Times New Roman" w:hAnsi="Times New Roman" w:cs="Times New Roman"/>
          <w:color w:val="000000"/>
          <w:sz w:val="26"/>
          <w:szCs w:val="26"/>
        </w:rPr>
        <w:t xml:space="preserve"> – labiau nukreiptas į tikslą (</w:t>
      </w:r>
      <w:proofErr w:type="spellStart"/>
      <w:r w:rsidRPr="00794D66">
        <w:rPr>
          <w:rFonts w:ascii="Times New Roman" w:hAnsi="Times New Roman" w:cs="Times New Roman"/>
          <w:i/>
          <w:color w:val="000000"/>
          <w:sz w:val="26"/>
          <w:szCs w:val="26"/>
        </w:rPr>
        <w:t>targeted</w:t>
      </w:r>
      <w:proofErr w:type="spellEnd"/>
      <w:r w:rsidRPr="00794D66">
        <w:rPr>
          <w:rFonts w:ascii="Times New Roman" w:hAnsi="Times New Roman" w:cs="Times New Roman"/>
          <w:color w:val="000000"/>
          <w:sz w:val="26"/>
          <w:szCs w:val="26"/>
        </w:rPr>
        <w:t xml:space="preserve">) instrumentas. </w:t>
      </w:r>
      <w:r w:rsidR="00A45163" w:rsidRPr="00794D66">
        <w:rPr>
          <w:rFonts w:ascii="Times New Roman" w:hAnsi="Times New Roman" w:cs="Times New Roman"/>
          <w:color w:val="000000"/>
          <w:sz w:val="26"/>
          <w:szCs w:val="26"/>
          <w:u w:val="single"/>
        </w:rPr>
        <w:t>Trūkumai</w:t>
      </w:r>
      <w:r w:rsidRPr="00794D66">
        <w:rPr>
          <w:rFonts w:ascii="Times New Roman" w:hAnsi="Times New Roman" w:cs="Times New Roman"/>
          <w:b/>
          <w:color w:val="000000"/>
          <w:sz w:val="26"/>
          <w:szCs w:val="26"/>
        </w:rPr>
        <w:t xml:space="preserve"> – </w:t>
      </w:r>
      <w:r w:rsidRPr="00794D66">
        <w:rPr>
          <w:rFonts w:ascii="Times New Roman" w:hAnsi="Times New Roman" w:cs="Times New Roman"/>
          <w:color w:val="000000"/>
          <w:sz w:val="26"/>
          <w:szCs w:val="26"/>
        </w:rPr>
        <w:t xml:space="preserve">maža finansinė išraiška ir </w:t>
      </w:r>
      <w:r w:rsidR="00A45163" w:rsidRPr="00794D66">
        <w:rPr>
          <w:rFonts w:ascii="Times New Roman" w:hAnsi="Times New Roman" w:cs="Times New Roman"/>
          <w:color w:val="000000"/>
          <w:sz w:val="26"/>
          <w:szCs w:val="26"/>
        </w:rPr>
        <w:t xml:space="preserve">instrumentą sukūrimas </w:t>
      </w:r>
      <w:r w:rsidRPr="00794D66">
        <w:rPr>
          <w:rFonts w:ascii="Times New Roman" w:hAnsi="Times New Roman" w:cs="Times New Roman"/>
          <w:color w:val="000000"/>
          <w:sz w:val="26"/>
          <w:szCs w:val="26"/>
        </w:rPr>
        <w:t xml:space="preserve">gali </w:t>
      </w:r>
      <w:r w:rsidR="00A45163" w:rsidRPr="00794D66">
        <w:rPr>
          <w:rFonts w:ascii="Times New Roman" w:hAnsi="Times New Roman" w:cs="Times New Roman"/>
          <w:color w:val="000000"/>
          <w:sz w:val="26"/>
          <w:szCs w:val="26"/>
        </w:rPr>
        <w:t xml:space="preserve">ilgokai </w:t>
      </w:r>
      <w:r w:rsidRPr="00794D66">
        <w:rPr>
          <w:rFonts w:ascii="Times New Roman" w:hAnsi="Times New Roman" w:cs="Times New Roman"/>
          <w:color w:val="000000"/>
          <w:sz w:val="26"/>
          <w:szCs w:val="26"/>
        </w:rPr>
        <w:t xml:space="preserve">užtrukti </w:t>
      </w:r>
      <w:r w:rsidR="00A45163" w:rsidRPr="00794D66">
        <w:rPr>
          <w:rFonts w:ascii="Times New Roman" w:hAnsi="Times New Roman" w:cs="Times New Roman"/>
          <w:color w:val="000000"/>
          <w:sz w:val="26"/>
          <w:szCs w:val="26"/>
        </w:rPr>
        <w:t xml:space="preserve">dėl kai kuriose šalyse taikomų griežtų </w:t>
      </w:r>
      <w:r w:rsidRPr="00794D66">
        <w:rPr>
          <w:rFonts w:ascii="Times New Roman" w:hAnsi="Times New Roman" w:cs="Times New Roman"/>
          <w:color w:val="000000"/>
          <w:sz w:val="26"/>
          <w:szCs w:val="26"/>
        </w:rPr>
        <w:t>nacionalini</w:t>
      </w:r>
      <w:r w:rsidR="00A45163" w:rsidRPr="00794D66">
        <w:rPr>
          <w:rFonts w:ascii="Times New Roman" w:hAnsi="Times New Roman" w:cs="Times New Roman"/>
          <w:color w:val="000000"/>
          <w:sz w:val="26"/>
          <w:szCs w:val="26"/>
        </w:rPr>
        <w:t>ų</w:t>
      </w:r>
      <w:r w:rsidRPr="00794D66">
        <w:rPr>
          <w:rFonts w:ascii="Times New Roman" w:hAnsi="Times New Roman" w:cs="Times New Roman"/>
          <w:color w:val="000000"/>
          <w:sz w:val="26"/>
          <w:szCs w:val="26"/>
        </w:rPr>
        <w:t xml:space="preserve"> </w:t>
      </w:r>
      <w:r w:rsidR="00A45163" w:rsidRPr="00794D66">
        <w:rPr>
          <w:rFonts w:ascii="Times New Roman" w:hAnsi="Times New Roman" w:cs="Times New Roman"/>
          <w:color w:val="000000"/>
          <w:sz w:val="26"/>
          <w:szCs w:val="26"/>
        </w:rPr>
        <w:t>procedūrų</w:t>
      </w:r>
      <w:r w:rsidRPr="00794D66">
        <w:rPr>
          <w:rFonts w:ascii="Times New Roman" w:hAnsi="Times New Roman" w:cs="Times New Roman"/>
          <w:color w:val="000000"/>
          <w:sz w:val="26"/>
          <w:szCs w:val="26"/>
        </w:rPr>
        <w:t xml:space="preserve">. </w:t>
      </w:r>
    </w:p>
    <w:p w14:paraId="6400CFF3" w14:textId="77777777" w:rsidR="00F90D69" w:rsidRPr="00794D66" w:rsidRDefault="00F90D69" w:rsidP="00794D66">
      <w:pPr>
        <w:autoSpaceDE w:val="0"/>
        <w:autoSpaceDN w:val="0"/>
        <w:adjustRightInd w:val="0"/>
        <w:spacing w:after="0" w:line="240" w:lineRule="auto"/>
        <w:jc w:val="both"/>
        <w:rPr>
          <w:rFonts w:ascii="Times New Roman" w:hAnsi="Times New Roman" w:cs="Times New Roman"/>
          <w:color w:val="000000"/>
          <w:sz w:val="26"/>
          <w:szCs w:val="26"/>
        </w:rPr>
      </w:pPr>
      <w:r w:rsidRPr="00794D66">
        <w:rPr>
          <w:rFonts w:ascii="Times New Roman" w:hAnsi="Times New Roman" w:cs="Times New Roman"/>
          <w:color w:val="000000"/>
          <w:sz w:val="26"/>
          <w:szCs w:val="26"/>
        </w:rPr>
        <w:t xml:space="preserve">ESM opcijos nėra alternatyvios, galėtų būti įgyvendinamos ir abi iškart. </w:t>
      </w:r>
    </w:p>
    <w:p w14:paraId="0E36947E" w14:textId="12E0B128" w:rsidR="00F90D69" w:rsidRPr="00794D66" w:rsidRDefault="00F90D69" w:rsidP="00794D66">
      <w:pPr>
        <w:autoSpaceDE w:val="0"/>
        <w:autoSpaceDN w:val="0"/>
        <w:adjustRightInd w:val="0"/>
        <w:spacing w:after="0" w:line="240" w:lineRule="auto"/>
        <w:jc w:val="both"/>
        <w:rPr>
          <w:rFonts w:ascii="Times New Roman" w:hAnsi="Times New Roman" w:cs="Times New Roman"/>
          <w:color w:val="000000"/>
          <w:sz w:val="26"/>
          <w:szCs w:val="26"/>
          <w:u w:val="single"/>
        </w:rPr>
      </w:pPr>
      <w:r w:rsidRPr="00794D66">
        <w:rPr>
          <w:rFonts w:ascii="Times New Roman" w:hAnsi="Times New Roman" w:cs="Times New Roman"/>
          <w:color w:val="000000"/>
          <w:sz w:val="26"/>
          <w:szCs w:val="26"/>
          <w:u w:val="single"/>
        </w:rPr>
        <w:t>ESM pasiūlymą</w:t>
      </w:r>
      <w:r w:rsidR="00A45163" w:rsidRPr="00794D66">
        <w:rPr>
          <w:rFonts w:ascii="Times New Roman" w:hAnsi="Times New Roman" w:cs="Times New Roman"/>
          <w:color w:val="000000"/>
          <w:sz w:val="26"/>
          <w:szCs w:val="26"/>
          <w:u w:val="single"/>
        </w:rPr>
        <w:t xml:space="preserve"> (ypač pirmąją opciją) </w:t>
      </w:r>
      <w:r w:rsidRPr="00794D66">
        <w:rPr>
          <w:rFonts w:ascii="Times New Roman" w:hAnsi="Times New Roman" w:cs="Times New Roman"/>
          <w:color w:val="000000"/>
          <w:sz w:val="26"/>
          <w:szCs w:val="26"/>
          <w:u w:val="single"/>
        </w:rPr>
        <w:t>iš esmės palaiko visos VN</w:t>
      </w:r>
      <w:r w:rsidR="00A45163" w:rsidRPr="00794D66">
        <w:rPr>
          <w:rFonts w:ascii="Times New Roman" w:hAnsi="Times New Roman" w:cs="Times New Roman"/>
          <w:color w:val="000000"/>
          <w:sz w:val="26"/>
          <w:szCs w:val="26"/>
          <w:u w:val="single"/>
        </w:rPr>
        <w:t>.</w:t>
      </w:r>
      <w:r w:rsidRPr="00794D66">
        <w:rPr>
          <w:rFonts w:ascii="Times New Roman" w:hAnsi="Times New Roman" w:cs="Times New Roman"/>
          <w:color w:val="000000"/>
          <w:sz w:val="26"/>
          <w:szCs w:val="26"/>
          <w:u w:val="single"/>
        </w:rPr>
        <w:t xml:space="preserve">.  </w:t>
      </w:r>
    </w:p>
    <w:p w14:paraId="0DC268D7" w14:textId="2C779B87" w:rsidR="00F90D69" w:rsidRDefault="00F90D69" w:rsidP="00F90D69">
      <w:pPr>
        <w:autoSpaceDE w:val="0"/>
        <w:autoSpaceDN w:val="0"/>
        <w:adjustRightInd w:val="0"/>
        <w:spacing w:line="240" w:lineRule="auto"/>
        <w:jc w:val="both"/>
        <w:rPr>
          <w:rFonts w:ascii="Times New Roman" w:hAnsi="Times New Roman" w:cs="Times New Roman"/>
          <w:color w:val="000000"/>
          <w:sz w:val="26"/>
          <w:szCs w:val="26"/>
        </w:rPr>
      </w:pPr>
      <w:r w:rsidRPr="00794D66">
        <w:rPr>
          <w:rFonts w:ascii="Times New Roman" w:hAnsi="Times New Roman" w:cs="Times New Roman"/>
          <w:color w:val="000000"/>
          <w:sz w:val="26"/>
          <w:szCs w:val="26"/>
        </w:rPr>
        <w:t>Visgi</w:t>
      </w:r>
      <w:r w:rsidRPr="00794D66">
        <w:rPr>
          <w:rFonts w:ascii="Times New Roman" w:hAnsi="Times New Roman" w:cs="Times New Roman"/>
          <w:b/>
          <w:color w:val="000000"/>
          <w:sz w:val="26"/>
          <w:szCs w:val="26"/>
        </w:rPr>
        <w:t xml:space="preserve"> DE, AT, SK</w:t>
      </w:r>
      <w:r w:rsidRPr="00794D66">
        <w:rPr>
          <w:rFonts w:ascii="Times New Roman" w:hAnsi="Times New Roman" w:cs="Times New Roman"/>
          <w:color w:val="000000"/>
          <w:sz w:val="26"/>
          <w:szCs w:val="26"/>
        </w:rPr>
        <w:t xml:space="preserve"> norėtų individualizuoti kreipimąsi į ESM, o ne iš karto suteikti prieigą visoms ESM šalims. Priešingai </w:t>
      </w:r>
      <w:r w:rsidRPr="00794D66">
        <w:rPr>
          <w:rFonts w:ascii="Times New Roman" w:hAnsi="Times New Roman" w:cs="Times New Roman"/>
          <w:b/>
          <w:color w:val="000000"/>
          <w:sz w:val="26"/>
          <w:szCs w:val="26"/>
        </w:rPr>
        <w:t>ESP, PT</w:t>
      </w:r>
      <w:r w:rsidRPr="00794D66">
        <w:rPr>
          <w:rFonts w:ascii="Times New Roman" w:hAnsi="Times New Roman" w:cs="Times New Roman"/>
          <w:color w:val="000000"/>
          <w:sz w:val="26"/>
          <w:szCs w:val="26"/>
        </w:rPr>
        <w:t xml:space="preserve"> ir </w:t>
      </w:r>
      <w:r w:rsidRPr="00794D66">
        <w:rPr>
          <w:rFonts w:ascii="Times New Roman" w:hAnsi="Times New Roman" w:cs="Times New Roman"/>
          <w:b/>
          <w:color w:val="000000"/>
          <w:sz w:val="26"/>
          <w:szCs w:val="26"/>
        </w:rPr>
        <w:t>FR</w:t>
      </w:r>
      <w:r w:rsidRPr="00794D66">
        <w:rPr>
          <w:rFonts w:ascii="Times New Roman" w:hAnsi="Times New Roman" w:cs="Times New Roman"/>
          <w:color w:val="000000"/>
          <w:sz w:val="26"/>
          <w:szCs w:val="26"/>
        </w:rPr>
        <w:t xml:space="preserve"> mano, kad ECCL turi dalyvauti visos VN, siekiant patikimo signalo rinkoms. ESM pasiūlymas svarbus ir tuo, kad jo pagrindu ECB gali aktyvuoti savo OMT (</w:t>
      </w:r>
      <w:proofErr w:type="spellStart"/>
      <w:r w:rsidRPr="00794D66">
        <w:rPr>
          <w:rFonts w:ascii="Times New Roman" w:hAnsi="Times New Roman" w:cs="Times New Roman"/>
          <w:i/>
          <w:color w:val="000000"/>
          <w:sz w:val="26"/>
          <w:szCs w:val="26"/>
        </w:rPr>
        <w:t>Outright</w:t>
      </w:r>
      <w:proofErr w:type="spellEnd"/>
      <w:r w:rsidRPr="00794D66">
        <w:rPr>
          <w:rFonts w:ascii="Times New Roman" w:hAnsi="Times New Roman" w:cs="Times New Roman"/>
          <w:i/>
          <w:color w:val="000000"/>
          <w:sz w:val="26"/>
          <w:szCs w:val="26"/>
        </w:rPr>
        <w:t xml:space="preserve"> </w:t>
      </w:r>
      <w:proofErr w:type="spellStart"/>
      <w:r w:rsidRPr="00794D66">
        <w:rPr>
          <w:rFonts w:ascii="Times New Roman" w:hAnsi="Times New Roman" w:cs="Times New Roman"/>
          <w:i/>
          <w:color w:val="000000"/>
          <w:sz w:val="26"/>
          <w:szCs w:val="26"/>
        </w:rPr>
        <w:t>Monetary</w:t>
      </w:r>
      <w:proofErr w:type="spellEnd"/>
      <w:r w:rsidRPr="00794D66">
        <w:rPr>
          <w:rFonts w:ascii="Times New Roman" w:hAnsi="Times New Roman" w:cs="Times New Roman"/>
          <w:i/>
          <w:color w:val="000000"/>
          <w:sz w:val="26"/>
          <w:szCs w:val="26"/>
        </w:rPr>
        <w:t xml:space="preserve"> </w:t>
      </w:r>
      <w:proofErr w:type="spellStart"/>
      <w:r w:rsidRPr="00794D66">
        <w:rPr>
          <w:rFonts w:ascii="Times New Roman" w:hAnsi="Times New Roman" w:cs="Times New Roman"/>
          <w:i/>
          <w:color w:val="000000"/>
          <w:sz w:val="26"/>
          <w:szCs w:val="26"/>
        </w:rPr>
        <w:t>Transactions</w:t>
      </w:r>
      <w:proofErr w:type="spellEnd"/>
      <w:r w:rsidRPr="00794D66">
        <w:rPr>
          <w:rFonts w:ascii="Times New Roman" w:hAnsi="Times New Roman" w:cs="Times New Roman"/>
          <w:color w:val="000000"/>
          <w:sz w:val="26"/>
          <w:szCs w:val="26"/>
        </w:rPr>
        <w:t xml:space="preserve">). </w:t>
      </w:r>
      <w:r w:rsidR="00A45163" w:rsidRPr="00794D66">
        <w:rPr>
          <w:rFonts w:ascii="Times New Roman" w:hAnsi="Times New Roman" w:cs="Times New Roman"/>
          <w:color w:val="000000"/>
          <w:sz w:val="26"/>
          <w:szCs w:val="26"/>
        </w:rPr>
        <w:t>Taip pat išsiskiria nuomonės dėl finansavimo suteikimo sąlygų (</w:t>
      </w:r>
      <w:proofErr w:type="spellStart"/>
      <w:r w:rsidR="00A45163" w:rsidRPr="00794D66">
        <w:rPr>
          <w:rFonts w:ascii="Times New Roman" w:hAnsi="Times New Roman" w:cs="Times New Roman"/>
          <w:color w:val="000000"/>
          <w:sz w:val="26"/>
          <w:szCs w:val="26"/>
        </w:rPr>
        <w:t>conditionality</w:t>
      </w:r>
      <w:proofErr w:type="spellEnd"/>
      <w:r w:rsidR="00A45163" w:rsidRPr="00794D66">
        <w:rPr>
          <w:rFonts w:ascii="Times New Roman" w:hAnsi="Times New Roman" w:cs="Times New Roman"/>
          <w:color w:val="000000"/>
          <w:sz w:val="26"/>
          <w:szCs w:val="26"/>
        </w:rPr>
        <w:t>).</w:t>
      </w:r>
    </w:p>
    <w:p w14:paraId="36B999D0" w14:textId="77777777" w:rsidR="00794D66" w:rsidRDefault="00794D66" w:rsidP="00F90D69">
      <w:pPr>
        <w:autoSpaceDE w:val="0"/>
        <w:autoSpaceDN w:val="0"/>
        <w:adjustRightInd w:val="0"/>
        <w:spacing w:line="240" w:lineRule="auto"/>
        <w:jc w:val="both"/>
        <w:rPr>
          <w:rFonts w:ascii="Times New Roman" w:hAnsi="Times New Roman" w:cs="Times New Roman"/>
          <w:color w:val="000000"/>
          <w:sz w:val="26"/>
          <w:szCs w:val="26"/>
        </w:rPr>
      </w:pPr>
    </w:p>
    <w:p w14:paraId="094E9130" w14:textId="77777777" w:rsidR="00794D66" w:rsidRPr="00794D66" w:rsidRDefault="00794D66" w:rsidP="00F90D69">
      <w:pPr>
        <w:autoSpaceDE w:val="0"/>
        <w:autoSpaceDN w:val="0"/>
        <w:adjustRightInd w:val="0"/>
        <w:spacing w:line="240" w:lineRule="auto"/>
        <w:jc w:val="both"/>
        <w:rPr>
          <w:rFonts w:ascii="Times New Roman" w:hAnsi="Times New Roman" w:cs="Times New Roman"/>
          <w:color w:val="000000"/>
          <w:sz w:val="26"/>
          <w:szCs w:val="26"/>
        </w:rPr>
      </w:pPr>
    </w:p>
    <w:p w14:paraId="763CB71A" w14:textId="10CD71DC" w:rsidR="00F90D69" w:rsidRPr="00794D66" w:rsidRDefault="00F90D69" w:rsidP="00F90D69">
      <w:pPr>
        <w:autoSpaceDE w:val="0"/>
        <w:autoSpaceDN w:val="0"/>
        <w:adjustRightInd w:val="0"/>
        <w:spacing w:after="120" w:line="240" w:lineRule="auto"/>
        <w:rPr>
          <w:rFonts w:ascii="Times New Roman" w:eastAsia="SimSun" w:hAnsi="Times New Roman" w:cs="Times New Roman"/>
          <w:b/>
          <w:color w:val="000000"/>
          <w:sz w:val="26"/>
          <w:szCs w:val="26"/>
          <w:u w:val="single"/>
          <w:lang w:eastAsia="lt-LT"/>
        </w:rPr>
      </w:pPr>
      <w:r w:rsidRPr="00794D66">
        <w:rPr>
          <w:rFonts w:ascii="Times New Roman" w:eastAsia="SimSun" w:hAnsi="Times New Roman" w:cs="Times New Roman"/>
          <w:b/>
          <w:color w:val="000000"/>
          <w:sz w:val="26"/>
          <w:szCs w:val="26"/>
          <w:u w:val="single"/>
          <w:lang w:eastAsia="lt-LT"/>
        </w:rPr>
        <w:lastRenderedPageBreak/>
        <w:t>Europos investicijų banko (EIB) naujas pasiūlymas:</w:t>
      </w:r>
    </w:p>
    <w:p w14:paraId="124946BA" w14:textId="77777777" w:rsidR="00F90D69" w:rsidRPr="00794D66" w:rsidRDefault="00F90D69" w:rsidP="00F90D69">
      <w:pPr>
        <w:autoSpaceDE w:val="0"/>
        <w:autoSpaceDN w:val="0"/>
        <w:adjustRightInd w:val="0"/>
        <w:spacing w:line="240" w:lineRule="auto"/>
        <w:jc w:val="both"/>
        <w:rPr>
          <w:rFonts w:ascii="Times New Roman" w:eastAsia="SimSun" w:hAnsi="Times New Roman" w:cs="Times New Roman"/>
          <w:iCs/>
          <w:color w:val="000000"/>
          <w:sz w:val="26"/>
          <w:szCs w:val="26"/>
          <w:lang w:eastAsia="lt-LT"/>
        </w:rPr>
      </w:pPr>
      <w:r w:rsidRPr="00794D66">
        <w:rPr>
          <w:rFonts w:ascii="Times New Roman" w:eastAsia="SimSun" w:hAnsi="Times New Roman" w:cs="Times New Roman"/>
          <w:iCs/>
          <w:color w:val="000000"/>
          <w:sz w:val="26"/>
          <w:szCs w:val="26"/>
          <w:lang w:eastAsia="lt-LT"/>
        </w:rPr>
        <w:t xml:space="preserve">EIB siūlo sukurti 25 mlrd. eurų vertės visos Europos garantijų fondą (angl. </w:t>
      </w:r>
      <w:proofErr w:type="spellStart"/>
      <w:r w:rsidRPr="00794D66">
        <w:rPr>
          <w:rFonts w:ascii="Times New Roman" w:eastAsia="SimSun" w:hAnsi="Times New Roman" w:cs="Times New Roman"/>
          <w:i/>
          <w:iCs/>
          <w:color w:val="000000"/>
          <w:sz w:val="26"/>
          <w:szCs w:val="26"/>
          <w:lang w:eastAsia="lt-LT"/>
        </w:rPr>
        <w:t>Pan-European</w:t>
      </w:r>
      <w:proofErr w:type="spellEnd"/>
      <w:r w:rsidRPr="00794D66">
        <w:rPr>
          <w:rFonts w:ascii="Times New Roman" w:eastAsia="SimSun" w:hAnsi="Times New Roman" w:cs="Times New Roman"/>
          <w:i/>
          <w:iCs/>
          <w:color w:val="000000"/>
          <w:sz w:val="26"/>
          <w:szCs w:val="26"/>
          <w:lang w:eastAsia="lt-LT"/>
        </w:rPr>
        <w:t xml:space="preserve"> </w:t>
      </w:r>
      <w:proofErr w:type="spellStart"/>
      <w:r w:rsidRPr="00794D66">
        <w:rPr>
          <w:rFonts w:ascii="Times New Roman" w:eastAsia="SimSun" w:hAnsi="Times New Roman" w:cs="Times New Roman"/>
          <w:i/>
          <w:iCs/>
          <w:color w:val="000000"/>
          <w:sz w:val="26"/>
          <w:szCs w:val="26"/>
          <w:lang w:eastAsia="lt-LT"/>
        </w:rPr>
        <w:t>Guarantee</w:t>
      </w:r>
      <w:proofErr w:type="spellEnd"/>
      <w:r w:rsidRPr="00794D66">
        <w:rPr>
          <w:rFonts w:ascii="Times New Roman" w:eastAsia="SimSun" w:hAnsi="Times New Roman" w:cs="Times New Roman"/>
          <w:i/>
          <w:iCs/>
          <w:color w:val="000000"/>
          <w:sz w:val="26"/>
          <w:szCs w:val="26"/>
          <w:lang w:eastAsia="lt-LT"/>
        </w:rPr>
        <w:t xml:space="preserve"> </w:t>
      </w:r>
      <w:proofErr w:type="spellStart"/>
      <w:r w:rsidRPr="00794D66">
        <w:rPr>
          <w:rFonts w:ascii="Times New Roman" w:eastAsia="SimSun" w:hAnsi="Times New Roman" w:cs="Times New Roman"/>
          <w:i/>
          <w:iCs/>
          <w:color w:val="000000"/>
          <w:sz w:val="26"/>
          <w:szCs w:val="26"/>
          <w:lang w:eastAsia="lt-LT"/>
        </w:rPr>
        <w:t>Fund</w:t>
      </w:r>
      <w:proofErr w:type="spellEnd"/>
      <w:r w:rsidRPr="00794D66">
        <w:rPr>
          <w:rFonts w:ascii="Times New Roman" w:eastAsia="SimSun" w:hAnsi="Times New Roman" w:cs="Times New Roman"/>
          <w:iCs/>
          <w:color w:val="000000"/>
          <w:sz w:val="26"/>
          <w:szCs w:val="26"/>
          <w:lang w:eastAsia="lt-LT"/>
        </w:rPr>
        <w:t xml:space="preserve">), kuris leistų EIB grupei padidinti finansavimą MVĮ, vidutinės kapitalizacijos įmonėms (angl. </w:t>
      </w:r>
      <w:proofErr w:type="spellStart"/>
      <w:r w:rsidRPr="00794D66">
        <w:rPr>
          <w:rFonts w:ascii="Times New Roman" w:eastAsia="SimSun" w:hAnsi="Times New Roman" w:cs="Times New Roman"/>
          <w:i/>
          <w:iCs/>
          <w:color w:val="000000"/>
          <w:sz w:val="26"/>
          <w:szCs w:val="26"/>
          <w:lang w:eastAsia="lt-LT"/>
        </w:rPr>
        <w:t>mid-caps</w:t>
      </w:r>
      <w:r w:rsidRPr="00794D66">
        <w:rPr>
          <w:rFonts w:ascii="Times New Roman" w:eastAsia="SimSun" w:hAnsi="Times New Roman" w:cs="Times New Roman"/>
          <w:iCs/>
          <w:color w:val="000000"/>
          <w:sz w:val="26"/>
          <w:szCs w:val="26"/>
          <w:lang w:eastAsia="lt-LT"/>
        </w:rPr>
        <w:t>)</w:t>
      </w:r>
      <w:proofErr w:type="spellEnd"/>
      <w:r w:rsidRPr="00794D66">
        <w:rPr>
          <w:rFonts w:ascii="Times New Roman" w:eastAsia="SimSun" w:hAnsi="Times New Roman" w:cs="Times New Roman"/>
          <w:iCs/>
          <w:color w:val="000000"/>
          <w:sz w:val="26"/>
          <w:szCs w:val="26"/>
          <w:lang w:eastAsia="lt-LT"/>
        </w:rPr>
        <w:t xml:space="preserve"> ir korporacijoms realioje ekonomikoje mobilizuojant daugiau nei 200 mlrd. eurų.</w:t>
      </w:r>
    </w:p>
    <w:p w14:paraId="202AFECD" w14:textId="77777777" w:rsidR="00F90D69" w:rsidRPr="00794D66" w:rsidRDefault="00F90D69" w:rsidP="00F90D69">
      <w:pPr>
        <w:autoSpaceDE w:val="0"/>
        <w:autoSpaceDN w:val="0"/>
        <w:adjustRightInd w:val="0"/>
        <w:spacing w:line="240" w:lineRule="auto"/>
        <w:jc w:val="both"/>
        <w:rPr>
          <w:rFonts w:ascii="Times New Roman" w:eastAsia="SimSun" w:hAnsi="Times New Roman" w:cs="Times New Roman"/>
          <w:iCs/>
          <w:color w:val="000000"/>
          <w:sz w:val="26"/>
          <w:szCs w:val="26"/>
          <w:lang w:eastAsia="lt-LT"/>
        </w:rPr>
      </w:pPr>
      <w:r w:rsidRPr="00794D66">
        <w:rPr>
          <w:rFonts w:ascii="Times New Roman" w:eastAsia="SimSun" w:hAnsi="Times New Roman" w:cs="Times New Roman"/>
          <w:iCs/>
          <w:color w:val="000000"/>
          <w:sz w:val="26"/>
          <w:szCs w:val="26"/>
          <w:lang w:eastAsia="lt-LT"/>
        </w:rPr>
        <w:t xml:space="preserve">Galėtų būti paremtas VN garantijomis (angl. </w:t>
      </w:r>
      <w:proofErr w:type="spellStart"/>
      <w:r w:rsidRPr="00794D66">
        <w:rPr>
          <w:rFonts w:ascii="Times New Roman" w:eastAsia="SimSun" w:hAnsi="Times New Roman" w:cs="Times New Roman"/>
          <w:i/>
          <w:iCs/>
          <w:color w:val="000000"/>
          <w:sz w:val="26"/>
          <w:szCs w:val="26"/>
          <w:lang w:eastAsia="lt-LT"/>
        </w:rPr>
        <w:t>counter</w:t>
      </w:r>
      <w:proofErr w:type="spellEnd"/>
      <w:r w:rsidRPr="00794D66">
        <w:rPr>
          <w:rFonts w:ascii="Times New Roman" w:eastAsia="SimSun" w:hAnsi="Times New Roman" w:cs="Times New Roman"/>
          <w:i/>
          <w:iCs/>
          <w:color w:val="000000"/>
          <w:sz w:val="26"/>
          <w:szCs w:val="26"/>
          <w:lang w:eastAsia="lt-LT"/>
        </w:rPr>
        <w:t xml:space="preserve"> </w:t>
      </w:r>
      <w:proofErr w:type="spellStart"/>
      <w:r w:rsidRPr="00794D66">
        <w:rPr>
          <w:rFonts w:ascii="Times New Roman" w:eastAsia="SimSun" w:hAnsi="Times New Roman" w:cs="Times New Roman"/>
          <w:i/>
          <w:iCs/>
          <w:color w:val="000000"/>
          <w:sz w:val="26"/>
          <w:szCs w:val="26"/>
          <w:lang w:eastAsia="lt-LT"/>
        </w:rPr>
        <w:t>guarantees</w:t>
      </w:r>
      <w:proofErr w:type="spellEnd"/>
      <w:r w:rsidRPr="00794D66">
        <w:rPr>
          <w:rFonts w:ascii="Times New Roman" w:eastAsia="SimSun" w:hAnsi="Times New Roman" w:cs="Times New Roman"/>
          <w:iCs/>
          <w:color w:val="000000"/>
          <w:sz w:val="26"/>
          <w:szCs w:val="26"/>
          <w:lang w:eastAsia="lt-LT"/>
        </w:rPr>
        <w:t xml:space="preserve">) ir kitų šaltinių lėšomis, pavyzdžiui, ES biudžeto ar ESM kapitalo garantija (pastarajam variantui reikėtų ESM sutarties pakeitimo, todėl tai galėtų būti tik vidutinės trukmės sprendimas). </w:t>
      </w:r>
    </w:p>
    <w:p w14:paraId="2C7DBEEA" w14:textId="77777777" w:rsidR="00F90D69" w:rsidRPr="00794D66" w:rsidRDefault="00F90D69" w:rsidP="00F90D69">
      <w:pPr>
        <w:autoSpaceDE w:val="0"/>
        <w:autoSpaceDN w:val="0"/>
        <w:adjustRightInd w:val="0"/>
        <w:spacing w:line="240" w:lineRule="auto"/>
        <w:jc w:val="both"/>
        <w:rPr>
          <w:rFonts w:ascii="Times New Roman" w:eastAsia="SimSun" w:hAnsi="Times New Roman" w:cs="Times New Roman"/>
          <w:iCs/>
          <w:color w:val="000000"/>
          <w:sz w:val="26"/>
          <w:szCs w:val="26"/>
          <w:lang w:eastAsia="lt-LT"/>
        </w:rPr>
      </w:pPr>
      <w:r w:rsidRPr="00794D66">
        <w:rPr>
          <w:rFonts w:ascii="Times New Roman" w:eastAsia="SimSun" w:hAnsi="Times New Roman" w:cs="Times New Roman"/>
          <w:iCs/>
          <w:color w:val="000000"/>
          <w:sz w:val="26"/>
          <w:szCs w:val="26"/>
          <w:lang w:eastAsia="lt-LT"/>
        </w:rPr>
        <w:t xml:space="preserve">Siūloma, kad VN įsipareigotų įnešti į Fondą ne mažiau nei jos kapitalo dalis EIB – </w:t>
      </w:r>
      <w:r w:rsidRPr="00794D66">
        <w:rPr>
          <w:rFonts w:ascii="Times New Roman" w:eastAsia="SimSun" w:hAnsi="Times New Roman" w:cs="Times New Roman"/>
          <w:iCs/>
          <w:color w:val="000000"/>
          <w:sz w:val="26"/>
          <w:szCs w:val="26"/>
          <w:u w:val="single"/>
          <w:lang w:eastAsia="lt-LT"/>
        </w:rPr>
        <w:t>pagal Lietuvos kapitalo dalį EIB (0,18 proc.) preliminariai prie Fondo reikėtų prisidėti suteikiant 45 mln. eurų garantiją.</w:t>
      </w:r>
      <w:r w:rsidRPr="00794D66">
        <w:rPr>
          <w:rFonts w:ascii="Times New Roman" w:eastAsia="SimSun" w:hAnsi="Times New Roman" w:cs="Times New Roman"/>
          <w:iCs/>
          <w:color w:val="000000"/>
          <w:sz w:val="26"/>
          <w:szCs w:val="26"/>
          <w:lang w:eastAsia="lt-LT"/>
        </w:rPr>
        <w:t xml:space="preserve"> Kadangi EIB yra pasirengęs suteikti Fondui pakankamą likvidumą, VN išankstiniai mokėjimai nebus reikalingi. Fondo lėšos būtų VN garantija (įsipareigojimas iki pareikalavimo), siekiant padengti EIB ir EIF vykdomų veiklų Fonde dalyvaujančiose VN nuostolius. Esant poreikiui, VN galėtų didinti Fondo vertę bei pasiekiamumą per EIB kapitalo didinimą. </w:t>
      </w:r>
    </w:p>
    <w:p w14:paraId="6F8C541A" w14:textId="67F68467" w:rsidR="00F90D69" w:rsidRPr="00794D66" w:rsidRDefault="00F90D69" w:rsidP="00F90D69">
      <w:pPr>
        <w:autoSpaceDE w:val="0"/>
        <w:autoSpaceDN w:val="0"/>
        <w:adjustRightInd w:val="0"/>
        <w:spacing w:line="240" w:lineRule="auto"/>
        <w:jc w:val="both"/>
        <w:rPr>
          <w:rFonts w:ascii="Times New Roman" w:eastAsia="SimSun" w:hAnsi="Times New Roman" w:cs="Times New Roman"/>
          <w:iCs/>
          <w:color w:val="000000"/>
          <w:sz w:val="26"/>
          <w:szCs w:val="26"/>
          <w:u w:val="single"/>
          <w:lang w:eastAsia="lt-LT"/>
        </w:rPr>
      </w:pPr>
      <w:r w:rsidRPr="00794D66">
        <w:rPr>
          <w:rFonts w:ascii="Times New Roman" w:eastAsia="SimSun" w:hAnsi="Times New Roman" w:cs="Times New Roman"/>
          <w:i/>
          <w:iCs/>
          <w:color w:val="000000"/>
          <w:sz w:val="26"/>
          <w:szCs w:val="26"/>
          <w:u w:val="single"/>
          <w:lang w:eastAsia="lt-LT"/>
        </w:rPr>
        <w:t>Kitų šalių pozicijos:</w:t>
      </w:r>
      <w:r w:rsidRPr="00794D66">
        <w:rPr>
          <w:rFonts w:ascii="Times New Roman" w:eastAsia="SimSun" w:hAnsi="Times New Roman" w:cs="Times New Roman"/>
          <w:iCs/>
          <w:color w:val="000000"/>
          <w:sz w:val="26"/>
          <w:szCs w:val="26"/>
          <w:u w:val="single"/>
          <w:lang w:eastAsia="lt-LT"/>
        </w:rPr>
        <w:t xml:space="preserve"> </w:t>
      </w:r>
      <w:r w:rsidRPr="00794D66">
        <w:rPr>
          <w:rFonts w:ascii="Times New Roman" w:eastAsia="SimSun" w:hAnsi="Times New Roman" w:cs="Times New Roman"/>
          <w:iCs/>
          <w:color w:val="000000"/>
          <w:sz w:val="26"/>
          <w:szCs w:val="26"/>
          <w:lang w:eastAsia="lt-LT"/>
        </w:rPr>
        <w:t xml:space="preserve">2020 m. balandžio 1 d. EWG </w:t>
      </w:r>
      <w:r w:rsidR="00A45163" w:rsidRPr="00794D66">
        <w:rPr>
          <w:rFonts w:ascii="Times New Roman" w:eastAsia="SimSun" w:hAnsi="Times New Roman" w:cs="Times New Roman"/>
          <w:iCs/>
          <w:color w:val="000000"/>
          <w:sz w:val="26"/>
          <w:szCs w:val="26"/>
          <w:lang w:eastAsia="lt-LT"/>
        </w:rPr>
        <w:t xml:space="preserve">ir balandžio 3 d. EIB </w:t>
      </w:r>
      <w:proofErr w:type="spellStart"/>
      <w:r w:rsidR="00A45163" w:rsidRPr="00794D66">
        <w:rPr>
          <w:rFonts w:ascii="Times New Roman" w:eastAsia="SimSun" w:hAnsi="Times New Roman" w:cs="Times New Roman"/>
          <w:iCs/>
          <w:color w:val="000000"/>
          <w:sz w:val="26"/>
          <w:szCs w:val="26"/>
          <w:lang w:eastAsia="lt-LT"/>
        </w:rPr>
        <w:t>BoD</w:t>
      </w:r>
      <w:proofErr w:type="spellEnd"/>
      <w:r w:rsidR="00A45163" w:rsidRPr="00794D66">
        <w:rPr>
          <w:rFonts w:ascii="Times New Roman" w:eastAsia="SimSun" w:hAnsi="Times New Roman" w:cs="Times New Roman"/>
          <w:iCs/>
          <w:color w:val="000000"/>
          <w:sz w:val="26"/>
          <w:szCs w:val="26"/>
          <w:lang w:eastAsia="lt-LT"/>
        </w:rPr>
        <w:t xml:space="preserve"> </w:t>
      </w:r>
      <w:r w:rsidR="00AF2388" w:rsidRPr="00794D66">
        <w:rPr>
          <w:rFonts w:ascii="Times New Roman" w:eastAsia="SimSun" w:hAnsi="Times New Roman" w:cs="Times New Roman"/>
          <w:iCs/>
          <w:color w:val="000000"/>
          <w:sz w:val="26"/>
          <w:szCs w:val="26"/>
          <w:lang w:eastAsia="lt-LT"/>
        </w:rPr>
        <w:t xml:space="preserve">posėdžių metu </w:t>
      </w:r>
      <w:r w:rsidRPr="00794D66">
        <w:rPr>
          <w:rFonts w:ascii="Times New Roman" w:eastAsia="SimSun" w:hAnsi="Times New Roman" w:cs="Times New Roman"/>
          <w:iCs/>
          <w:color w:val="000000"/>
          <w:sz w:val="26"/>
          <w:szCs w:val="26"/>
          <w:lang w:eastAsia="lt-LT"/>
        </w:rPr>
        <w:t xml:space="preserve">dauguma šalių fondo steigimą vertino pozityviai, tačiau turi daug techninių klausimų. </w:t>
      </w:r>
    </w:p>
    <w:p w14:paraId="75835C28" w14:textId="5D0BABE0" w:rsidR="00F90D69" w:rsidRPr="00794D66" w:rsidRDefault="00F90D69" w:rsidP="00F90D69">
      <w:pPr>
        <w:autoSpaceDE w:val="0"/>
        <w:autoSpaceDN w:val="0"/>
        <w:adjustRightInd w:val="0"/>
        <w:spacing w:after="120" w:line="240" w:lineRule="auto"/>
        <w:rPr>
          <w:rFonts w:ascii="Times New Roman" w:eastAsia="SimSun" w:hAnsi="Times New Roman" w:cs="Times New Roman"/>
          <w:b/>
          <w:color w:val="000000"/>
          <w:sz w:val="26"/>
          <w:szCs w:val="26"/>
          <w:u w:val="single"/>
          <w:lang w:eastAsia="lt-LT"/>
        </w:rPr>
      </w:pPr>
      <w:r w:rsidRPr="00794D66">
        <w:rPr>
          <w:rFonts w:ascii="Times New Roman" w:eastAsia="SimSun" w:hAnsi="Times New Roman" w:cs="Times New Roman"/>
          <w:b/>
          <w:color w:val="000000"/>
          <w:sz w:val="26"/>
          <w:szCs w:val="26"/>
          <w:u w:val="single"/>
          <w:lang w:eastAsia="lt-LT"/>
        </w:rPr>
        <w:t>Nauji Komisijos pasiūlymai:</w:t>
      </w:r>
    </w:p>
    <w:p w14:paraId="4B736E54" w14:textId="366041D6" w:rsidR="00F90D69" w:rsidRPr="00794D66" w:rsidRDefault="00F90D69" w:rsidP="006C00C0">
      <w:pPr>
        <w:autoSpaceDE w:val="0"/>
        <w:autoSpaceDN w:val="0"/>
        <w:adjustRightInd w:val="0"/>
        <w:spacing w:after="120" w:line="240" w:lineRule="auto"/>
        <w:jc w:val="both"/>
        <w:rPr>
          <w:rFonts w:ascii="Times New Roman" w:eastAsia="SimSun" w:hAnsi="Times New Roman" w:cs="Times New Roman"/>
          <w:b/>
          <w:color w:val="000000"/>
          <w:sz w:val="26"/>
          <w:szCs w:val="26"/>
          <w:u w:val="single"/>
          <w:lang w:eastAsia="lt-LT"/>
        </w:rPr>
      </w:pPr>
      <w:r w:rsidRPr="00794D66">
        <w:rPr>
          <w:rFonts w:ascii="Times New Roman" w:eastAsia="SimSun" w:hAnsi="Times New Roman" w:cs="Times New Roman"/>
          <w:b/>
          <w:color w:val="000000"/>
          <w:sz w:val="26"/>
          <w:szCs w:val="26"/>
          <w:u w:val="single"/>
          <w:lang w:eastAsia="lt-LT"/>
        </w:rPr>
        <w:t>Dėl Europinės nedarbo perdraudimo</w:t>
      </w:r>
      <w:r w:rsidR="006C00C0" w:rsidRPr="00794D66">
        <w:rPr>
          <w:rFonts w:ascii="Times New Roman" w:eastAsia="SimSun" w:hAnsi="Times New Roman" w:cs="Times New Roman"/>
          <w:b/>
          <w:color w:val="000000"/>
          <w:sz w:val="26"/>
          <w:szCs w:val="26"/>
          <w:u w:val="single"/>
          <w:lang w:eastAsia="lt-LT"/>
        </w:rPr>
        <w:t xml:space="preserve"> schemos</w:t>
      </w:r>
      <w:r w:rsidRPr="00794D66">
        <w:rPr>
          <w:rFonts w:ascii="Times New Roman" w:eastAsia="SimSun" w:hAnsi="Times New Roman" w:cs="Times New Roman"/>
          <w:b/>
          <w:color w:val="000000"/>
          <w:sz w:val="26"/>
          <w:szCs w:val="26"/>
          <w:u w:val="single"/>
          <w:lang w:eastAsia="lt-LT"/>
        </w:rPr>
        <w:t xml:space="preserve"> (SURE)</w:t>
      </w:r>
    </w:p>
    <w:p w14:paraId="38DCD8A3" w14:textId="40D68D37" w:rsidR="006C00C0" w:rsidRPr="00794D66" w:rsidRDefault="006C00C0" w:rsidP="006C00C0">
      <w:pPr>
        <w:autoSpaceDE w:val="0"/>
        <w:autoSpaceDN w:val="0"/>
        <w:adjustRightInd w:val="0"/>
        <w:spacing w:after="120" w:line="240" w:lineRule="auto"/>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lang w:eastAsia="lt-LT"/>
        </w:rPr>
        <w:t>Pasiūlymu siekiama šalia jau anksčiau priimtų ES  lygmens priemonių kovojant su COVID-19 pandemijos ekonominėmis ir socialinėmis pasekmėmis suteikti paveiktoms VN finansinę paramą susidūrus su staigiu viešųjų išlaidų, skirtų užimtumo išsaugojimui, padidėjimu. Šios priemonės įgyvendinimas pademonstruotų ES šalių solidarumą joms sutinkant paremti viena kitą skiriant papildomų finansinių išteklių paskolų pavidalu.</w:t>
      </w:r>
    </w:p>
    <w:p w14:paraId="58045923" w14:textId="15461488" w:rsidR="006C00C0" w:rsidRPr="00794D66" w:rsidRDefault="006C00C0" w:rsidP="006C00C0">
      <w:pPr>
        <w:autoSpaceDE w:val="0"/>
        <w:autoSpaceDN w:val="0"/>
        <w:adjustRightInd w:val="0"/>
        <w:spacing w:after="120" w:line="240" w:lineRule="auto"/>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lang w:eastAsia="lt-LT"/>
        </w:rPr>
        <w:t>SURE būtų laikinas visoms ES VN taikomas instrumentas, skirtas konkrečiai COVID-19 pasekmių mažinimui. Parama pagal šią priemonę būtų teikiama </w:t>
      </w:r>
      <w:r w:rsidRPr="00794D66">
        <w:rPr>
          <w:rFonts w:ascii="Times New Roman" w:eastAsia="SimSun" w:hAnsi="Times New Roman" w:cs="Times New Roman"/>
          <w:b/>
          <w:bCs/>
          <w:color w:val="000000"/>
          <w:sz w:val="26"/>
          <w:szCs w:val="26"/>
          <w:lang w:eastAsia="lt-LT"/>
        </w:rPr>
        <w:t>paskolų forma, o bendra apimtis siektų 100 mlrd. EUR.</w:t>
      </w:r>
      <w:r w:rsidRPr="00794D66">
        <w:rPr>
          <w:rFonts w:ascii="Times New Roman" w:eastAsia="SimSun" w:hAnsi="Times New Roman" w:cs="Times New Roman"/>
          <w:color w:val="000000"/>
          <w:sz w:val="26"/>
          <w:szCs w:val="26"/>
          <w:lang w:eastAsia="lt-LT"/>
        </w:rPr>
        <w:t> EK pasiskolinus finansų rinkose, siekiant suteikti paskolas paveiktoms VN, kylantys neapibrėžtieji įsipareigojimai (</w:t>
      </w:r>
      <w:proofErr w:type="spellStart"/>
      <w:r w:rsidRPr="00794D66">
        <w:rPr>
          <w:rFonts w:ascii="Times New Roman" w:eastAsia="SimSun" w:hAnsi="Times New Roman" w:cs="Times New Roman"/>
          <w:color w:val="000000"/>
          <w:sz w:val="26"/>
          <w:szCs w:val="26"/>
          <w:lang w:eastAsia="lt-LT"/>
        </w:rPr>
        <w:t>en</w:t>
      </w:r>
      <w:proofErr w:type="spellEnd"/>
      <w:r w:rsidRPr="00794D66">
        <w:rPr>
          <w:rFonts w:ascii="Times New Roman" w:eastAsia="SimSun" w:hAnsi="Times New Roman" w:cs="Times New Roman"/>
          <w:color w:val="000000"/>
          <w:sz w:val="26"/>
          <w:szCs w:val="26"/>
          <w:lang w:eastAsia="lt-LT"/>
        </w:rPr>
        <w:t>. </w:t>
      </w:r>
      <w:proofErr w:type="spellStart"/>
      <w:r w:rsidRPr="00794D66">
        <w:rPr>
          <w:rFonts w:ascii="Times New Roman" w:eastAsia="SimSun" w:hAnsi="Times New Roman" w:cs="Times New Roman"/>
          <w:i/>
          <w:iCs/>
          <w:color w:val="000000"/>
          <w:sz w:val="26"/>
          <w:szCs w:val="26"/>
          <w:lang w:eastAsia="lt-LT"/>
        </w:rPr>
        <w:t>contingent</w:t>
      </w:r>
      <w:proofErr w:type="spellEnd"/>
      <w:r w:rsidRPr="00794D66">
        <w:rPr>
          <w:rFonts w:ascii="Times New Roman" w:eastAsia="SimSun" w:hAnsi="Times New Roman" w:cs="Times New Roman"/>
          <w:i/>
          <w:iCs/>
          <w:color w:val="000000"/>
          <w:sz w:val="26"/>
          <w:szCs w:val="26"/>
          <w:lang w:eastAsia="lt-LT"/>
        </w:rPr>
        <w:t xml:space="preserve"> </w:t>
      </w:r>
      <w:proofErr w:type="spellStart"/>
      <w:r w:rsidRPr="00794D66">
        <w:rPr>
          <w:rFonts w:ascii="Times New Roman" w:eastAsia="SimSun" w:hAnsi="Times New Roman" w:cs="Times New Roman"/>
          <w:i/>
          <w:iCs/>
          <w:color w:val="000000"/>
          <w:sz w:val="26"/>
          <w:szCs w:val="26"/>
          <w:lang w:eastAsia="lt-LT"/>
        </w:rPr>
        <w:t>liabilities</w:t>
      </w:r>
      <w:proofErr w:type="spellEnd"/>
      <w:r w:rsidRPr="00794D66">
        <w:rPr>
          <w:rFonts w:ascii="Times New Roman" w:eastAsia="SimSun" w:hAnsi="Times New Roman" w:cs="Times New Roman"/>
          <w:color w:val="000000"/>
          <w:sz w:val="26"/>
          <w:szCs w:val="26"/>
          <w:lang w:eastAsia="lt-LT"/>
        </w:rPr>
        <w:t>) bus suderinti su ES biudžeto apribojimais </w:t>
      </w:r>
      <w:r w:rsidRPr="00794D66">
        <w:rPr>
          <w:rFonts w:ascii="Times New Roman" w:eastAsia="SimSun" w:hAnsi="Times New Roman" w:cs="Times New Roman"/>
          <w:b/>
          <w:bCs/>
          <w:color w:val="000000"/>
          <w:sz w:val="26"/>
          <w:szCs w:val="26"/>
          <w:lang w:eastAsia="lt-LT"/>
        </w:rPr>
        <w:t>VN garantijomis, kurios sudarys 25% suteiktų paskolų</w:t>
      </w:r>
      <w:r w:rsidRPr="00794D66">
        <w:rPr>
          <w:rFonts w:ascii="Times New Roman" w:eastAsia="SimSun" w:hAnsi="Times New Roman" w:cs="Times New Roman"/>
          <w:color w:val="000000"/>
          <w:sz w:val="26"/>
          <w:szCs w:val="26"/>
          <w:lang w:eastAsia="lt-LT"/>
        </w:rPr>
        <w:t>. Šios garantijos bus apskaičiuojamos pagal kiekvienos šalies Bendrųjų nacionalinių pajamų (BNP) dalį nuo visos ES BNP. Šios VN garantijos turėtų būti patikimos, neatšaukiamos ir pareikalaujamos (</w:t>
      </w:r>
      <w:proofErr w:type="spellStart"/>
      <w:r w:rsidRPr="00794D66">
        <w:rPr>
          <w:rFonts w:ascii="Times New Roman" w:eastAsia="SimSun" w:hAnsi="Times New Roman" w:cs="Times New Roman"/>
          <w:color w:val="000000"/>
          <w:sz w:val="26"/>
          <w:szCs w:val="26"/>
          <w:lang w:eastAsia="lt-LT"/>
        </w:rPr>
        <w:t>en</w:t>
      </w:r>
      <w:proofErr w:type="spellEnd"/>
      <w:r w:rsidRPr="00794D66">
        <w:rPr>
          <w:rFonts w:ascii="Times New Roman" w:eastAsia="SimSun" w:hAnsi="Times New Roman" w:cs="Times New Roman"/>
          <w:color w:val="000000"/>
          <w:sz w:val="26"/>
          <w:szCs w:val="26"/>
          <w:lang w:eastAsia="lt-LT"/>
        </w:rPr>
        <w:t>. </w:t>
      </w:r>
      <w:proofErr w:type="spellStart"/>
      <w:r w:rsidRPr="00794D66">
        <w:rPr>
          <w:rFonts w:ascii="Times New Roman" w:eastAsia="SimSun" w:hAnsi="Times New Roman" w:cs="Times New Roman"/>
          <w:i/>
          <w:iCs/>
          <w:color w:val="000000"/>
          <w:sz w:val="26"/>
          <w:szCs w:val="26"/>
          <w:lang w:eastAsia="lt-LT"/>
        </w:rPr>
        <w:t>callable</w:t>
      </w:r>
      <w:proofErr w:type="spellEnd"/>
      <w:r w:rsidRPr="00794D66">
        <w:rPr>
          <w:rFonts w:ascii="Times New Roman" w:eastAsia="SimSun" w:hAnsi="Times New Roman" w:cs="Times New Roman"/>
          <w:color w:val="000000"/>
          <w:sz w:val="26"/>
          <w:szCs w:val="26"/>
          <w:lang w:eastAsia="lt-LT"/>
        </w:rPr>
        <w:t>) tokiu būdu išvengiant išankstinių piniginių įnašų ir užtikrinant aukštą kredito reitingą.</w:t>
      </w:r>
    </w:p>
    <w:p w14:paraId="5AED5507" w14:textId="4642BB79" w:rsidR="006C00C0" w:rsidRPr="00794D66" w:rsidRDefault="006C00C0" w:rsidP="006C00C0">
      <w:pPr>
        <w:autoSpaceDE w:val="0"/>
        <w:autoSpaceDN w:val="0"/>
        <w:adjustRightInd w:val="0"/>
        <w:spacing w:after="120" w:line="240" w:lineRule="auto"/>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lang w:eastAsia="lt-LT"/>
        </w:rPr>
        <w:t xml:space="preserve">EK pasiūlyme numatoma, kad SURE veiktų kaip „antroji gynybos linija“ ir papildytų nacionalines sutrumpinto darbo laiko schemas siekiant apsaugoti darbo vietas, darbuotojus ir savarankiškai dirbančius. </w:t>
      </w:r>
    </w:p>
    <w:p w14:paraId="0A7B1D34" w14:textId="77D8F5EB" w:rsidR="006C00C0" w:rsidRPr="00794D66" w:rsidRDefault="006C00C0" w:rsidP="006C00C0">
      <w:pPr>
        <w:autoSpaceDE w:val="0"/>
        <w:autoSpaceDN w:val="0"/>
        <w:adjustRightInd w:val="0"/>
        <w:spacing w:after="120" w:line="240" w:lineRule="auto"/>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lang w:eastAsia="lt-LT"/>
        </w:rPr>
        <w:t>VN paprašius paramos, EK konsultacijų su VN institucijomis metu būtų vertinami įrodymai dėl staigaus ir ženklaus faktinių ar planuojamų viešųjų išlaidų, tiesiogiai susijusių su sutrumpinto darbo laiko schemų sukūrimu ir išplėtimu dėl COVID-19 protrūkio, padidėjimo. EK pateikus pasiūlymą Tarybai, ši kvalifikuota balsų dauguma priimtų sprendimą dėl finansinės paramos skyrimo. EK ir paramos siekianti VN pasirašytų įgyvendinimo susitarimą.</w:t>
      </w:r>
    </w:p>
    <w:p w14:paraId="70C77EEC" w14:textId="301C0306" w:rsidR="00F90D69" w:rsidRDefault="006C00C0" w:rsidP="006C00C0">
      <w:pPr>
        <w:autoSpaceDE w:val="0"/>
        <w:autoSpaceDN w:val="0"/>
        <w:adjustRightInd w:val="0"/>
        <w:spacing w:after="120" w:line="240" w:lineRule="auto"/>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u w:val="single"/>
          <w:lang w:eastAsia="lt-LT"/>
        </w:rPr>
        <w:t>Pasiūlymo teisinis pagrindas yra Sutarties dėl ES veikimo 122 str.</w:t>
      </w:r>
      <w:r w:rsidRPr="00794D66">
        <w:rPr>
          <w:rFonts w:ascii="Times New Roman" w:eastAsia="SimSun" w:hAnsi="Times New Roman" w:cs="Times New Roman"/>
          <w:color w:val="000000"/>
          <w:sz w:val="26"/>
          <w:szCs w:val="26"/>
          <w:lang w:eastAsia="lt-LT"/>
        </w:rPr>
        <w:t> Pagal panašų modelį finansų krizės metu buvo įsteigtas Europos Finansinio Stabilumo Mechanizmas (EFSM), iš kurio paramą 2011-2015 m. gavo Airija, Portugalija ir Graikija.</w:t>
      </w:r>
    </w:p>
    <w:p w14:paraId="2624A300" w14:textId="77777777" w:rsidR="00794D66" w:rsidRPr="00794D66" w:rsidRDefault="00794D66" w:rsidP="006C00C0">
      <w:pPr>
        <w:autoSpaceDE w:val="0"/>
        <w:autoSpaceDN w:val="0"/>
        <w:adjustRightInd w:val="0"/>
        <w:spacing w:after="120" w:line="240" w:lineRule="auto"/>
        <w:rPr>
          <w:rFonts w:ascii="Times New Roman" w:eastAsia="SimSun" w:hAnsi="Times New Roman" w:cs="Times New Roman"/>
          <w:b/>
          <w:bCs/>
          <w:i/>
          <w:iCs/>
          <w:color w:val="000000"/>
          <w:sz w:val="26"/>
          <w:szCs w:val="26"/>
          <w:u w:val="single"/>
          <w:lang w:eastAsia="lt-LT"/>
        </w:rPr>
      </w:pPr>
    </w:p>
    <w:p w14:paraId="305D1F4B" w14:textId="49FADFF8" w:rsidR="00F90D69" w:rsidRPr="00794D66" w:rsidRDefault="00AF2388" w:rsidP="00E87204">
      <w:pPr>
        <w:autoSpaceDE w:val="0"/>
        <w:autoSpaceDN w:val="0"/>
        <w:adjustRightInd w:val="0"/>
        <w:spacing w:after="120" w:line="240" w:lineRule="auto"/>
        <w:jc w:val="both"/>
        <w:rPr>
          <w:rFonts w:ascii="Times New Roman" w:eastAsia="SimSun" w:hAnsi="Times New Roman" w:cs="Times New Roman"/>
          <w:b/>
          <w:bCs/>
          <w:iCs/>
          <w:color w:val="000000"/>
          <w:sz w:val="26"/>
          <w:szCs w:val="26"/>
          <w:u w:val="single"/>
          <w:lang w:eastAsia="lt-LT"/>
        </w:rPr>
      </w:pPr>
      <w:r w:rsidRPr="00794D66">
        <w:rPr>
          <w:rFonts w:ascii="Times New Roman" w:hAnsi="Times New Roman" w:cs="Times New Roman"/>
          <w:b/>
          <w:color w:val="000000"/>
          <w:sz w:val="26"/>
          <w:szCs w:val="26"/>
        </w:rPr>
        <w:lastRenderedPageBreak/>
        <w:t>Dėl papildomų ES biudžeto lėšų mobilizavimo ekstremalios padėties poreikiams (</w:t>
      </w:r>
      <w:proofErr w:type="spellStart"/>
      <w:r w:rsidR="00F90D69" w:rsidRPr="00794D66">
        <w:rPr>
          <w:rFonts w:ascii="Times New Roman" w:eastAsia="SimSun" w:hAnsi="Times New Roman" w:cs="Times New Roman"/>
          <w:b/>
          <w:bCs/>
          <w:iCs/>
          <w:color w:val="000000"/>
          <w:sz w:val="26"/>
          <w:szCs w:val="26"/>
          <w:u w:val="single"/>
          <w:lang w:eastAsia="lt-LT"/>
        </w:rPr>
        <w:t>Activation</w:t>
      </w:r>
      <w:proofErr w:type="spellEnd"/>
      <w:r w:rsidR="00F90D69" w:rsidRPr="00794D66">
        <w:rPr>
          <w:rFonts w:ascii="Times New Roman" w:eastAsia="SimSun" w:hAnsi="Times New Roman" w:cs="Times New Roman"/>
          <w:b/>
          <w:bCs/>
          <w:iCs/>
          <w:color w:val="000000"/>
          <w:sz w:val="26"/>
          <w:szCs w:val="26"/>
          <w:u w:val="single"/>
          <w:lang w:eastAsia="lt-LT"/>
        </w:rPr>
        <w:t xml:space="preserve"> </w:t>
      </w:r>
      <w:proofErr w:type="spellStart"/>
      <w:r w:rsidR="00F90D69" w:rsidRPr="00794D66">
        <w:rPr>
          <w:rFonts w:ascii="Times New Roman" w:eastAsia="SimSun" w:hAnsi="Times New Roman" w:cs="Times New Roman"/>
          <w:b/>
          <w:bCs/>
          <w:iCs/>
          <w:color w:val="000000"/>
          <w:sz w:val="26"/>
          <w:szCs w:val="26"/>
          <w:u w:val="single"/>
          <w:lang w:eastAsia="lt-LT"/>
        </w:rPr>
        <w:t>of</w:t>
      </w:r>
      <w:proofErr w:type="spellEnd"/>
      <w:r w:rsidR="00F90D69" w:rsidRPr="00794D66">
        <w:rPr>
          <w:rFonts w:ascii="Times New Roman" w:eastAsia="SimSun" w:hAnsi="Times New Roman" w:cs="Times New Roman"/>
          <w:b/>
          <w:bCs/>
          <w:iCs/>
          <w:color w:val="000000"/>
          <w:sz w:val="26"/>
          <w:szCs w:val="26"/>
          <w:u w:val="single"/>
          <w:lang w:eastAsia="lt-LT"/>
        </w:rPr>
        <w:t xml:space="preserve"> </w:t>
      </w:r>
      <w:proofErr w:type="spellStart"/>
      <w:r w:rsidR="00F90D69" w:rsidRPr="00794D66">
        <w:rPr>
          <w:rFonts w:ascii="Times New Roman" w:eastAsia="SimSun" w:hAnsi="Times New Roman" w:cs="Times New Roman"/>
          <w:b/>
          <w:bCs/>
          <w:iCs/>
          <w:color w:val="000000"/>
          <w:sz w:val="26"/>
          <w:szCs w:val="26"/>
          <w:u w:val="single"/>
          <w:lang w:eastAsia="lt-LT"/>
        </w:rPr>
        <w:t>Emergency</w:t>
      </w:r>
      <w:proofErr w:type="spellEnd"/>
      <w:r w:rsidR="00F90D69" w:rsidRPr="00794D66">
        <w:rPr>
          <w:rFonts w:ascii="Times New Roman" w:eastAsia="SimSun" w:hAnsi="Times New Roman" w:cs="Times New Roman"/>
          <w:b/>
          <w:bCs/>
          <w:iCs/>
          <w:color w:val="000000"/>
          <w:sz w:val="26"/>
          <w:szCs w:val="26"/>
          <w:u w:val="single"/>
          <w:lang w:eastAsia="lt-LT"/>
        </w:rPr>
        <w:t xml:space="preserve"> </w:t>
      </w:r>
      <w:proofErr w:type="spellStart"/>
      <w:r w:rsidR="00F90D69" w:rsidRPr="00794D66">
        <w:rPr>
          <w:rFonts w:ascii="Times New Roman" w:eastAsia="SimSun" w:hAnsi="Times New Roman" w:cs="Times New Roman"/>
          <w:b/>
          <w:bCs/>
          <w:iCs/>
          <w:color w:val="000000"/>
          <w:sz w:val="26"/>
          <w:szCs w:val="26"/>
          <w:u w:val="single"/>
          <w:lang w:eastAsia="lt-LT"/>
        </w:rPr>
        <w:t>support</w:t>
      </w:r>
      <w:proofErr w:type="spellEnd"/>
      <w:r w:rsidR="00F90D69" w:rsidRPr="00794D66">
        <w:rPr>
          <w:rFonts w:ascii="Times New Roman" w:eastAsia="SimSun" w:hAnsi="Times New Roman" w:cs="Times New Roman"/>
          <w:b/>
          <w:bCs/>
          <w:iCs/>
          <w:color w:val="000000"/>
          <w:sz w:val="26"/>
          <w:szCs w:val="26"/>
          <w:u w:val="single"/>
          <w:lang w:eastAsia="lt-LT"/>
        </w:rPr>
        <w:t xml:space="preserve"> </w:t>
      </w:r>
      <w:proofErr w:type="spellStart"/>
      <w:r w:rsidR="00F90D69" w:rsidRPr="00794D66">
        <w:rPr>
          <w:rFonts w:ascii="Times New Roman" w:eastAsia="SimSun" w:hAnsi="Times New Roman" w:cs="Times New Roman"/>
          <w:b/>
          <w:bCs/>
          <w:iCs/>
          <w:color w:val="000000"/>
          <w:sz w:val="26"/>
          <w:szCs w:val="26"/>
          <w:u w:val="single"/>
          <w:lang w:eastAsia="lt-LT"/>
        </w:rPr>
        <w:t>instrument</w:t>
      </w:r>
      <w:proofErr w:type="spellEnd"/>
      <w:r w:rsidR="00F90D69" w:rsidRPr="00794D66">
        <w:rPr>
          <w:rFonts w:ascii="Times New Roman" w:eastAsia="SimSun" w:hAnsi="Times New Roman" w:cs="Times New Roman"/>
          <w:b/>
          <w:bCs/>
          <w:iCs/>
          <w:color w:val="000000"/>
          <w:sz w:val="26"/>
          <w:szCs w:val="26"/>
          <w:u w:val="single"/>
          <w:lang w:eastAsia="lt-LT"/>
        </w:rPr>
        <w:t xml:space="preserve"> (ESI)</w:t>
      </w:r>
      <w:r w:rsidRPr="00794D66">
        <w:rPr>
          <w:rFonts w:ascii="Times New Roman" w:eastAsia="SimSun" w:hAnsi="Times New Roman" w:cs="Times New Roman"/>
          <w:b/>
          <w:bCs/>
          <w:iCs/>
          <w:color w:val="000000"/>
          <w:sz w:val="26"/>
          <w:szCs w:val="26"/>
          <w:u w:val="single"/>
          <w:lang w:eastAsia="lt-LT"/>
        </w:rPr>
        <w:t>)</w:t>
      </w:r>
    </w:p>
    <w:p w14:paraId="7F8647F3" w14:textId="48CA5299" w:rsidR="00F90D69" w:rsidRPr="00794D66" w:rsidRDefault="00F90D69" w:rsidP="00F90D69">
      <w:pPr>
        <w:autoSpaceDE w:val="0"/>
        <w:autoSpaceDN w:val="0"/>
        <w:adjustRightInd w:val="0"/>
        <w:spacing w:line="240" w:lineRule="auto"/>
        <w:jc w:val="both"/>
        <w:rPr>
          <w:rFonts w:ascii="Times New Roman" w:eastAsia="SimSun" w:hAnsi="Times New Roman" w:cs="Times New Roman"/>
          <w:b/>
          <w:bCs/>
          <w:color w:val="000000"/>
          <w:sz w:val="26"/>
          <w:szCs w:val="26"/>
          <w:lang w:eastAsia="lt-LT"/>
        </w:rPr>
      </w:pPr>
      <w:r w:rsidRPr="00794D66">
        <w:rPr>
          <w:rFonts w:ascii="Times New Roman" w:eastAsia="SimSun" w:hAnsi="Times New Roman" w:cs="Times New Roman"/>
          <w:b/>
          <w:bCs/>
          <w:color w:val="000000"/>
          <w:sz w:val="26"/>
          <w:szCs w:val="26"/>
          <w:lang w:eastAsia="lt-LT"/>
        </w:rPr>
        <w:t>ESI tik</w:t>
      </w:r>
      <w:r w:rsidR="00EC34F3" w:rsidRPr="00794D66">
        <w:rPr>
          <w:rFonts w:ascii="Times New Roman" w:eastAsia="SimSun" w:hAnsi="Times New Roman" w:cs="Times New Roman"/>
          <w:b/>
          <w:bCs/>
          <w:color w:val="000000"/>
          <w:sz w:val="26"/>
          <w:szCs w:val="26"/>
          <w:lang w:eastAsia="lt-LT"/>
        </w:rPr>
        <w:t>s</w:t>
      </w:r>
      <w:r w:rsidRPr="00794D66">
        <w:rPr>
          <w:rFonts w:ascii="Times New Roman" w:eastAsia="SimSun" w:hAnsi="Times New Roman" w:cs="Times New Roman"/>
          <w:b/>
          <w:bCs/>
          <w:color w:val="000000"/>
          <w:sz w:val="26"/>
          <w:szCs w:val="26"/>
          <w:lang w:eastAsia="lt-LT"/>
        </w:rPr>
        <w:t>las – skubi pagalba ir parama tiek žmogaus sukeltų, tiek gaivalinių nelaimių atveju ES viduje</w:t>
      </w:r>
      <w:r w:rsidRPr="00794D66">
        <w:rPr>
          <w:rFonts w:ascii="Times New Roman" w:eastAsia="SimSun" w:hAnsi="Times New Roman" w:cs="Times New Roman"/>
          <w:color w:val="000000"/>
          <w:sz w:val="26"/>
          <w:szCs w:val="26"/>
          <w:lang w:eastAsia="lt-LT"/>
        </w:rPr>
        <w:t xml:space="preserve"> (siekiant patenkinti humanitarinius poreikius: pagalba maisto srityje, skubios sveikatos priežiūros paslaugos, aprūpinimas būstu, vandeniu, sanitarijos bei higienos priemonėmis, apsaugos ir švietimo paslaugų teikimas) </w:t>
      </w:r>
      <w:r w:rsidRPr="00794D66">
        <w:rPr>
          <w:rFonts w:ascii="Times New Roman" w:eastAsia="SimSun" w:hAnsi="Times New Roman" w:cs="Times New Roman"/>
          <w:b/>
          <w:bCs/>
          <w:color w:val="000000"/>
          <w:sz w:val="26"/>
          <w:szCs w:val="26"/>
          <w:lang w:eastAsia="lt-LT"/>
        </w:rPr>
        <w:t xml:space="preserve">tik išimtinėmis aplinkybėmis, kai kitų priemonių, kuriomis gali naudotis </w:t>
      </w:r>
      <w:proofErr w:type="spellStart"/>
      <w:r w:rsidRPr="00794D66">
        <w:rPr>
          <w:rFonts w:ascii="Times New Roman" w:eastAsia="SimSun" w:hAnsi="Times New Roman" w:cs="Times New Roman"/>
          <w:b/>
          <w:bCs/>
          <w:color w:val="000000"/>
          <w:sz w:val="26"/>
          <w:szCs w:val="26"/>
          <w:lang w:eastAsia="lt-LT"/>
        </w:rPr>
        <w:t>VNs</w:t>
      </w:r>
      <w:proofErr w:type="spellEnd"/>
      <w:r w:rsidRPr="00794D66">
        <w:rPr>
          <w:rFonts w:ascii="Times New Roman" w:eastAsia="SimSun" w:hAnsi="Times New Roman" w:cs="Times New Roman"/>
          <w:b/>
          <w:bCs/>
          <w:color w:val="000000"/>
          <w:sz w:val="26"/>
          <w:szCs w:val="26"/>
          <w:lang w:eastAsia="lt-LT"/>
        </w:rPr>
        <w:t xml:space="preserve"> ir ES, nepakanka.</w:t>
      </w:r>
    </w:p>
    <w:p w14:paraId="5D832EF6" w14:textId="77777777" w:rsidR="00F90D69" w:rsidRPr="00794D66" w:rsidRDefault="00F90D69" w:rsidP="00F90D69">
      <w:pPr>
        <w:autoSpaceDE w:val="0"/>
        <w:autoSpaceDN w:val="0"/>
        <w:adjustRightInd w:val="0"/>
        <w:spacing w:line="240" w:lineRule="auto"/>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b/>
          <w:bCs/>
          <w:color w:val="000000"/>
          <w:sz w:val="26"/>
          <w:szCs w:val="26"/>
          <w:lang w:eastAsia="lt-LT"/>
        </w:rPr>
        <w:t>Finansavimo būdai:</w:t>
      </w:r>
      <w:r w:rsidRPr="00794D66">
        <w:rPr>
          <w:rFonts w:ascii="Times New Roman" w:eastAsia="SimSun" w:hAnsi="Times New Roman" w:cs="Times New Roman"/>
          <w:color w:val="000000"/>
          <w:sz w:val="26"/>
          <w:szCs w:val="26"/>
          <w:lang w:eastAsia="lt-LT"/>
        </w:rPr>
        <w:t xml:space="preserve"> </w:t>
      </w:r>
    </w:p>
    <w:p w14:paraId="0CAD6C9C" w14:textId="77777777" w:rsidR="00F90D69" w:rsidRPr="00794D66" w:rsidRDefault="00F90D69" w:rsidP="00F90D69">
      <w:pPr>
        <w:autoSpaceDE w:val="0"/>
        <w:autoSpaceDN w:val="0"/>
        <w:adjustRightInd w:val="0"/>
        <w:spacing w:line="240" w:lineRule="auto"/>
        <w:ind w:left="740" w:hanging="380"/>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lang w:eastAsia="lt-LT"/>
        </w:rPr>
        <w:t>(1)</w:t>
      </w:r>
      <w:r w:rsidRPr="00794D66">
        <w:rPr>
          <w:rFonts w:ascii="Times New Roman" w:eastAsia="SimSun" w:hAnsi="Times New Roman" w:cs="Times New Roman"/>
          <w:color w:val="000000"/>
          <w:sz w:val="26"/>
          <w:szCs w:val="26"/>
          <w:lang w:eastAsia="lt-LT"/>
        </w:rPr>
        <w:tab/>
      </w:r>
      <w:r w:rsidRPr="00794D66">
        <w:rPr>
          <w:rFonts w:ascii="Times New Roman" w:eastAsia="SimSun" w:hAnsi="Times New Roman" w:cs="Times New Roman"/>
          <w:b/>
          <w:bCs/>
          <w:color w:val="000000"/>
          <w:sz w:val="26"/>
          <w:szCs w:val="26"/>
          <w:lang w:eastAsia="lt-LT"/>
        </w:rPr>
        <w:t xml:space="preserve">ES biudžetas (1,5 mlrd. </w:t>
      </w:r>
      <w:proofErr w:type="spellStart"/>
      <w:r w:rsidRPr="00794D66">
        <w:rPr>
          <w:rFonts w:ascii="Times New Roman" w:eastAsia="SimSun" w:hAnsi="Times New Roman" w:cs="Times New Roman"/>
          <w:b/>
          <w:bCs/>
          <w:color w:val="000000"/>
          <w:sz w:val="26"/>
          <w:szCs w:val="26"/>
          <w:lang w:eastAsia="lt-LT"/>
        </w:rPr>
        <w:t>eur</w:t>
      </w:r>
      <w:proofErr w:type="spellEnd"/>
      <w:r w:rsidRPr="00794D66">
        <w:rPr>
          <w:rFonts w:ascii="Times New Roman" w:eastAsia="SimSun" w:hAnsi="Times New Roman" w:cs="Times New Roman"/>
          <w:b/>
          <w:bCs/>
          <w:color w:val="000000"/>
          <w:sz w:val="26"/>
          <w:szCs w:val="26"/>
          <w:lang w:eastAsia="lt-LT"/>
        </w:rPr>
        <w:t xml:space="preserve"> mokėjimų šiems metams)  </w:t>
      </w:r>
      <w:r w:rsidRPr="00794D66">
        <w:rPr>
          <w:rFonts w:ascii="Times New Roman" w:eastAsia="SimSun" w:hAnsi="Times New Roman" w:cs="Times New Roman"/>
          <w:color w:val="000000"/>
          <w:sz w:val="26"/>
          <w:szCs w:val="26"/>
          <w:lang w:eastAsia="lt-LT"/>
        </w:rPr>
        <w:t xml:space="preserve">ir </w:t>
      </w:r>
    </w:p>
    <w:p w14:paraId="742C5CF5" w14:textId="77777777" w:rsidR="00F90D69" w:rsidRPr="00794D66" w:rsidRDefault="00F90D69" w:rsidP="00F90D69">
      <w:pPr>
        <w:autoSpaceDE w:val="0"/>
        <w:autoSpaceDN w:val="0"/>
        <w:adjustRightInd w:val="0"/>
        <w:spacing w:line="240" w:lineRule="auto"/>
        <w:ind w:left="740" w:hanging="380"/>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lang w:eastAsia="lt-LT"/>
        </w:rPr>
        <w:t>(2)</w:t>
      </w:r>
      <w:r w:rsidRPr="00794D66">
        <w:rPr>
          <w:rFonts w:ascii="Times New Roman" w:eastAsia="SimSun" w:hAnsi="Times New Roman" w:cs="Times New Roman"/>
          <w:color w:val="000000"/>
          <w:sz w:val="26"/>
          <w:szCs w:val="26"/>
          <w:lang w:eastAsia="lt-LT"/>
        </w:rPr>
        <w:tab/>
        <w:t xml:space="preserve">viešųjų ar privačių </w:t>
      </w:r>
      <w:r w:rsidRPr="00794D66">
        <w:rPr>
          <w:rFonts w:ascii="Times New Roman" w:eastAsia="SimSun" w:hAnsi="Times New Roman" w:cs="Times New Roman"/>
          <w:b/>
          <w:bCs/>
          <w:color w:val="000000"/>
          <w:sz w:val="26"/>
          <w:szCs w:val="26"/>
          <w:lang w:eastAsia="lt-LT"/>
        </w:rPr>
        <w:t>paramos</w:t>
      </w:r>
      <w:r w:rsidRPr="00794D66">
        <w:rPr>
          <w:rFonts w:ascii="Times New Roman" w:eastAsia="SimSun" w:hAnsi="Times New Roman" w:cs="Times New Roman"/>
          <w:color w:val="000000"/>
          <w:sz w:val="26"/>
          <w:szCs w:val="26"/>
          <w:lang w:eastAsia="lt-LT"/>
        </w:rPr>
        <w:t xml:space="preserve"> </w:t>
      </w:r>
      <w:r w:rsidRPr="00794D66">
        <w:rPr>
          <w:rFonts w:ascii="Times New Roman" w:eastAsia="SimSun" w:hAnsi="Times New Roman" w:cs="Times New Roman"/>
          <w:b/>
          <w:bCs/>
          <w:color w:val="000000"/>
          <w:sz w:val="26"/>
          <w:szCs w:val="26"/>
          <w:lang w:eastAsia="lt-LT"/>
        </w:rPr>
        <w:t>teikėjų</w:t>
      </w:r>
      <w:r w:rsidRPr="00794D66">
        <w:rPr>
          <w:rFonts w:ascii="Times New Roman" w:eastAsia="SimSun" w:hAnsi="Times New Roman" w:cs="Times New Roman"/>
          <w:color w:val="000000"/>
          <w:sz w:val="26"/>
          <w:szCs w:val="26"/>
          <w:lang w:eastAsia="lt-LT"/>
        </w:rPr>
        <w:t xml:space="preserve"> </w:t>
      </w:r>
      <w:r w:rsidRPr="00794D66">
        <w:rPr>
          <w:rFonts w:ascii="Times New Roman" w:eastAsia="SimSun" w:hAnsi="Times New Roman" w:cs="Times New Roman"/>
          <w:b/>
          <w:bCs/>
          <w:color w:val="000000"/>
          <w:sz w:val="26"/>
          <w:szCs w:val="26"/>
          <w:lang w:eastAsia="lt-LT"/>
        </w:rPr>
        <w:t>įnašai</w:t>
      </w:r>
      <w:r w:rsidRPr="00794D66">
        <w:rPr>
          <w:rFonts w:ascii="Times New Roman" w:eastAsia="SimSun" w:hAnsi="Times New Roman" w:cs="Times New Roman"/>
          <w:color w:val="000000"/>
          <w:sz w:val="26"/>
          <w:szCs w:val="26"/>
          <w:lang w:eastAsia="lt-LT"/>
        </w:rPr>
        <w:t>.</w:t>
      </w:r>
    </w:p>
    <w:p w14:paraId="64F71D5C" w14:textId="386F05BC" w:rsidR="00F90D69" w:rsidRPr="00794D66" w:rsidRDefault="00F90D69" w:rsidP="00F90D69">
      <w:pPr>
        <w:autoSpaceDE w:val="0"/>
        <w:autoSpaceDN w:val="0"/>
        <w:adjustRightInd w:val="0"/>
        <w:spacing w:line="240" w:lineRule="auto"/>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lang w:eastAsia="lt-LT"/>
        </w:rPr>
        <w:t xml:space="preserve">Sprendimą dėl skubios paramos teikimo aktyvavimo priima Taryba, remdamasi EK pasiūlymu, prireikus nurodydama tokio aktyvavimo trukmę. EK gali jį įgyvendinti tiesiogiai arba per nevyriausybines organizacijas galiojant partnerystės susitarimui. (Instrumentas jau buvo aktyvuotas 2016 m. (3 m. laikotarpiui)  siekiant kovoti su migracijos krize). </w:t>
      </w:r>
    </w:p>
    <w:p w14:paraId="2E80EDBD" w14:textId="1EE31324" w:rsidR="00F90D69" w:rsidRPr="00794D66" w:rsidRDefault="00F90D69" w:rsidP="00F90D69">
      <w:pPr>
        <w:autoSpaceDE w:val="0"/>
        <w:autoSpaceDN w:val="0"/>
        <w:adjustRightInd w:val="0"/>
        <w:spacing w:after="120" w:line="240" w:lineRule="auto"/>
        <w:jc w:val="both"/>
        <w:rPr>
          <w:rFonts w:ascii="Times New Roman" w:eastAsia="SimSun" w:hAnsi="Times New Roman" w:cs="Times New Roman"/>
          <w:b/>
          <w:color w:val="000000"/>
          <w:sz w:val="26"/>
          <w:szCs w:val="26"/>
          <w:u w:val="single"/>
          <w:lang w:eastAsia="lt-LT"/>
        </w:rPr>
      </w:pPr>
      <w:r w:rsidRPr="00794D66">
        <w:rPr>
          <w:rFonts w:ascii="Times New Roman" w:eastAsia="SimSun" w:hAnsi="Times New Roman" w:cs="Times New Roman"/>
          <w:b/>
          <w:color w:val="000000"/>
          <w:sz w:val="26"/>
          <w:szCs w:val="26"/>
          <w:u w:val="single"/>
          <w:lang w:eastAsia="lt-LT"/>
        </w:rPr>
        <w:t>FR naujas pasiūlymas:</w:t>
      </w:r>
    </w:p>
    <w:p w14:paraId="52B85366" w14:textId="77777777" w:rsidR="00794D66" w:rsidRDefault="00F90D69" w:rsidP="00F90D69">
      <w:pPr>
        <w:autoSpaceDE w:val="0"/>
        <w:autoSpaceDN w:val="0"/>
        <w:adjustRightInd w:val="0"/>
        <w:spacing w:after="120" w:line="240" w:lineRule="auto"/>
        <w:jc w:val="both"/>
        <w:rPr>
          <w:rFonts w:ascii="Times New Roman" w:hAnsi="Times New Roman" w:cs="Times New Roman"/>
          <w:sz w:val="26"/>
          <w:szCs w:val="26"/>
        </w:rPr>
      </w:pPr>
      <w:r w:rsidRPr="00794D66">
        <w:rPr>
          <w:rFonts w:ascii="Times New Roman" w:hAnsi="Times New Roman" w:cs="Times New Roman"/>
          <w:sz w:val="26"/>
          <w:szCs w:val="26"/>
        </w:rPr>
        <w:t xml:space="preserve">Pagrindinė pasiūlymo mintis – </w:t>
      </w:r>
      <w:r w:rsidR="00EC34F3" w:rsidRPr="00794D66">
        <w:rPr>
          <w:rFonts w:ascii="Times New Roman" w:hAnsi="Times New Roman" w:cs="Times New Roman"/>
          <w:sz w:val="26"/>
          <w:szCs w:val="26"/>
        </w:rPr>
        <w:t>sukurti</w:t>
      </w:r>
      <w:r w:rsidRPr="00794D66">
        <w:rPr>
          <w:rFonts w:ascii="Times New Roman" w:hAnsi="Times New Roman" w:cs="Times New Roman"/>
          <w:sz w:val="26"/>
          <w:szCs w:val="26"/>
        </w:rPr>
        <w:t xml:space="preserve"> bendrą fondą, kuris būtų už </w:t>
      </w:r>
      <w:r w:rsidR="00EC34F3" w:rsidRPr="00794D66">
        <w:rPr>
          <w:rFonts w:ascii="Times New Roman" w:hAnsi="Times New Roman" w:cs="Times New Roman"/>
          <w:sz w:val="26"/>
          <w:szCs w:val="26"/>
        </w:rPr>
        <w:t xml:space="preserve">DFP </w:t>
      </w:r>
      <w:r w:rsidRPr="00794D66">
        <w:rPr>
          <w:rFonts w:ascii="Times New Roman" w:hAnsi="Times New Roman" w:cs="Times New Roman"/>
          <w:sz w:val="26"/>
          <w:szCs w:val="26"/>
        </w:rPr>
        <w:t xml:space="preserve">ribų, bet kurį įgyvendintų Komisija kaip ES biudžeto </w:t>
      </w:r>
      <w:r w:rsidR="00AF2388" w:rsidRPr="00794D66">
        <w:rPr>
          <w:rFonts w:ascii="Times New Roman" w:hAnsi="Times New Roman" w:cs="Times New Roman"/>
          <w:sz w:val="26"/>
          <w:szCs w:val="26"/>
        </w:rPr>
        <w:t>instrumentą, finansuojamą iš papildomų pajamų</w:t>
      </w:r>
      <w:r w:rsidRPr="00794D66">
        <w:rPr>
          <w:rFonts w:ascii="Times New Roman" w:hAnsi="Times New Roman" w:cs="Times New Roman"/>
          <w:sz w:val="26"/>
          <w:szCs w:val="26"/>
        </w:rPr>
        <w:t>.</w:t>
      </w:r>
    </w:p>
    <w:p w14:paraId="232D3F5B" w14:textId="046464DF" w:rsidR="00F90D69" w:rsidRPr="00794D66" w:rsidRDefault="00725552" w:rsidP="00F90D69">
      <w:pPr>
        <w:autoSpaceDE w:val="0"/>
        <w:autoSpaceDN w:val="0"/>
        <w:adjustRightInd w:val="0"/>
        <w:spacing w:after="120" w:line="240" w:lineRule="auto"/>
        <w:jc w:val="both"/>
        <w:rPr>
          <w:rFonts w:ascii="Times New Roman" w:hAnsi="Times New Roman" w:cs="Times New Roman"/>
          <w:sz w:val="26"/>
          <w:szCs w:val="26"/>
        </w:rPr>
      </w:pPr>
      <w:r w:rsidRPr="00794D66">
        <w:rPr>
          <w:rFonts w:ascii="Times New Roman" w:hAnsi="Times New Roman" w:cs="Times New Roman"/>
          <w:sz w:val="26"/>
          <w:szCs w:val="26"/>
        </w:rPr>
        <w:t>Siekiant didesnės finansavimo apimties</w:t>
      </w:r>
      <w:r w:rsidR="00F90D69" w:rsidRPr="00794D66">
        <w:rPr>
          <w:rFonts w:ascii="Times New Roman" w:hAnsi="Times New Roman" w:cs="Times New Roman"/>
          <w:sz w:val="26"/>
          <w:szCs w:val="26"/>
        </w:rPr>
        <w:t xml:space="preserve"> – siūloma, kad į fondą </w:t>
      </w:r>
      <w:r w:rsidR="00EC34F3" w:rsidRPr="00794D66">
        <w:rPr>
          <w:rFonts w:ascii="Times New Roman" w:hAnsi="Times New Roman" w:cs="Times New Roman"/>
          <w:sz w:val="26"/>
          <w:szCs w:val="26"/>
        </w:rPr>
        <w:t xml:space="preserve">įneštų </w:t>
      </w:r>
      <w:r w:rsidRPr="00794D66">
        <w:rPr>
          <w:rFonts w:ascii="Times New Roman" w:hAnsi="Times New Roman" w:cs="Times New Roman"/>
          <w:sz w:val="26"/>
          <w:szCs w:val="26"/>
        </w:rPr>
        <w:t>lėšų</w:t>
      </w:r>
      <w:r w:rsidR="00F90D69" w:rsidRPr="00794D66">
        <w:rPr>
          <w:rFonts w:ascii="Times New Roman" w:hAnsi="Times New Roman" w:cs="Times New Roman"/>
          <w:sz w:val="26"/>
          <w:szCs w:val="26"/>
        </w:rPr>
        <w:t xml:space="preserve"> pagrind</w:t>
      </w:r>
      <w:r w:rsidR="00EC34F3" w:rsidRPr="00794D66">
        <w:rPr>
          <w:rFonts w:ascii="Times New Roman" w:hAnsi="Times New Roman" w:cs="Times New Roman"/>
          <w:sz w:val="26"/>
          <w:szCs w:val="26"/>
        </w:rPr>
        <w:t>u</w:t>
      </w:r>
      <w:r w:rsidR="00F90D69" w:rsidRPr="00794D66">
        <w:rPr>
          <w:rFonts w:ascii="Times New Roman" w:hAnsi="Times New Roman" w:cs="Times New Roman"/>
          <w:sz w:val="26"/>
          <w:szCs w:val="26"/>
        </w:rPr>
        <w:t xml:space="preserve"> būtų išleistos obligacijos, taigi būtų bendra skola šio fondo rėmuose. </w:t>
      </w:r>
      <w:r w:rsidR="00EC34F3" w:rsidRPr="00794D66">
        <w:rPr>
          <w:rFonts w:ascii="Times New Roman" w:hAnsi="Times New Roman" w:cs="Times New Roman"/>
          <w:sz w:val="26"/>
          <w:szCs w:val="26"/>
        </w:rPr>
        <w:t>S</w:t>
      </w:r>
      <w:r w:rsidR="00F90D69" w:rsidRPr="00794D66">
        <w:rPr>
          <w:rFonts w:ascii="Times New Roman" w:hAnsi="Times New Roman" w:cs="Times New Roman"/>
          <w:sz w:val="26"/>
          <w:szCs w:val="26"/>
        </w:rPr>
        <w:t>kolos grąžinimui</w:t>
      </w:r>
      <w:r w:rsidR="00E87204" w:rsidRPr="00794D66">
        <w:rPr>
          <w:rFonts w:ascii="Times New Roman" w:hAnsi="Times New Roman" w:cs="Times New Roman"/>
          <w:sz w:val="26"/>
          <w:szCs w:val="26"/>
        </w:rPr>
        <w:t xml:space="preserve"> </w:t>
      </w:r>
      <w:r w:rsidRPr="00794D66">
        <w:rPr>
          <w:rFonts w:ascii="Times New Roman" w:hAnsi="Times New Roman" w:cs="Times New Roman"/>
          <w:sz w:val="26"/>
          <w:szCs w:val="26"/>
        </w:rPr>
        <w:t>siūloma susitarti dėl</w:t>
      </w:r>
      <w:r w:rsidR="00F90D69" w:rsidRPr="00794D66">
        <w:rPr>
          <w:rFonts w:ascii="Times New Roman" w:hAnsi="Times New Roman" w:cs="Times New Roman"/>
          <w:sz w:val="26"/>
          <w:szCs w:val="26"/>
        </w:rPr>
        <w:t xml:space="preserve"> galim</w:t>
      </w:r>
      <w:r w:rsidRPr="00794D66">
        <w:rPr>
          <w:rFonts w:ascii="Times New Roman" w:hAnsi="Times New Roman" w:cs="Times New Roman"/>
          <w:sz w:val="26"/>
          <w:szCs w:val="26"/>
        </w:rPr>
        <w:t>ų</w:t>
      </w:r>
      <w:r w:rsidR="00F90D69" w:rsidRPr="00794D66">
        <w:rPr>
          <w:rFonts w:ascii="Times New Roman" w:hAnsi="Times New Roman" w:cs="Times New Roman"/>
          <w:sz w:val="26"/>
          <w:szCs w:val="26"/>
        </w:rPr>
        <w:t xml:space="preserve"> nauj</w:t>
      </w:r>
      <w:r w:rsidRPr="00794D66">
        <w:rPr>
          <w:rFonts w:ascii="Times New Roman" w:hAnsi="Times New Roman" w:cs="Times New Roman"/>
          <w:sz w:val="26"/>
          <w:szCs w:val="26"/>
        </w:rPr>
        <w:t>ų</w:t>
      </w:r>
      <w:r w:rsidR="00F90D69" w:rsidRPr="00794D66">
        <w:rPr>
          <w:rFonts w:ascii="Times New Roman" w:hAnsi="Times New Roman" w:cs="Times New Roman"/>
          <w:sz w:val="26"/>
          <w:szCs w:val="26"/>
        </w:rPr>
        <w:t xml:space="preserve"> </w:t>
      </w:r>
      <w:r w:rsidRPr="00794D66">
        <w:rPr>
          <w:rFonts w:ascii="Times New Roman" w:hAnsi="Times New Roman" w:cs="Times New Roman"/>
          <w:sz w:val="26"/>
          <w:szCs w:val="26"/>
        </w:rPr>
        <w:t xml:space="preserve">mokesčių (pvz., </w:t>
      </w:r>
      <w:r w:rsidR="00F90D69" w:rsidRPr="00794D66">
        <w:rPr>
          <w:rFonts w:ascii="Times New Roman" w:hAnsi="Times New Roman" w:cs="Times New Roman"/>
          <w:sz w:val="26"/>
          <w:szCs w:val="26"/>
        </w:rPr>
        <w:t>solidarumo mokes</w:t>
      </w:r>
      <w:r w:rsidRPr="00794D66">
        <w:rPr>
          <w:rFonts w:ascii="Times New Roman" w:hAnsi="Times New Roman" w:cs="Times New Roman"/>
          <w:sz w:val="26"/>
          <w:szCs w:val="26"/>
        </w:rPr>
        <w:t>tis)</w:t>
      </w:r>
      <w:r w:rsidR="00F90D69" w:rsidRPr="00794D66">
        <w:rPr>
          <w:rFonts w:ascii="Times New Roman" w:hAnsi="Times New Roman" w:cs="Times New Roman"/>
          <w:sz w:val="26"/>
          <w:szCs w:val="26"/>
        </w:rPr>
        <w:t xml:space="preserve"> ar</w:t>
      </w:r>
      <w:r w:rsidRPr="00794D66">
        <w:rPr>
          <w:rFonts w:ascii="Times New Roman" w:hAnsi="Times New Roman" w:cs="Times New Roman"/>
          <w:sz w:val="26"/>
          <w:szCs w:val="26"/>
        </w:rPr>
        <w:t>ba remtis</w:t>
      </w:r>
      <w:r w:rsidR="00F90D69" w:rsidRPr="00794D66">
        <w:rPr>
          <w:rFonts w:ascii="Times New Roman" w:hAnsi="Times New Roman" w:cs="Times New Roman"/>
          <w:sz w:val="26"/>
          <w:szCs w:val="26"/>
        </w:rPr>
        <w:t xml:space="preserve"> nuosav</w:t>
      </w:r>
      <w:r w:rsidRPr="00794D66">
        <w:rPr>
          <w:rFonts w:ascii="Times New Roman" w:hAnsi="Times New Roman" w:cs="Times New Roman"/>
          <w:sz w:val="26"/>
          <w:szCs w:val="26"/>
        </w:rPr>
        <w:t>ais</w:t>
      </w:r>
      <w:r w:rsidR="00F90D69" w:rsidRPr="00794D66">
        <w:rPr>
          <w:rFonts w:ascii="Times New Roman" w:hAnsi="Times New Roman" w:cs="Times New Roman"/>
          <w:sz w:val="26"/>
          <w:szCs w:val="26"/>
        </w:rPr>
        <w:t xml:space="preserve"> ištekli</w:t>
      </w:r>
      <w:r w:rsidRPr="00794D66">
        <w:rPr>
          <w:rFonts w:ascii="Times New Roman" w:hAnsi="Times New Roman" w:cs="Times New Roman"/>
          <w:sz w:val="26"/>
          <w:szCs w:val="26"/>
        </w:rPr>
        <w:t>ais</w:t>
      </w:r>
      <w:r w:rsidR="00F90D69" w:rsidRPr="00794D66">
        <w:rPr>
          <w:rFonts w:ascii="Times New Roman" w:hAnsi="Times New Roman" w:cs="Times New Roman"/>
          <w:sz w:val="26"/>
          <w:szCs w:val="26"/>
        </w:rPr>
        <w:t>.</w:t>
      </w:r>
    </w:p>
    <w:p w14:paraId="5FBB8FF0" w14:textId="77777777" w:rsidR="00F90D69" w:rsidRPr="00794D66" w:rsidRDefault="00F90D69" w:rsidP="00F90D69">
      <w:pPr>
        <w:autoSpaceDE w:val="0"/>
        <w:autoSpaceDN w:val="0"/>
        <w:adjustRightInd w:val="0"/>
        <w:spacing w:after="120" w:line="240" w:lineRule="auto"/>
        <w:jc w:val="both"/>
        <w:rPr>
          <w:rFonts w:ascii="Times New Roman" w:eastAsia="SimSun" w:hAnsi="Times New Roman" w:cs="Times New Roman"/>
          <w:b/>
          <w:color w:val="000000"/>
          <w:sz w:val="26"/>
          <w:szCs w:val="26"/>
          <w:u w:val="single"/>
          <w:lang w:eastAsia="lt-LT"/>
        </w:rPr>
      </w:pPr>
    </w:p>
    <w:p w14:paraId="398DDE2D" w14:textId="091E9ABA" w:rsidR="00F90D69" w:rsidRPr="00794D66" w:rsidRDefault="00F90D69" w:rsidP="00F90D69">
      <w:pPr>
        <w:autoSpaceDE w:val="0"/>
        <w:autoSpaceDN w:val="0"/>
        <w:adjustRightInd w:val="0"/>
        <w:spacing w:after="120" w:line="240" w:lineRule="auto"/>
        <w:jc w:val="both"/>
        <w:rPr>
          <w:rFonts w:ascii="Times New Roman" w:eastAsia="SimSun" w:hAnsi="Times New Roman" w:cs="Times New Roman"/>
          <w:b/>
          <w:color w:val="000000"/>
          <w:sz w:val="26"/>
          <w:szCs w:val="26"/>
          <w:u w:val="single"/>
          <w:lang w:eastAsia="lt-LT"/>
        </w:rPr>
      </w:pPr>
      <w:r w:rsidRPr="00794D66">
        <w:rPr>
          <w:rFonts w:ascii="Times New Roman" w:eastAsia="SimSun" w:hAnsi="Times New Roman" w:cs="Times New Roman"/>
          <w:b/>
          <w:color w:val="000000"/>
          <w:sz w:val="26"/>
          <w:szCs w:val="26"/>
          <w:u w:val="single"/>
          <w:lang w:eastAsia="lt-LT"/>
        </w:rPr>
        <w:t>NL naujas pasiūlymas dėl Europos COVID-19 skubios pagalbos fondo (</w:t>
      </w:r>
      <w:proofErr w:type="spellStart"/>
      <w:r w:rsidRPr="00794D66">
        <w:rPr>
          <w:rFonts w:ascii="Times New Roman" w:eastAsia="SimSun" w:hAnsi="Times New Roman" w:cs="Times New Roman"/>
          <w:b/>
          <w:color w:val="000000"/>
          <w:sz w:val="26"/>
          <w:szCs w:val="26"/>
          <w:u w:val="single"/>
          <w:lang w:eastAsia="lt-LT"/>
        </w:rPr>
        <w:t>European</w:t>
      </w:r>
      <w:proofErr w:type="spellEnd"/>
      <w:r w:rsidRPr="00794D66">
        <w:rPr>
          <w:rFonts w:ascii="Times New Roman" w:eastAsia="SimSun" w:hAnsi="Times New Roman" w:cs="Times New Roman"/>
          <w:b/>
          <w:color w:val="000000"/>
          <w:sz w:val="26"/>
          <w:szCs w:val="26"/>
          <w:u w:val="single"/>
          <w:lang w:eastAsia="lt-LT"/>
        </w:rPr>
        <w:t xml:space="preserve"> COVID-19 </w:t>
      </w:r>
      <w:proofErr w:type="spellStart"/>
      <w:r w:rsidRPr="00794D66">
        <w:rPr>
          <w:rFonts w:ascii="Times New Roman" w:eastAsia="SimSun" w:hAnsi="Times New Roman" w:cs="Times New Roman"/>
          <w:b/>
          <w:color w:val="000000"/>
          <w:sz w:val="26"/>
          <w:szCs w:val="26"/>
          <w:u w:val="single"/>
          <w:lang w:eastAsia="lt-LT"/>
        </w:rPr>
        <w:t>Emergency</w:t>
      </w:r>
      <w:proofErr w:type="spellEnd"/>
      <w:r w:rsidRPr="00794D66">
        <w:rPr>
          <w:rFonts w:ascii="Times New Roman" w:eastAsia="SimSun" w:hAnsi="Times New Roman" w:cs="Times New Roman"/>
          <w:b/>
          <w:color w:val="000000"/>
          <w:sz w:val="26"/>
          <w:szCs w:val="26"/>
          <w:u w:val="single"/>
          <w:lang w:eastAsia="lt-LT"/>
        </w:rPr>
        <w:t xml:space="preserve"> </w:t>
      </w:r>
      <w:proofErr w:type="spellStart"/>
      <w:r w:rsidRPr="00794D66">
        <w:rPr>
          <w:rFonts w:ascii="Times New Roman" w:eastAsia="SimSun" w:hAnsi="Times New Roman" w:cs="Times New Roman"/>
          <w:b/>
          <w:color w:val="000000"/>
          <w:sz w:val="26"/>
          <w:szCs w:val="26"/>
          <w:u w:val="single"/>
          <w:lang w:eastAsia="lt-LT"/>
        </w:rPr>
        <w:t>Fund</w:t>
      </w:r>
      <w:proofErr w:type="spellEnd"/>
      <w:r w:rsidRPr="00794D66">
        <w:rPr>
          <w:rFonts w:ascii="Times New Roman" w:eastAsia="SimSun" w:hAnsi="Times New Roman" w:cs="Times New Roman"/>
          <w:b/>
          <w:color w:val="000000"/>
          <w:sz w:val="26"/>
          <w:szCs w:val="26"/>
          <w:u w:val="single"/>
          <w:lang w:eastAsia="lt-LT"/>
        </w:rPr>
        <w:t>)</w:t>
      </w:r>
    </w:p>
    <w:p w14:paraId="12914515" w14:textId="66A7C45B" w:rsidR="00F90D69" w:rsidRPr="00794D66" w:rsidRDefault="00F90D69" w:rsidP="00F90D69">
      <w:pPr>
        <w:autoSpaceDE w:val="0"/>
        <w:autoSpaceDN w:val="0"/>
        <w:adjustRightInd w:val="0"/>
        <w:spacing w:line="240" w:lineRule="auto"/>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lang w:eastAsia="lt-LT"/>
        </w:rPr>
        <w:t xml:space="preserve">Tikslas: finansuoti tiesiogines, </w:t>
      </w:r>
      <w:r w:rsidR="00725552" w:rsidRPr="00794D66">
        <w:rPr>
          <w:rFonts w:ascii="Times New Roman" w:eastAsia="SimSun" w:hAnsi="Times New Roman" w:cs="Times New Roman"/>
          <w:color w:val="000000"/>
          <w:sz w:val="26"/>
          <w:szCs w:val="26"/>
          <w:lang w:eastAsia="lt-LT"/>
        </w:rPr>
        <w:t xml:space="preserve">būtinas </w:t>
      </w:r>
      <w:r w:rsidRPr="00794D66">
        <w:rPr>
          <w:rFonts w:ascii="Times New Roman" w:eastAsia="SimSun" w:hAnsi="Times New Roman" w:cs="Times New Roman"/>
          <w:color w:val="000000"/>
          <w:sz w:val="26"/>
          <w:szCs w:val="26"/>
          <w:lang w:eastAsia="lt-LT"/>
        </w:rPr>
        <w:t xml:space="preserve">ir laikinas pagalbos priemones valstybėse narėse ir regionuose, reaguojant būtent į COVID-19 protrūkį. </w:t>
      </w:r>
      <w:r w:rsidR="00725552" w:rsidRPr="00794D66">
        <w:rPr>
          <w:rFonts w:ascii="Times New Roman" w:eastAsia="SimSun" w:hAnsi="Times New Roman" w:cs="Times New Roman"/>
          <w:color w:val="000000"/>
          <w:sz w:val="26"/>
          <w:szCs w:val="26"/>
          <w:lang w:eastAsia="lt-LT"/>
        </w:rPr>
        <w:t>Fondas n</w:t>
      </w:r>
      <w:r w:rsidRPr="00794D66">
        <w:rPr>
          <w:rFonts w:ascii="Times New Roman" w:eastAsia="SimSun" w:hAnsi="Times New Roman" w:cs="Times New Roman"/>
          <w:color w:val="000000"/>
          <w:sz w:val="26"/>
          <w:szCs w:val="26"/>
          <w:lang w:eastAsia="lt-LT"/>
        </w:rPr>
        <w:t>egalėtų finansuoti užimtumo ir ekonominės politikos priemonių.</w:t>
      </w:r>
    </w:p>
    <w:p w14:paraId="6600CA54" w14:textId="36DBE6E8" w:rsidR="00F90D69" w:rsidRPr="00794D66" w:rsidRDefault="00F90D69" w:rsidP="00F90D69">
      <w:pPr>
        <w:jc w:val="both"/>
        <w:rPr>
          <w:rFonts w:ascii="Times New Roman" w:eastAsia="SimSun" w:hAnsi="Times New Roman" w:cs="Times New Roman"/>
          <w:color w:val="000000"/>
          <w:sz w:val="26"/>
          <w:szCs w:val="26"/>
          <w:lang w:eastAsia="lt-LT"/>
        </w:rPr>
      </w:pPr>
      <w:r w:rsidRPr="00794D66">
        <w:rPr>
          <w:rFonts w:ascii="Times New Roman" w:eastAsia="SimSun" w:hAnsi="Times New Roman" w:cs="Times New Roman"/>
          <w:color w:val="000000"/>
          <w:sz w:val="26"/>
          <w:szCs w:val="26"/>
          <w:lang w:eastAsia="lt-LT"/>
        </w:rPr>
        <w:t>Fondas būtų už dabartinės ir kitos DFP ribų. Pasiūlyme pateikti du galimi fondo dydžiai – 10 mlrd. EUR arba 20 mlrd. EUR. Jis turėtų būti finansuojamas dvišaliais valstybių narių įnašais, kurie remtųsi BNP raktu. Taip pat būtų galima savanoriški papildomi įnašai. Fondas turėtų veikti trejus metus su galimybe pratęsti. Parama būtų skiriama subsidijomis, dotacijomis ir kitais būdais (bet ne paskolomis). Fondas neturėtų paskirstytų vokų, būtų nustatytos paramos lubos, kad fondu galėtų pasinaudoti visos VN.</w:t>
      </w:r>
    </w:p>
    <w:p w14:paraId="706BE167" w14:textId="1F2A040C" w:rsidR="000B4B6C" w:rsidRPr="00794D66" w:rsidRDefault="00F90D69" w:rsidP="00106010">
      <w:pPr>
        <w:spacing w:after="0"/>
        <w:contextualSpacing/>
        <w:jc w:val="both"/>
        <w:rPr>
          <w:rFonts w:ascii="Times New Roman" w:hAnsi="Times New Roman" w:cs="Times New Roman"/>
          <w:color w:val="000000"/>
          <w:sz w:val="26"/>
          <w:szCs w:val="26"/>
          <w:u w:val="single"/>
        </w:rPr>
      </w:pPr>
      <w:r w:rsidRPr="00794D66">
        <w:rPr>
          <w:rFonts w:ascii="Times New Roman" w:hAnsi="Times New Roman" w:cs="Times New Roman"/>
          <w:b/>
          <w:sz w:val="26"/>
          <w:szCs w:val="26"/>
          <w:u w:val="single"/>
        </w:rPr>
        <w:t>I</w:t>
      </w:r>
      <w:r w:rsidR="000B4B6C" w:rsidRPr="00794D66">
        <w:rPr>
          <w:rFonts w:ascii="Times New Roman" w:hAnsi="Times New Roman" w:cs="Times New Roman"/>
          <w:b/>
          <w:sz w:val="26"/>
          <w:szCs w:val="26"/>
          <w:u w:val="single"/>
        </w:rPr>
        <w:t>I. LIETUVOS POZICIJA</w:t>
      </w:r>
    </w:p>
    <w:p w14:paraId="75B31072" w14:textId="63E75D7F" w:rsidR="000B4B6C" w:rsidRPr="00794D66" w:rsidRDefault="002E00E1" w:rsidP="00106010">
      <w:pPr>
        <w:spacing w:after="0"/>
        <w:contextualSpacing/>
        <w:jc w:val="both"/>
        <w:rPr>
          <w:rFonts w:ascii="Times New Roman" w:hAnsi="Times New Roman" w:cs="Times New Roman"/>
          <w:color w:val="000000"/>
          <w:sz w:val="26"/>
          <w:szCs w:val="26"/>
        </w:rPr>
      </w:pPr>
      <w:r w:rsidRPr="00794D66">
        <w:rPr>
          <w:rFonts w:ascii="Times New Roman" w:hAnsi="Times New Roman" w:cs="Times New Roman"/>
          <w:color w:val="000000"/>
          <w:sz w:val="26"/>
          <w:szCs w:val="26"/>
        </w:rPr>
        <w:t xml:space="preserve">Siekiant suvaldyti COVID-19 pasekmes ekonomikai, turi būti priimti greiti ir konkretūs sprendimai. Todėl pirmiausia turėtų būti išnaudoti esami </w:t>
      </w:r>
      <w:r w:rsidR="0077236F" w:rsidRPr="00794D66">
        <w:rPr>
          <w:rFonts w:ascii="Times New Roman" w:hAnsi="Times New Roman" w:cs="Times New Roman"/>
          <w:color w:val="000000"/>
          <w:sz w:val="26"/>
          <w:szCs w:val="26"/>
        </w:rPr>
        <w:t xml:space="preserve">ES lygmens </w:t>
      </w:r>
      <w:r w:rsidR="00C54334" w:rsidRPr="00794D66">
        <w:rPr>
          <w:rFonts w:ascii="Times New Roman" w:hAnsi="Times New Roman" w:cs="Times New Roman"/>
          <w:color w:val="000000"/>
          <w:sz w:val="26"/>
          <w:szCs w:val="26"/>
        </w:rPr>
        <w:t xml:space="preserve">instrumentai. </w:t>
      </w:r>
      <w:r w:rsidR="001D4098" w:rsidRPr="00794D66">
        <w:rPr>
          <w:rFonts w:ascii="Times New Roman" w:hAnsi="Times New Roman" w:cs="Times New Roman"/>
          <w:color w:val="000000"/>
          <w:sz w:val="26"/>
          <w:szCs w:val="26"/>
        </w:rPr>
        <w:t xml:space="preserve">Dėl to </w:t>
      </w:r>
      <w:r w:rsidR="00C54334" w:rsidRPr="00794D66">
        <w:rPr>
          <w:rFonts w:ascii="Times New Roman" w:hAnsi="Times New Roman" w:cs="Times New Roman"/>
          <w:color w:val="000000"/>
          <w:sz w:val="26"/>
          <w:szCs w:val="26"/>
        </w:rPr>
        <w:t xml:space="preserve">pasisakome už </w:t>
      </w:r>
      <w:r w:rsidR="00AC6AC8" w:rsidRPr="00794D66">
        <w:rPr>
          <w:rFonts w:ascii="Times New Roman" w:hAnsi="Times New Roman" w:cs="Times New Roman"/>
          <w:color w:val="000000"/>
          <w:sz w:val="26"/>
          <w:szCs w:val="26"/>
        </w:rPr>
        <w:t xml:space="preserve">ES biudžeto, EIB ir ypač </w:t>
      </w:r>
      <w:r w:rsidRPr="00794D66">
        <w:rPr>
          <w:rFonts w:ascii="Times New Roman" w:hAnsi="Times New Roman" w:cs="Times New Roman"/>
          <w:color w:val="000000"/>
          <w:sz w:val="26"/>
          <w:szCs w:val="26"/>
        </w:rPr>
        <w:t>Europos stabilumo mechanizmo (ESM)</w:t>
      </w:r>
      <w:r w:rsidR="00AC6AC8" w:rsidRPr="00794D66">
        <w:rPr>
          <w:rFonts w:ascii="Times New Roman" w:hAnsi="Times New Roman" w:cs="Times New Roman"/>
          <w:color w:val="000000"/>
          <w:sz w:val="26"/>
          <w:szCs w:val="26"/>
        </w:rPr>
        <w:t>,</w:t>
      </w:r>
      <w:r w:rsidRPr="00794D66">
        <w:rPr>
          <w:rFonts w:ascii="Times New Roman" w:hAnsi="Times New Roman" w:cs="Times New Roman"/>
          <w:color w:val="000000"/>
          <w:sz w:val="26"/>
          <w:szCs w:val="26"/>
        </w:rPr>
        <w:t xml:space="preserve"> </w:t>
      </w:r>
      <w:r w:rsidR="00AC6AC8" w:rsidRPr="00794D66">
        <w:rPr>
          <w:rFonts w:ascii="Times New Roman" w:hAnsi="Times New Roman" w:cs="Times New Roman"/>
          <w:color w:val="000000"/>
          <w:sz w:val="26"/>
          <w:szCs w:val="26"/>
        </w:rPr>
        <w:t xml:space="preserve">kuris ir buvo sukurtas padėti euro zonos valstybėms susidūrus su ekonominiais sunkumais, </w:t>
      </w:r>
      <w:r w:rsidRPr="00794D66">
        <w:rPr>
          <w:rFonts w:ascii="Times New Roman" w:hAnsi="Times New Roman" w:cs="Times New Roman"/>
          <w:color w:val="000000"/>
          <w:sz w:val="26"/>
          <w:szCs w:val="26"/>
        </w:rPr>
        <w:t>pajė</w:t>
      </w:r>
      <w:r w:rsidR="003C235A" w:rsidRPr="00794D66">
        <w:rPr>
          <w:rFonts w:ascii="Times New Roman" w:hAnsi="Times New Roman" w:cs="Times New Roman"/>
          <w:color w:val="000000"/>
          <w:sz w:val="26"/>
          <w:szCs w:val="26"/>
        </w:rPr>
        <w:t>gum</w:t>
      </w:r>
      <w:r w:rsidR="00C54334" w:rsidRPr="00794D66">
        <w:rPr>
          <w:rFonts w:ascii="Times New Roman" w:hAnsi="Times New Roman" w:cs="Times New Roman"/>
          <w:color w:val="000000"/>
          <w:sz w:val="26"/>
          <w:szCs w:val="26"/>
        </w:rPr>
        <w:t>ų išnaudojimą</w:t>
      </w:r>
      <w:r w:rsidR="00AC6AC8" w:rsidRPr="00794D66">
        <w:rPr>
          <w:rFonts w:ascii="Times New Roman" w:hAnsi="Times New Roman" w:cs="Times New Roman"/>
          <w:color w:val="000000"/>
          <w:sz w:val="26"/>
          <w:szCs w:val="26"/>
        </w:rPr>
        <w:t>.</w:t>
      </w:r>
      <w:r w:rsidR="00C54334" w:rsidRPr="00794D66">
        <w:rPr>
          <w:rFonts w:ascii="Times New Roman" w:hAnsi="Times New Roman" w:cs="Times New Roman"/>
          <w:color w:val="000000"/>
          <w:sz w:val="26"/>
          <w:szCs w:val="26"/>
        </w:rPr>
        <w:t xml:space="preserve"> </w:t>
      </w:r>
      <w:r w:rsidR="00C0738F" w:rsidRPr="00794D66">
        <w:rPr>
          <w:rFonts w:ascii="Times New Roman" w:hAnsi="Times New Roman" w:cs="Times New Roman"/>
          <w:color w:val="000000"/>
          <w:sz w:val="26"/>
          <w:szCs w:val="26"/>
        </w:rPr>
        <w:t>Jeigu to nepaka</w:t>
      </w:r>
      <w:r w:rsidRPr="00794D66">
        <w:rPr>
          <w:rFonts w:ascii="Times New Roman" w:hAnsi="Times New Roman" w:cs="Times New Roman"/>
          <w:color w:val="000000"/>
          <w:sz w:val="26"/>
          <w:szCs w:val="26"/>
        </w:rPr>
        <w:t xml:space="preserve">ktų, svarstytinos </w:t>
      </w:r>
      <w:r w:rsidR="00C54334" w:rsidRPr="00794D66">
        <w:rPr>
          <w:rFonts w:ascii="Times New Roman" w:hAnsi="Times New Roman" w:cs="Times New Roman"/>
          <w:color w:val="000000"/>
          <w:sz w:val="26"/>
          <w:szCs w:val="26"/>
        </w:rPr>
        <w:t>kitos galimos</w:t>
      </w:r>
      <w:r w:rsidRPr="00794D66">
        <w:rPr>
          <w:rFonts w:ascii="Times New Roman" w:hAnsi="Times New Roman" w:cs="Times New Roman"/>
          <w:color w:val="000000"/>
          <w:sz w:val="26"/>
          <w:szCs w:val="26"/>
        </w:rPr>
        <w:t xml:space="preserve"> priemonės</w:t>
      </w:r>
      <w:r w:rsidR="00C54334" w:rsidRPr="00794D66">
        <w:rPr>
          <w:rFonts w:ascii="Times New Roman" w:hAnsi="Times New Roman" w:cs="Times New Roman"/>
          <w:color w:val="000000"/>
          <w:sz w:val="26"/>
          <w:szCs w:val="26"/>
        </w:rPr>
        <w:t xml:space="preserve">, </w:t>
      </w:r>
      <w:r w:rsidR="0077236F" w:rsidRPr="00794D66">
        <w:rPr>
          <w:rFonts w:ascii="Times New Roman" w:hAnsi="Times New Roman" w:cs="Times New Roman"/>
          <w:color w:val="000000"/>
          <w:sz w:val="26"/>
          <w:szCs w:val="26"/>
        </w:rPr>
        <w:t>įskaitant</w:t>
      </w:r>
      <w:r w:rsidR="00C54334" w:rsidRPr="00794D66">
        <w:rPr>
          <w:rFonts w:ascii="Times New Roman" w:hAnsi="Times New Roman" w:cs="Times New Roman"/>
          <w:color w:val="000000"/>
          <w:sz w:val="26"/>
          <w:szCs w:val="26"/>
        </w:rPr>
        <w:t xml:space="preserve"> ESM pajėgumų didinim</w:t>
      </w:r>
      <w:r w:rsidR="005F27F5" w:rsidRPr="00794D66">
        <w:rPr>
          <w:rFonts w:ascii="Times New Roman" w:hAnsi="Times New Roman" w:cs="Times New Roman"/>
          <w:color w:val="000000"/>
          <w:sz w:val="26"/>
          <w:szCs w:val="26"/>
        </w:rPr>
        <w:t xml:space="preserve">o bei bendrų euro zonos obligacijų </w:t>
      </w:r>
      <w:r w:rsidR="00BD7F74" w:rsidRPr="00794D66">
        <w:rPr>
          <w:rFonts w:ascii="Times New Roman" w:hAnsi="Times New Roman" w:cs="Times New Roman"/>
          <w:color w:val="000000"/>
          <w:sz w:val="26"/>
          <w:szCs w:val="26"/>
        </w:rPr>
        <w:t>galimyb</w:t>
      </w:r>
      <w:r w:rsidR="00AC6AC8" w:rsidRPr="00794D66">
        <w:rPr>
          <w:rFonts w:ascii="Times New Roman" w:hAnsi="Times New Roman" w:cs="Times New Roman"/>
          <w:color w:val="000000"/>
          <w:sz w:val="26"/>
          <w:szCs w:val="26"/>
        </w:rPr>
        <w:t>ė</w:t>
      </w:r>
      <w:r w:rsidR="00BD7F74" w:rsidRPr="00794D66">
        <w:rPr>
          <w:rFonts w:ascii="Times New Roman" w:hAnsi="Times New Roman" w:cs="Times New Roman"/>
          <w:color w:val="000000"/>
          <w:sz w:val="26"/>
          <w:szCs w:val="26"/>
        </w:rPr>
        <w:t>s.</w:t>
      </w:r>
    </w:p>
    <w:p w14:paraId="3F274495" w14:textId="77777777" w:rsidR="00725552" w:rsidRPr="00794D66" w:rsidRDefault="00725552" w:rsidP="00106010">
      <w:pPr>
        <w:spacing w:after="0"/>
        <w:contextualSpacing/>
        <w:jc w:val="both"/>
        <w:rPr>
          <w:rFonts w:ascii="Times New Roman" w:hAnsi="Times New Roman" w:cs="Times New Roman"/>
          <w:color w:val="000000"/>
          <w:sz w:val="26"/>
          <w:szCs w:val="26"/>
        </w:rPr>
      </w:pPr>
    </w:p>
    <w:p w14:paraId="3875E7B3" w14:textId="47FB6313" w:rsidR="00F90D69" w:rsidRPr="00794D66" w:rsidRDefault="00725552" w:rsidP="00106010">
      <w:pPr>
        <w:spacing w:after="0"/>
        <w:contextualSpacing/>
        <w:jc w:val="both"/>
        <w:rPr>
          <w:rFonts w:ascii="Times New Roman" w:hAnsi="Times New Roman" w:cs="Times New Roman"/>
          <w:color w:val="000000"/>
          <w:sz w:val="26"/>
          <w:szCs w:val="26"/>
        </w:rPr>
      </w:pPr>
      <w:r w:rsidRPr="00794D66">
        <w:rPr>
          <w:rFonts w:ascii="Times New Roman" w:hAnsi="Times New Roman" w:cs="Times New Roman"/>
          <w:b/>
          <w:color w:val="000000"/>
          <w:sz w:val="26"/>
          <w:szCs w:val="26"/>
        </w:rPr>
        <w:lastRenderedPageBreak/>
        <w:t xml:space="preserve">Dėl </w:t>
      </w:r>
      <w:r w:rsidR="00F90D69" w:rsidRPr="00794D66">
        <w:rPr>
          <w:rFonts w:ascii="Times New Roman" w:hAnsi="Times New Roman" w:cs="Times New Roman"/>
          <w:b/>
          <w:color w:val="000000"/>
          <w:sz w:val="26"/>
          <w:szCs w:val="26"/>
        </w:rPr>
        <w:t>ESM:</w:t>
      </w:r>
      <w:r w:rsidR="00F90D69" w:rsidRPr="00794D66">
        <w:rPr>
          <w:rFonts w:ascii="Times New Roman" w:hAnsi="Times New Roman" w:cs="Times New Roman"/>
          <w:color w:val="000000"/>
          <w:sz w:val="26"/>
          <w:szCs w:val="26"/>
        </w:rPr>
        <w:t xml:space="preserve">  griežtesnių sąlygų kredito linija (ECCL) yra tinkamiausia ESM priemonė reaguoti į skubius poreikius, nes ji remiasi egzistuojančiu instrumentu, taigi greičiau praktiškai įgyvendinama. Pritariame, kad </w:t>
      </w:r>
      <w:r w:rsidRPr="00794D66">
        <w:rPr>
          <w:rFonts w:ascii="Times New Roman" w:hAnsi="Times New Roman" w:cs="Times New Roman"/>
          <w:color w:val="000000"/>
          <w:sz w:val="26"/>
          <w:szCs w:val="26"/>
        </w:rPr>
        <w:t xml:space="preserve">pagal šį instrumentą teikiamas finansavimas, </w:t>
      </w:r>
      <w:r w:rsidR="00F90D69" w:rsidRPr="00794D66">
        <w:rPr>
          <w:rFonts w:ascii="Times New Roman" w:hAnsi="Times New Roman" w:cs="Times New Roman"/>
          <w:color w:val="000000"/>
          <w:sz w:val="26"/>
          <w:szCs w:val="26"/>
        </w:rPr>
        <w:t xml:space="preserve">su tam tikromis išimtimis, </w:t>
      </w:r>
      <w:r w:rsidRPr="00794D66">
        <w:rPr>
          <w:rFonts w:ascii="Times New Roman" w:hAnsi="Times New Roman" w:cs="Times New Roman"/>
          <w:color w:val="000000"/>
          <w:sz w:val="26"/>
          <w:szCs w:val="26"/>
        </w:rPr>
        <w:t>sudarytų iki 2 proc. šalies BVP. T</w:t>
      </w:r>
      <w:r w:rsidR="00F90D69" w:rsidRPr="00794D66">
        <w:rPr>
          <w:rFonts w:ascii="Times New Roman" w:hAnsi="Times New Roman" w:cs="Times New Roman"/>
          <w:color w:val="000000"/>
          <w:sz w:val="26"/>
          <w:szCs w:val="26"/>
        </w:rPr>
        <w:t xml:space="preserve">ai užtikrintų visų šalių, paveiktų COVID-19 viruso, </w:t>
      </w:r>
      <w:r w:rsidRPr="00794D66">
        <w:rPr>
          <w:rFonts w:ascii="Times New Roman" w:hAnsi="Times New Roman" w:cs="Times New Roman"/>
          <w:color w:val="000000"/>
          <w:sz w:val="26"/>
          <w:szCs w:val="26"/>
        </w:rPr>
        <w:t>galimybes pasinaudoti ESM ištekliais</w:t>
      </w:r>
      <w:r w:rsidR="00F90D69" w:rsidRPr="00794D66">
        <w:rPr>
          <w:rFonts w:ascii="Times New Roman" w:hAnsi="Times New Roman" w:cs="Times New Roman"/>
          <w:color w:val="000000"/>
          <w:sz w:val="26"/>
          <w:szCs w:val="26"/>
        </w:rPr>
        <w:t>. Sutinka</w:t>
      </w:r>
      <w:r w:rsidRPr="00794D66">
        <w:rPr>
          <w:rFonts w:ascii="Times New Roman" w:hAnsi="Times New Roman" w:cs="Times New Roman"/>
          <w:color w:val="000000"/>
          <w:sz w:val="26"/>
          <w:szCs w:val="26"/>
        </w:rPr>
        <w:t>me</w:t>
      </w:r>
      <w:r w:rsidR="00F90D69" w:rsidRPr="00794D66">
        <w:rPr>
          <w:rFonts w:ascii="Times New Roman" w:hAnsi="Times New Roman" w:cs="Times New Roman"/>
          <w:color w:val="000000"/>
          <w:sz w:val="26"/>
          <w:szCs w:val="26"/>
        </w:rPr>
        <w:t xml:space="preserve">, kad skolinimosi kaštai (ESM </w:t>
      </w:r>
      <w:proofErr w:type="spellStart"/>
      <w:r w:rsidR="00F90D69" w:rsidRPr="00794D66">
        <w:rPr>
          <w:rFonts w:ascii="Times New Roman" w:hAnsi="Times New Roman" w:cs="Times New Roman"/>
          <w:color w:val="000000"/>
          <w:sz w:val="26"/>
          <w:szCs w:val="26"/>
        </w:rPr>
        <w:t>pricing</w:t>
      </w:r>
      <w:proofErr w:type="spellEnd"/>
      <w:r w:rsidR="00F90D69" w:rsidRPr="00794D66">
        <w:rPr>
          <w:rFonts w:ascii="Times New Roman" w:hAnsi="Times New Roman" w:cs="Times New Roman"/>
          <w:color w:val="000000"/>
          <w:sz w:val="26"/>
          <w:szCs w:val="26"/>
        </w:rPr>
        <w:t xml:space="preserve"> </w:t>
      </w:r>
      <w:proofErr w:type="spellStart"/>
      <w:r w:rsidR="00F90D69" w:rsidRPr="00794D66">
        <w:rPr>
          <w:rFonts w:ascii="Times New Roman" w:hAnsi="Times New Roman" w:cs="Times New Roman"/>
          <w:color w:val="000000"/>
          <w:sz w:val="26"/>
          <w:szCs w:val="26"/>
        </w:rPr>
        <w:t>policy</w:t>
      </w:r>
      <w:proofErr w:type="spellEnd"/>
      <w:r w:rsidR="00F90D69" w:rsidRPr="00794D66">
        <w:rPr>
          <w:rFonts w:ascii="Times New Roman" w:hAnsi="Times New Roman" w:cs="Times New Roman"/>
          <w:color w:val="000000"/>
          <w:sz w:val="26"/>
          <w:szCs w:val="26"/>
        </w:rPr>
        <w:t>) turi būti adaptuoti atsižvelgiant į išduotų paskolų trukmę.</w:t>
      </w:r>
    </w:p>
    <w:p w14:paraId="4DFE496A" w14:textId="77777777" w:rsidR="00F90D69" w:rsidRPr="00794D66" w:rsidRDefault="00F90D69" w:rsidP="00106010">
      <w:pPr>
        <w:spacing w:after="0"/>
        <w:contextualSpacing/>
        <w:jc w:val="both"/>
        <w:rPr>
          <w:rFonts w:ascii="Times New Roman" w:hAnsi="Times New Roman" w:cs="Times New Roman"/>
          <w:color w:val="000000"/>
          <w:sz w:val="26"/>
          <w:szCs w:val="26"/>
        </w:rPr>
      </w:pPr>
    </w:p>
    <w:p w14:paraId="3880903C" w14:textId="3DFAC61A" w:rsidR="00F90D69" w:rsidRPr="00794D66" w:rsidRDefault="00F90D69" w:rsidP="00F90D69">
      <w:pPr>
        <w:spacing w:after="0"/>
        <w:contextualSpacing/>
        <w:jc w:val="both"/>
        <w:rPr>
          <w:rFonts w:ascii="Times New Roman" w:hAnsi="Times New Roman" w:cs="Times New Roman"/>
          <w:color w:val="000000"/>
          <w:sz w:val="26"/>
          <w:szCs w:val="26"/>
        </w:rPr>
      </w:pPr>
      <w:r w:rsidRPr="00794D66">
        <w:rPr>
          <w:rFonts w:ascii="Times New Roman" w:hAnsi="Times New Roman" w:cs="Times New Roman"/>
          <w:b/>
          <w:color w:val="000000"/>
          <w:sz w:val="26"/>
          <w:szCs w:val="26"/>
        </w:rPr>
        <w:t>EIB pasiūlymas:</w:t>
      </w:r>
      <w:r w:rsidRPr="00794D66">
        <w:rPr>
          <w:rFonts w:ascii="Times New Roman" w:hAnsi="Times New Roman" w:cs="Times New Roman"/>
          <w:color w:val="000000"/>
          <w:sz w:val="26"/>
          <w:szCs w:val="26"/>
        </w:rPr>
        <w:t xml:space="preserve"> Fondo steigimo pasiūlyme yra daug neaiškumų, pavyzdžiui: trūksta informacijos dėl galimybių tam tikrai VN pasinaudoti fondo lėšomis (ar VN susitarimuose su EIB būtų numatomos lėšų panaudojimo lubos kiekvienai VN pagal iš anksto suderintus instrumentus); taip pat trūksta detalių apie atskirus pagal Fondą siūlomus instrumentus. </w:t>
      </w:r>
    </w:p>
    <w:p w14:paraId="0FF196E7" w14:textId="77777777" w:rsidR="00F90D69" w:rsidRPr="00794D66" w:rsidRDefault="00F90D69" w:rsidP="00F90D69">
      <w:pPr>
        <w:spacing w:after="0"/>
        <w:contextualSpacing/>
        <w:jc w:val="both"/>
        <w:rPr>
          <w:rFonts w:ascii="Times New Roman" w:hAnsi="Times New Roman" w:cs="Times New Roman"/>
          <w:color w:val="000000"/>
          <w:sz w:val="26"/>
          <w:szCs w:val="26"/>
        </w:rPr>
      </w:pPr>
    </w:p>
    <w:p w14:paraId="2192E79A" w14:textId="4C56347C" w:rsidR="00794D66" w:rsidRPr="00794D66" w:rsidRDefault="00794D66" w:rsidP="00794D66">
      <w:pPr>
        <w:spacing w:after="0"/>
        <w:jc w:val="both"/>
        <w:rPr>
          <w:rFonts w:ascii="Times New Roman" w:eastAsia="Times New Roman" w:hAnsi="Times New Roman" w:cs="Times New Roman"/>
          <w:sz w:val="26"/>
          <w:szCs w:val="26"/>
        </w:rPr>
      </w:pPr>
      <w:r w:rsidRPr="00794D66">
        <w:rPr>
          <w:rFonts w:ascii="Times New Roman" w:hAnsi="Times New Roman" w:cs="Times New Roman"/>
          <w:b/>
          <w:sz w:val="26"/>
          <w:szCs w:val="26"/>
        </w:rPr>
        <w:t>ES biudžeto galimybių išnaudojimas.</w:t>
      </w:r>
      <w:r w:rsidRPr="00794D66">
        <w:rPr>
          <w:rFonts w:ascii="Times New Roman" w:hAnsi="Times New Roman" w:cs="Times New Roman"/>
          <w:sz w:val="26"/>
          <w:szCs w:val="26"/>
        </w:rPr>
        <w:t xml:space="preserve"> Manome, kad susidariusioje situac</w:t>
      </w:r>
      <w:r w:rsidR="009C5D47">
        <w:rPr>
          <w:rFonts w:ascii="Times New Roman" w:hAnsi="Times New Roman" w:cs="Times New Roman"/>
          <w:sz w:val="26"/>
          <w:szCs w:val="26"/>
        </w:rPr>
        <w:t>ijoje turime maksimaliai išnaudo</w:t>
      </w:r>
      <w:r w:rsidRPr="00794D66">
        <w:rPr>
          <w:rFonts w:ascii="Times New Roman" w:hAnsi="Times New Roman" w:cs="Times New Roman"/>
          <w:sz w:val="26"/>
          <w:szCs w:val="26"/>
        </w:rPr>
        <w:t>ti ES biudžeto galimybes</w:t>
      </w:r>
      <w:r w:rsidR="009C5D47">
        <w:rPr>
          <w:rFonts w:ascii="Times New Roman" w:hAnsi="Times New Roman" w:cs="Times New Roman"/>
          <w:sz w:val="26"/>
          <w:szCs w:val="26"/>
        </w:rPr>
        <w:t xml:space="preserve">. </w:t>
      </w:r>
      <w:bookmarkStart w:id="0" w:name="_GoBack"/>
      <w:bookmarkEnd w:id="0"/>
      <w:r w:rsidRPr="00794D66">
        <w:rPr>
          <w:rFonts w:ascii="Times New Roman" w:hAnsi="Times New Roman" w:cs="Times New Roman"/>
          <w:sz w:val="26"/>
          <w:szCs w:val="26"/>
        </w:rPr>
        <w:t>Palankiai vertiname Komisijos pasiūlymą dėl instrumento, kuriuo būtų teikiama parama sutrumpinto darbo laiko schemoms (SURE). Šis instrumentas galėtų prisidėti prie užimtumo palaikymo COVID-19 protrūkio paveiktose VN ir padėtų sumažinti neigiamas socialines bei ekonomines pasekmes. Tai turėtų būti laikina priemonė, atsižvelgiant į precedento neturinčią situaciją, todėl manome, kad pasirinktas teisinis pagrindas Sutarties dėl ES veikimo 122.2 str. yra tinkamas.</w:t>
      </w:r>
      <w:r w:rsidRPr="00794D66">
        <w:rPr>
          <w:rFonts w:ascii="Times New Roman" w:hAnsi="Times New Roman" w:cs="Times New Roman"/>
          <w:bCs/>
          <w:sz w:val="26"/>
          <w:szCs w:val="26"/>
        </w:rPr>
        <w:t xml:space="preserve"> </w:t>
      </w:r>
      <w:r w:rsidRPr="00794D66">
        <w:rPr>
          <w:rFonts w:ascii="Times New Roman" w:hAnsi="Times New Roman" w:cs="Times New Roman"/>
          <w:sz w:val="26"/>
          <w:szCs w:val="26"/>
        </w:rPr>
        <w:t>Taip pat teigiamai vertiname ES biudžeto lėšų mobilizavimo ekstremalios padėties poreikiams pasiūlymą (ESI).</w:t>
      </w:r>
      <w:r w:rsidRPr="00794D66">
        <w:rPr>
          <w:rFonts w:ascii="Times New Roman" w:hAnsi="Times New Roman" w:cs="Times New Roman"/>
          <w:bCs/>
          <w:sz w:val="26"/>
          <w:szCs w:val="26"/>
        </w:rPr>
        <w:t xml:space="preserve"> </w:t>
      </w:r>
      <w:r w:rsidRPr="00794D66">
        <w:rPr>
          <w:rFonts w:ascii="Times New Roman" w:hAnsi="Times New Roman" w:cs="Times New Roman"/>
          <w:b/>
          <w:bCs/>
          <w:sz w:val="26"/>
          <w:szCs w:val="26"/>
          <w:u w:val="single"/>
        </w:rPr>
        <w:t>Pabrėžiame, kad ekonomikos nuosmukio akivaizdoje svarbu pilnai išnaudoti ir Sanglaudos politikos potencialą, šios politikos finansavimas neturi būti sumažinamas.</w:t>
      </w:r>
    </w:p>
    <w:p w14:paraId="25CA7806" w14:textId="77777777" w:rsidR="006C00C0" w:rsidRPr="00794D66" w:rsidRDefault="006C00C0" w:rsidP="00F90D69">
      <w:pPr>
        <w:spacing w:after="0"/>
        <w:contextualSpacing/>
        <w:jc w:val="both"/>
        <w:rPr>
          <w:rFonts w:ascii="Times New Roman" w:hAnsi="Times New Roman" w:cs="Times New Roman"/>
          <w:color w:val="000000"/>
          <w:sz w:val="26"/>
          <w:szCs w:val="26"/>
        </w:rPr>
      </w:pPr>
    </w:p>
    <w:p w14:paraId="4236D730" w14:textId="58A3CC95" w:rsidR="00F90D69" w:rsidRPr="00794D66" w:rsidRDefault="006C00C0" w:rsidP="00F90D69">
      <w:pPr>
        <w:spacing w:after="0"/>
        <w:contextualSpacing/>
        <w:jc w:val="both"/>
        <w:rPr>
          <w:rFonts w:ascii="Times New Roman" w:hAnsi="Times New Roman" w:cs="Times New Roman"/>
          <w:color w:val="000000"/>
          <w:sz w:val="26"/>
          <w:szCs w:val="26"/>
        </w:rPr>
      </w:pPr>
      <w:r w:rsidRPr="00794D66">
        <w:rPr>
          <w:rFonts w:ascii="Times New Roman" w:hAnsi="Times New Roman" w:cs="Times New Roman"/>
          <w:b/>
          <w:color w:val="000000"/>
          <w:sz w:val="26"/>
          <w:szCs w:val="26"/>
        </w:rPr>
        <w:t>ESI</w:t>
      </w:r>
      <w:r w:rsidR="00F90D69" w:rsidRPr="00794D66">
        <w:rPr>
          <w:rFonts w:ascii="Times New Roman" w:hAnsi="Times New Roman" w:cs="Times New Roman"/>
          <w:color w:val="000000"/>
          <w:sz w:val="26"/>
          <w:szCs w:val="26"/>
        </w:rPr>
        <w:t xml:space="preserve">: </w:t>
      </w:r>
      <w:r w:rsidRPr="00794D66">
        <w:rPr>
          <w:rFonts w:ascii="Times New Roman" w:hAnsi="Times New Roman" w:cs="Times New Roman"/>
          <w:color w:val="000000"/>
          <w:sz w:val="26"/>
          <w:szCs w:val="26"/>
        </w:rPr>
        <w:t>P</w:t>
      </w:r>
      <w:r w:rsidR="00F90D69" w:rsidRPr="00794D66">
        <w:rPr>
          <w:rFonts w:ascii="Times New Roman" w:hAnsi="Times New Roman" w:cs="Times New Roman"/>
          <w:color w:val="000000"/>
          <w:sz w:val="26"/>
          <w:szCs w:val="26"/>
        </w:rPr>
        <w:t>reliminarus vertinamas teigiamas.</w:t>
      </w:r>
    </w:p>
    <w:p w14:paraId="29605A7A" w14:textId="77777777" w:rsidR="00F90D69" w:rsidRPr="00794D66" w:rsidRDefault="00F90D69" w:rsidP="00F90D69">
      <w:pPr>
        <w:spacing w:after="0"/>
        <w:contextualSpacing/>
        <w:jc w:val="both"/>
        <w:rPr>
          <w:rFonts w:ascii="Times New Roman" w:hAnsi="Times New Roman" w:cs="Times New Roman"/>
          <w:color w:val="000000"/>
          <w:sz w:val="26"/>
          <w:szCs w:val="26"/>
        </w:rPr>
      </w:pPr>
    </w:p>
    <w:p w14:paraId="707BBF2D" w14:textId="06B22DB9" w:rsidR="00F90D69" w:rsidRPr="00794D66" w:rsidRDefault="00F90D69" w:rsidP="00F90D69">
      <w:pPr>
        <w:spacing w:after="0"/>
        <w:contextualSpacing/>
        <w:jc w:val="both"/>
        <w:rPr>
          <w:rFonts w:ascii="Times New Roman" w:hAnsi="Times New Roman" w:cs="Times New Roman"/>
          <w:color w:val="000000"/>
          <w:sz w:val="26"/>
          <w:szCs w:val="26"/>
        </w:rPr>
      </w:pPr>
      <w:r w:rsidRPr="00794D66">
        <w:rPr>
          <w:rFonts w:ascii="Times New Roman" w:hAnsi="Times New Roman" w:cs="Times New Roman"/>
          <w:b/>
          <w:color w:val="000000"/>
          <w:sz w:val="26"/>
          <w:szCs w:val="26"/>
        </w:rPr>
        <w:t>FR naujas pasiūlymas:</w:t>
      </w:r>
      <w:r w:rsidRPr="00794D66">
        <w:rPr>
          <w:rFonts w:ascii="Times New Roman" w:hAnsi="Times New Roman" w:cs="Times New Roman"/>
          <w:color w:val="000000"/>
          <w:sz w:val="26"/>
          <w:szCs w:val="26"/>
        </w:rPr>
        <w:t xml:space="preserve"> Pasiūlymas dar neišplėtotas, neaiški sąsaja su MFF, nenorėtume dar vieno</w:t>
      </w:r>
      <w:r w:rsidR="00AC6AC8" w:rsidRPr="00794D66">
        <w:rPr>
          <w:rFonts w:ascii="Times New Roman" w:hAnsi="Times New Roman" w:cs="Times New Roman"/>
          <w:color w:val="000000"/>
          <w:sz w:val="26"/>
          <w:szCs w:val="26"/>
        </w:rPr>
        <w:t xml:space="preserve"> ES</w:t>
      </w:r>
      <w:r w:rsidRPr="00794D66">
        <w:rPr>
          <w:rFonts w:ascii="Times New Roman" w:hAnsi="Times New Roman" w:cs="Times New Roman"/>
          <w:color w:val="000000"/>
          <w:sz w:val="26"/>
          <w:szCs w:val="26"/>
        </w:rPr>
        <w:t xml:space="preserve"> biudžeto šalia </w:t>
      </w:r>
      <w:r w:rsidR="00AC6AC8" w:rsidRPr="00794D66">
        <w:rPr>
          <w:rFonts w:ascii="Times New Roman" w:hAnsi="Times New Roman" w:cs="Times New Roman"/>
          <w:color w:val="000000"/>
          <w:sz w:val="26"/>
          <w:szCs w:val="26"/>
        </w:rPr>
        <w:t xml:space="preserve">ES </w:t>
      </w:r>
      <w:r w:rsidRPr="00794D66">
        <w:rPr>
          <w:rFonts w:ascii="Times New Roman" w:hAnsi="Times New Roman" w:cs="Times New Roman"/>
          <w:color w:val="000000"/>
          <w:sz w:val="26"/>
          <w:szCs w:val="26"/>
        </w:rPr>
        <w:t xml:space="preserve">biudžeto. Svarstytina MFF diskusijų kontekste, atsižvelgiant į </w:t>
      </w:r>
      <w:r w:rsidR="00EC34F3" w:rsidRPr="00794D66">
        <w:rPr>
          <w:rFonts w:ascii="Times New Roman" w:hAnsi="Times New Roman" w:cs="Times New Roman"/>
          <w:color w:val="000000"/>
          <w:sz w:val="26"/>
          <w:szCs w:val="26"/>
        </w:rPr>
        <w:t>n</w:t>
      </w:r>
      <w:r w:rsidRPr="00794D66">
        <w:rPr>
          <w:rFonts w:ascii="Times New Roman" w:hAnsi="Times New Roman" w:cs="Times New Roman"/>
          <w:color w:val="000000"/>
          <w:sz w:val="26"/>
          <w:szCs w:val="26"/>
        </w:rPr>
        <w:t>au</w:t>
      </w:r>
      <w:r w:rsidR="00AC6AC8" w:rsidRPr="00794D66">
        <w:rPr>
          <w:rFonts w:ascii="Times New Roman" w:hAnsi="Times New Roman" w:cs="Times New Roman"/>
          <w:color w:val="000000"/>
          <w:sz w:val="26"/>
          <w:szCs w:val="26"/>
        </w:rPr>
        <w:t>j</w:t>
      </w:r>
      <w:r w:rsidRPr="00794D66">
        <w:rPr>
          <w:rFonts w:ascii="Times New Roman" w:hAnsi="Times New Roman" w:cs="Times New Roman"/>
          <w:color w:val="000000"/>
          <w:sz w:val="26"/>
          <w:szCs w:val="26"/>
        </w:rPr>
        <w:t>us COM pasiūlymus dėl ekonomikos gaivinimo.</w:t>
      </w:r>
    </w:p>
    <w:p w14:paraId="758FA45E" w14:textId="77777777" w:rsidR="00F90D69" w:rsidRPr="00794D66" w:rsidRDefault="00F90D69" w:rsidP="00F90D69">
      <w:pPr>
        <w:spacing w:after="0"/>
        <w:contextualSpacing/>
        <w:jc w:val="both"/>
        <w:rPr>
          <w:rFonts w:ascii="Times New Roman" w:hAnsi="Times New Roman" w:cs="Times New Roman"/>
          <w:color w:val="000000"/>
          <w:sz w:val="26"/>
          <w:szCs w:val="26"/>
        </w:rPr>
      </w:pPr>
    </w:p>
    <w:p w14:paraId="3B6E8BF6" w14:textId="7C90D1BE" w:rsidR="00F90D69" w:rsidRPr="00794D66" w:rsidRDefault="00F90D69" w:rsidP="000E0DA1">
      <w:pPr>
        <w:spacing w:after="0"/>
        <w:contextualSpacing/>
        <w:jc w:val="both"/>
        <w:rPr>
          <w:rFonts w:ascii="Times New Roman" w:hAnsi="Times New Roman" w:cs="Times New Roman"/>
          <w:sz w:val="26"/>
          <w:szCs w:val="26"/>
        </w:rPr>
      </w:pPr>
      <w:r w:rsidRPr="00794D66">
        <w:rPr>
          <w:rFonts w:ascii="Times New Roman" w:hAnsi="Times New Roman" w:cs="Times New Roman"/>
          <w:b/>
          <w:color w:val="000000"/>
          <w:sz w:val="26"/>
          <w:szCs w:val="26"/>
        </w:rPr>
        <w:t>NL naujas pasiūlymas:</w:t>
      </w:r>
      <w:r w:rsidRPr="00794D66">
        <w:rPr>
          <w:rFonts w:ascii="Times New Roman" w:hAnsi="Times New Roman" w:cs="Times New Roman"/>
          <w:color w:val="000000"/>
          <w:sz w:val="26"/>
          <w:szCs w:val="26"/>
        </w:rPr>
        <w:t xml:space="preserve"> Pasiruošę diskutuoti toliau, norėtume aiškesnės sąsajos su COM pasiūlymais dėl ES biudžeto lėšų mobilizavimo šioms reikmėms.</w:t>
      </w:r>
    </w:p>
    <w:sectPr w:rsidR="00F90D69" w:rsidRPr="00794D66" w:rsidSect="000B4B6C">
      <w:footerReference w:type="default" r:id="rId9"/>
      <w:pgSz w:w="11906" w:h="16838"/>
      <w:pgMar w:top="709" w:right="567" w:bottom="1134" w:left="709"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1339F7" w15:done="0"/>
  <w15:commentEx w15:paraId="03C786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B0849" w14:textId="77777777" w:rsidR="003579CD" w:rsidRDefault="003579CD" w:rsidP="00967EE5">
      <w:pPr>
        <w:spacing w:after="0" w:line="240" w:lineRule="auto"/>
      </w:pPr>
      <w:r>
        <w:separator/>
      </w:r>
    </w:p>
  </w:endnote>
  <w:endnote w:type="continuationSeparator" w:id="0">
    <w:p w14:paraId="78CEC38A" w14:textId="77777777" w:rsidR="003579CD" w:rsidRDefault="003579CD" w:rsidP="0096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496152"/>
      <w:docPartObj>
        <w:docPartGallery w:val="Page Numbers (Bottom of Page)"/>
        <w:docPartUnique/>
      </w:docPartObj>
    </w:sdtPr>
    <w:sdtEndPr/>
    <w:sdtContent>
      <w:p w14:paraId="3A974969" w14:textId="5C431D00" w:rsidR="008D35A2" w:rsidRDefault="008D35A2">
        <w:pPr>
          <w:pStyle w:val="Porat"/>
          <w:jc w:val="right"/>
        </w:pPr>
        <w:r>
          <w:fldChar w:fldCharType="begin"/>
        </w:r>
        <w:r>
          <w:instrText>PAGE   \* MERGEFORMAT</w:instrText>
        </w:r>
        <w:r>
          <w:fldChar w:fldCharType="separate"/>
        </w:r>
        <w:r w:rsidR="009C5D47">
          <w:rPr>
            <w:noProof/>
          </w:rPr>
          <w:t>6</w:t>
        </w:r>
        <w:r>
          <w:fldChar w:fldCharType="end"/>
        </w:r>
      </w:p>
    </w:sdtContent>
  </w:sdt>
  <w:p w14:paraId="18883F2A" w14:textId="77777777" w:rsidR="008D35A2" w:rsidRDefault="008D35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7C274" w14:textId="77777777" w:rsidR="003579CD" w:rsidRDefault="003579CD" w:rsidP="00967EE5">
      <w:pPr>
        <w:spacing w:after="0" w:line="240" w:lineRule="auto"/>
      </w:pPr>
      <w:r>
        <w:separator/>
      </w:r>
    </w:p>
  </w:footnote>
  <w:footnote w:type="continuationSeparator" w:id="0">
    <w:p w14:paraId="088068C3" w14:textId="77777777" w:rsidR="003579CD" w:rsidRDefault="003579CD" w:rsidP="00967EE5">
      <w:pPr>
        <w:spacing w:after="0" w:line="240" w:lineRule="auto"/>
      </w:pPr>
      <w:r>
        <w:continuationSeparator/>
      </w:r>
    </w:p>
  </w:footnote>
  <w:footnote w:id="1">
    <w:p w14:paraId="66C7C8E7" w14:textId="77777777" w:rsidR="00967EE5" w:rsidRPr="00967EE5" w:rsidRDefault="00967EE5">
      <w:pPr>
        <w:pStyle w:val="Puslapioinaostekstas"/>
        <w:rPr>
          <w:lang w:val="en-US"/>
        </w:rPr>
      </w:pPr>
      <w:r>
        <w:rPr>
          <w:rStyle w:val="Puslapioinaosnuoroda"/>
        </w:rPr>
        <w:footnoteRef/>
      </w:r>
      <w:r>
        <w:t xml:space="preserve"> </w:t>
      </w:r>
      <w:hyperlink r:id="rId1" w:history="1">
        <w:r>
          <w:rPr>
            <w:rStyle w:val="Hipersaitas"/>
          </w:rPr>
          <w:t>https://www.ecb.europa.eu/stats/policy_and_exchange_rates/key_ecb_interest_rates/html/index.en.html</w:t>
        </w:r>
      </w:hyperlink>
    </w:p>
  </w:footnote>
  <w:footnote w:id="2">
    <w:p w14:paraId="19733963" w14:textId="77777777" w:rsidR="00096F2A" w:rsidRDefault="00096F2A">
      <w:pPr>
        <w:pStyle w:val="Puslapioinaostekstas"/>
      </w:pPr>
      <w:r>
        <w:rPr>
          <w:rStyle w:val="Puslapioinaosnuoroda"/>
        </w:rPr>
        <w:footnoteRef/>
      </w:r>
      <w:r>
        <w:t xml:space="preserve"> </w:t>
      </w:r>
      <w:hyperlink r:id="rId2" w:history="1">
        <w:r>
          <w:rPr>
            <w:rStyle w:val="Hipersaitas"/>
          </w:rPr>
          <w:t>https://ec.europa.eu/eurostat/tgm/table.do?tab=table&amp;init=1&amp;language=en&amp;pcode=teina230&amp;plugin=1</w:t>
        </w:r>
      </w:hyperlink>
    </w:p>
  </w:footnote>
  <w:footnote w:id="3">
    <w:p w14:paraId="746D3AEB" w14:textId="77777777" w:rsidR="00096F2A" w:rsidRDefault="00096F2A">
      <w:pPr>
        <w:pStyle w:val="Puslapioinaostekstas"/>
      </w:pPr>
      <w:r>
        <w:rPr>
          <w:rStyle w:val="Puslapioinaosnuoroda"/>
        </w:rPr>
        <w:footnoteRef/>
      </w:r>
      <w:r>
        <w:t xml:space="preserve"> </w:t>
      </w:r>
      <w:hyperlink r:id="rId3" w:history="1">
        <w:r>
          <w:rPr>
            <w:rStyle w:val="Hipersaitas"/>
          </w:rPr>
          <w:t>https://ec.europa.eu/info/business-economy-euro/economic-performance-and-forecasts/economic-performance-country/lithuania/economic-forecast-lithuania_en</w:t>
        </w:r>
      </w:hyperlink>
      <w:r>
        <w:t xml:space="preserve">, </w:t>
      </w:r>
      <w:hyperlink r:id="rId4" w:history="1">
        <w:r>
          <w:rPr>
            <w:rStyle w:val="Hipersaitas"/>
          </w:rPr>
          <w:t>https://ec.europa.eu/info/business-economy-euro/economic-performance-and-forecasts/economic-performance-country/italy/economic-forecast-italy_en</w:t>
        </w:r>
      </w:hyperlink>
    </w:p>
  </w:footnote>
  <w:footnote w:id="4">
    <w:p w14:paraId="16D97B42" w14:textId="5C1BA2C6" w:rsidR="00911190" w:rsidRDefault="00911190">
      <w:pPr>
        <w:pStyle w:val="Puslapioinaostekstas"/>
      </w:pPr>
      <w:r>
        <w:rPr>
          <w:rStyle w:val="Puslapioinaosnuoroda"/>
        </w:rPr>
        <w:footnoteRef/>
      </w:r>
      <w:r>
        <w:t xml:space="preserve"> </w:t>
      </w:r>
      <w:hyperlink r:id="rId5" w:history="1">
        <w:r>
          <w:rPr>
            <w:rStyle w:val="Hipersaitas"/>
          </w:rPr>
          <w:t>http://appsso.eurostat.ec.europa.eu/nui/submitViewTableAction.do</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C9039BC"/>
    <w:multiLevelType w:val="hybridMultilevel"/>
    <w:tmpl w:val="F90E2738"/>
    <w:lvl w:ilvl="0" w:tplc="EBFE1D9A">
      <w:start w:val="1"/>
      <w:numFmt w:val="decimal"/>
      <w:lvlText w:val="(%1)"/>
      <w:lvlJc w:val="left"/>
      <w:pPr>
        <w:ind w:left="740" w:hanging="3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86748"/>
    <w:multiLevelType w:val="hybridMultilevel"/>
    <w:tmpl w:val="8BB89760"/>
    <w:lvl w:ilvl="0" w:tplc="4AE80FC6">
      <w:start w:val="5"/>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A474350"/>
    <w:multiLevelType w:val="hybridMultilevel"/>
    <w:tmpl w:val="A9B64F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E5401F4"/>
    <w:multiLevelType w:val="hybridMultilevel"/>
    <w:tmpl w:val="37BECE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6F677FD0"/>
    <w:multiLevelType w:val="multilevel"/>
    <w:tmpl w:val="65DAD1DE"/>
    <w:lvl w:ilvl="0">
      <w:numFmt w:val="bullet"/>
      <w:lvlText w:val="•"/>
      <w:lvlJc w:val="left"/>
      <w:pPr>
        <w:tabs>
          <w:tab w:val="num" w:pos="720"/>
        </w:tabs>
        <w:ind w:left="720" w:hanging="360"/>
      </w:pPr>
      <w:rPr>
        <w:rFonts w:ascii="Times New Roman Bold" w:eastAsia="Times New Roman Bold" w:hAnsi="Times New Roman Bold" w:cs="Times New Roman Bold"/>
        <w:position w:val="0"/>
        <w:sz w:val="22"/>
        <w:szCs w:val="22"/>
      </w:rPr>
    </w:lvl>
    <w:lvl w:ilvl="1">
      <w:start w:val="1"/>
      <w:numFmt w:val="bullet"/>
      <w:lvlText w:val="o"/>
      <w:lvlJc w:val="left"/>
      <w:pPr>
        <w:tabs>
          <w:tab w:val="num" w:pos="1470"/>
        </w:tabs>
        <w:ind w:left="1470" w:hanging="390"/>
      </w:pPr>
      <w:rPr>
        <w:rFonts w:ascii="Times New Roman Bold" w:eastAsia="Times New Roman Bold" w:hAnsi="Times New Roman Bold" w:cs="Times New Roman Bold"/>
        <w:position w:val="0"/>
        <w:sz w:val="26"/>
        <w:szCs w:val="26"/>
      </w:rPr>
    </w:lvl>
    <w:lvl w:ilvl="2">
      <w:start w:val="1"/>
      <w:numFmt w:val="bullet"/>
      <w:lvlText w:val="▪"/>
      <w:lvlJc w:val="left"/>
      <w:pPr>
        <w:tabs>
          <w:tab w:val="num" w:pos="2190"/>
        </w:tabs>
        <w:ind w:left="2190" w:hanging="390"/>
      </w:pPr>
      <w:rPr>
        <w:rFonts w:ascii="Times New Roman Bold" w:eastAsia="Times New Roman Bold" w:hAnsi="Times New Roman Bold" w:cs="Times New Roman Bold"/>
        <w:position w:val="0"/>
        <w:sz w:val="26"/>
        <w:szCs w:val="26"/>
      </w:rPr>
    </w:lvl>
    <w:lvl w:ilvl="3">
      <w:start w:val="1"/>
      <w:numFmt w:val="bullet"/>
      <w:lvlText w:val="•"/>
      <w:lvlJc w:val="left"/>
      <w:pPr>
        <w:tabs>
          <w:tab w:val="num" w:pos="2910"/>
        </w:tabs>
        <w:ind w:left="2910" w:hanging="390"/>
      </w:pPr>
      <w:rPr>
        <w:rFonts w:ascii="Times New Roman Bold" w:eastAsia="Times New Roman Bold" w:hAnsi="Times New Roman Bold" w:cs="Times New Roman Bold"/>
        <w:position w:val="0"/>
        <w:sz w:val="26"/>
        <w:szCs w:val="26"/>
      </w:rPr>
    </w:lvl>
    <w:lvl w:ilvl="4">
      <w:start w:val="1"/>
      <w:numFmt w:val="bullet"/>
      <w:lvlText w:val="o"/>
      <w:lvlJc w:val="left"/>
      <w:pPr>
        <w:tabs>
          <w:tab w:val="num" w:pos="3630"/>
        </w:tabs>
        <w:ind w:left="3630" w:hanging="390"/>
      </w:pPr>
      <w:rPr>
        <w:rFonts w:ascii="Times New Roman Bold" w:eastAsia="Times New Roman Bold" w:hAnsi="Times New Roman Bold" w:cs="Times New Roman Bold"/>
        <w:position w:val="0"/>
        <w:sz w:val="26"/>
        <w:szCs w:val="26"/>
      </w:rPr>
    </w:lvl>
    <w:lvl w:ilvl="5">
      <w:start w:val="1"/>
      <w:numFmt w:val="bullet"/>
      <w:lvlText w:val="▪"/>
      <w:lvlJc w:val="left"/>
      <w:pPr>
        <w:tabs>
          <w:tab w:val="num" w:pos="4350"/>
        </w:tabs>
        <w:ind w:left="4350" w:hanging="390"/>
      </w:pPr>
      <w:rPr>
        <w:rFonts w:ascii="Times New Roman Bold" w:eastAsia="Times New Roman Bold" w:hAnsi="Times New Roman Bold" w:cs="Times New Roman Bold"/>
        <w:position w:val="0"/>
        <w:sz w:val="26"/>
        <w:szCs w:val="26"/>
      </w:rPr>
    </w:lvl>
    <w:lvl w:ilvl="6">
      <w:start w:val="1"/>
      <w:numFmt w:val="bullet"/>
      <w:lvlText w:val="•"/>
      <w:lvlJc w:val="left"/>
      <w:pPr>
        <w:tabs>
          <w:tab w:val="num" w:pos="5070"/>
        </w:tabs>
        <w:ind w:left="5070" w:hanging="390"/>
      </w:pPr>
      <w:rPr>
        <w:rFonts w:ascii="Times New Roman Bold" w:eastAsia="Times New Roman Bold" w:hAnsi="Times New Roman Bold" w:cs="Times New Roman Bold"/>
        <w:position w:val="0"/>
        <w:sz w:val="26"/>
        <w:szCs w:val="26"/>
      </w:rPr>
    </w:lvl>
    <w:lvl w:ilvl="7">
      <w:start w:val="1"/>
      <w:numFmt w:val="bullet"/>
      <w:lvlText w:val="o"/>
      <w:lvlJc w:val="left"/>
      <w:pPr>
        <w:tabs>
          <w:tab w:val="num" w:pos="5790"/>
        </w:tabs>
        <w:ind w:left="5790" w:hanging="390"/>
      </w:pPr>
      <w:rPr>
        <w:rFonts w:ascii="Times New Roman Bold" w:eastAsia="Times New Roman Bold" w:hAnsi="Times New Roman Bold" w:cs="Times New Roman Bold"/>
        <w:position w:val="0"/>
        <w:sz w:val="26"/>
        <w:szCs w:val="26"/>
      </w:rPr>
    </w:lvl>
    <w:lvl w:ilvl="8">
      <w:start w:val="1"/>
      <w:numFmt w:val="bullet"/>
      <w:lvlText w:val="▪"/>
      <w:lvlJc w:val="left"/>
      <w:pPr>
        <w:tabs>
          <w:tab w:val="num" w:pos="6510"/>
        </w:tabs>
        <w:ind w:left="6510" w:hanging="390"/>
      </w:pPr>
      <w:rPr>
        <w:rFonts w:ascii="Times New Roman Bold" w:eastAsia="Times New Roman Bold" w:hAnsi="Times New Roman Bold" w:cs="Times New Roman Bold"/>
        <w:position w:val="0"/>
        <w:sz w:val="26"/>
        <w:szCs w:val="26"/>
      </w:rPr>
    </w:lvl>
  </w:abstractNum>
  <w:abstractNum w:abstractNumId="6">
    <w:nsid w:val="733D2F45"/>
    <w:multiLevelType w:val="hybridMultilevel"/>
    <w:tmpl w:val="74148DFE"/>
    <w:lvl w:ilvl="0" w:tplc="1E7E2F14">
      <w:start w:val="5"/>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vartotojas">
    <w15:presenceInfo w15:providerId="None" w15:userId="„Windows“ 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AF"/>
    <w:rsid w:val="00002A87"/>
    <w:rsid w:val="000232C4"/>
    <w:rsid w:val="00034789"/>
    <w:rsid w:val="000535DB"/>
    <w:rsid w:val="000779F4"/>
    <w:rsid w:val="00090C30"/>
    <w:rsid w:val="00096F2A"/>
    <w:rsid w:val="000A6DD2"/>
    <w:rsid w:val="000B4B6C"/>
    <w:rsid w:val="000D1811"/>
    <w:rsid w:val="000E0DA1"/>
    <w:rsid w:val="000F6851"/>
    <w:rsid w:val="00106010"/>
    <w:rsid w:val="00167CD5"/>
    <w:rsid w:val="001B6C9B"/>
    <w:rsid w:val="001D4098"/>
    <w:rsid w:val="001E04BC"/>
    <w:rsid w:val="001E3538"/>
    <w:rsid w:val="002028D7"/>
    <w:rsid w:val="00216F51"/>
    <w:rsid w:val="002645E2"/>
    <w:rsid w:val="00267E30"/>
    <w:rsid w:val="002775B3"/>
    <w:rsid w:val="00292CAA"/>
    <w:rsid w:val="002C37F2"/>
    <w:rsid w:val="002E00E1"/>
    <w:rsid w:val="002F21A5"/>
    <w:rsid w:val="002F27AF"/>
    <w:rsid w:val="00307CC5"/>
    <w:rsid w:val="00356E78"/>
    <w:rsid w:val="003579CD"/>
    <w:rsid w:val="00361D34"/>
    <w:rsid w:val="003677BF"/>
    <w:rsid w:val="00386CF0"/>
    <w:rsid w:val="00391D8C"/>
    <w:rsid w:val="003928F3"/>
    <w:rsid w:val="003C235A"/>
    <w:rsid w:val="003D0A9A"/>
    <w:rsid w:val="003D436C"/>
    <w:rsid w:val="003D667C"/>
    <w:rsid w:val="003F13F5"/>
    <w:rsid w:val="00442D4E"/>
    <w:rsid w:val="004C1BA1"/>
    <w:rsid w:val="004D17EF"/>
    <w:rsid w:val="004D640F"/>
    <w:rsid w:val="005756AF"/>
    <w:rsid w:val="00591083"/>
    <w:rsid w:val="005F27F5"/>
    <w:rsid w:val="00600E51"/>
    <w:rsid w:val="00610AB2"/>
    <w:rsid w:val="0064547A"/>
    <w:rsid w:val="00650E53"/>
    <w:rsid w:val="006C00C0"/>
    <w:rsid w:val="006C2563"/>
    <w:rsid w:val="006C602D"/>
    <w:rsid w:val="00725552"/>
    <w:rsid w:val="00747CD5"/>
    <w:rsid w:val="00752172"/>
    <w:rsid w:val="00764A5B"/>
    <w:rsid w:val="0077236F"/>
    <w:rsid w:val="00794D66"/>
    <w:rsid w:val="00795F72"/>
    <w:rsid w:val="007A2BD1"/>
    <w:rsid w:val="007D310B"/>
    <w:rsid w:val="007F043D"/>
    <w:rsid w:val="007F7446"/>
    <w:rsid w:val="00816EC2"/>
    <w:rsid w:val="00857CFB"/>
    <w:rsid w:val="008931BD"/>
    <w:rsid w:val="008C2E01"/>
    <w:rsid w:val="008D35A2"/>
    <w:rsid w:val="00911190"/>
    <w:rsid w:val="00943AA4"/>
    <w:rsid w:val="00947ADE"/>
    <w:rsid w:val="009557F3"/>
    <w:rsid w:val="00967EE5"/>
    <w:rsid w:val="009C06F4"/>
    <w:rsid w:val="009C5D47"/>
    <w:rsid w:val="00A45163"/>
    <w:rsid w:val="00A55424"/>
    <w:rsid w:val="00A87A72"/>
    <w:rsid w:val="00AC31FE"/>
    <w:rsid w:val="00AC6AC8"/>
    <w:rsid w:val="00AD1FAD"/>
    <w:rsid w:val="00AF2388"/>
    <w:rsid w:val="00B019C1"/>
    <w:rsid w:val="00B2605B"/>
    <w:rsid w:val="00B70062"/>
    <w:rsid w:val="00B74072"/>
    <w:rsid w:val="00B800D0"/>
    <w:rsid w:val="00BC4141"/>
    <w:rsid w:val="00BD7F74"/>
    <w:rsid w:val="00BE3178"/>
    <w:rsid w:val="00BE7E23"/>
    <w:rsid w:val="00C05E36"/>
    <w:rsid w:val="00C0738F"/>
    <w:rsid w:val="00C11F49"/>
    <w:rsid w:val="00C17721"/>
    <w:rsid w:val="00C43648"/>
    <w:rsid w:val="00C4383F"/>
    <w:rsid w:val="00C54334"/>
    <w:rsid w:val="00CE34B5"/>
    <w:rsid w:val="00D03ECA"/>
    <w:rsid w:val="00D54621"/>
    <w:rsid w:val="00D87CEE"/>
    <w:rsid w:val="00D95325"/>
    <w:rsid w:val="00DB0738"/>
    <w:rsid w:val="00DB2AAC"/>
    <w:rsid w:val="00DC59A7"/>
    <w:rsid w:val="00DD1BF4"/>
    <w:rsid w:val="00DD6077"/>
    <w:rsid w:val="00E22F55"/>
    <w:rsid w:val="00E31A30"/>
    <w:rsid w:val="00E5052E"/>
    <w:rsid w:val="00E87204"/>
    <w:rsid w:val="00E87BF6"/>
    <w:rsid w:val="00EC34F3"/>
    <w:rsid w:val="00EE339E"/>
    <w:rsid w:val="00F35E7E"/>
    <w:rsid w:val="00F55374"/>
    <w:rsid w:val="00F62DC3"/>
    <w:rsid w:val="00F70C9B"/>
    <w:rsid w:val="00F90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57"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4B6C"/>
  </w:style>
  <w:style w:type="paragraph" w:styleId="Antrat2">
    <w:name w:val="heading 2"/>
    <w:basedOn w:val="prastasis"/>
    <w:next w:val="prastasis"/>
    <w:link w:val="Antrat2Diagrama"/>
    <w:uiPriority w:val="9"/>
    <w:unhideWhenUsed/>
    <w:qFormat/>
    <w:rsid w:val="007255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qFormat/>
    <w:rsid w:val="000B4B6C"/>
    <w:pPr>
      <w:ind w:left="720"/>
      <w:contextualSpacing/>
    </w:pPr>
  </w:style>
  <w:style w:type="paragraph" w:styleId="Puslapioinaostekstas">
    <w:name w:val="footnote text"/>
    <w:aliases w:val="ARM footnote Text,Ch,Cha,Char,FSR footnote,Footnote,Footnote Text Char Char,Footnote Text Char11,Footnote Text Char2,Footnote Text Char3,Footnote Text Char4,Footnote Text Char5,Fußnote,Testo_note,fn,ft,lábléc,notefranz"/>
    <w:basedOn w:val="prastasis"/>
    <w:link w:val="PuslapioinaostekstasDiagrama"/>
    <w:uiPriority w:val="99"/>
    <w:unhideWhenUsed/>
    <w:qFormat/>
    <w:rsid w:val="00967EE5"/>
    <w:pPr>
      <w:spacing w:after="0" w:line="240" w:lineRule="auto"/>
    </w:pPr>
    <w:rPr>
      <w:sz w:val="20"/>
      <w:szCs w:val="20"/>
    </w:rPr>
  </w:style>
  <w:style w:type="character" w:customStyle="1" w:styleId="PuslapioinaostekstasDiagrama">
    <w:name w:val="Puslapio išnašos tekstas Diagrama"/>
    <w:aliases w:val="ARM footnote Text Diagrama,Ch Diagrama,Cha Diagrama,Char Diagrama,FSR footnote Diagrama,Footnote Diagrama,Footnote Text Char Char Diagrama,Footnote Text Char11 Diagrama,Footnote Text Char2 Diagrama,Fußnote Diagrama"/>
    <w:basedOn w:val="Numatytasispastraiposriftas"/>
    <w:link w:val="Puslapioinaostekstas"/>
    <w:uiPriority w:val="99"/>
    <w:rsid w:val="00967EE5"/>
    <w:rPr>
      <w:sz w:val="20"/>
      <w:szCs w:val="20"/>
    </w:rPr>
  </w:style>
  <w:style w:type="character" w:styleId="Puslapioinaosnuoroda">
    <w:name w:val="footnote reference"/>
    <w:aliases w:val="Appel note de bas de page"/>
    <w:basedOn w:val="Numatytasispastraiposriftas"/>
    <w:uiPriority w:val="57"/>
    <w:unhideWhenUsed/>
    <w:qFormat/>
    <w:rsid w:val="00967EE5"/>
    <w:rPr>
      <w:vertAlign w:val="superscript"/>
    </w:rPr>
  </w:style>
  <w:style w:type="character" w:styleId="Hipersaitas">
    <w:name w:val="Hyperlink"/>
    <w:basedOn w:val="Numatytasispastraiposriftas"/>
    <w:uiPriority w:val="99"/>
    <w:semiHidden/>
    <w:unhideWhenUsed/>
    <w:rsid w:val="00967EE5"/>
    <w:rPr>
      <w:color w:val="0000FF"/>
      <w:u w:val="single"/>
    </w:rPr>
  </w:style>
  <w:style w:type="paragraph" w:styleId="Debesliotekstas">
    <w:name w:val="Balloon Text"/>
    <w:basedOn w:val="prastasis"/>
    <w:link w:val="DebesliotekstasDiagrama"/>
    <w:uiPriority w:val="99"/>
    <w:semiHidden/>
    <w:unhideWhenUsed/>
    <w:rsid w:val="00764A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4A5B"/>
    <w:rPr>
      <w:rFonts w:ascii="Tahoma" w:hAnsi="Tahoma" w:cs="Tahoma"/>
      <w:sz w:val="16"/>
      <w:szCs w:val="16"/>
    </w:rPr>
  </w:style>
  <w:style w:type="character" w:styleId="Komentaronuoroda">
    <w:name w:val="annotation reference"/>
    <w:basedOn w:val="Numatytasispastraiposriftas"/>
    <w:uiPriority w:val="99"/>
    <w:semiHidden/>
    <w:unhideWhenUsed/>
    <w:rsid w:val="00764A5B"/>
    <w:rPr>
      <w:sz w:val="16"/>
      <w:szCs w:val="16"/>
    </w:rPr>
  </w:style>
  <w:style w:type="paragraph" w:styleId="Komentarotekstas">
    <w:name w:val="annotation text"/>
    <w:basedOn w:val="prastasis"/>
    <w:link w:val="KomentarotekstasDiagrama"/>
    <w:uiPriority w:val="99"/>
    <w:semiHidden/>
    <w:unhideWhenUsed/>
    <w:rsid w:val="00764A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4A5B"/>
    <w:rPr>
      <w:sz w:val="20"/>
      <w:szCs w:val="20"/>
    </w:rPr>
  </w:style>
  <w:style w:type="paragraph" w:styleId="Komentarotema">
    <w:name w:val="annotation subject"/>
    <w:basedOn w:val="Komentarotekstas"/>
    <w:next w:val="Komentarotekstas"/>
    <w:link w:val="KomentarotemaDiagrama"/>
    <w:uiPriority w:val="99"/>
    <w:semiHidden/>
    <w:unhideWhenUsed/>
    <w:rsid w:val="00764A5B"/>
    <w:rPr>
      <w:b/>
      <w:bCs/>
    </w:rPr>
  </w:style>
  <w:style w:type="character" w:customStyle="1" w:styleId="KomentarotemaDiagrama">
    <w:name w:val="Komentaro tema Diagrama"/>
    <w:basedOn w:val="KomentarotekstasDiagrama"/>
    <w:link w:val="Komentarotema"/>
    <w:uiPriority w:val="99"/>
    <w:semiHidden/>
    <w:rsid w:val="00764A5B"/>
    <w:rPr>
      <w:b/>
      <w:bCs/>
      <w:sz w:val="20"/>
      <w:szCs w:val="20"/>
    </w:rPr>
  </w:style>
  <w:style w:type="paragraph" w:styleId="Antrats">
    <w:name w:val="header"/>
    <w:basedOn w:val="prastasis"/>
    <w:link w:val="AntratsDiagrama"/>
    <w:uiPriority w:val="99"/>
    <w:unhideWhenUsed/>
    <w:rsid w:val="008D35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35A2"/>
  </w:style>
  <w:style w:type="paragraph" w:styleId="Porat">
    <w:name w:val="footer"/>
    <w:basedOn w:val="prastasis"/>
    <w:link w:val="PoratDiagrama"/>
    <w:uiPriority w:val="99"/>
    <w:unhideWhenUsed/>
    <w:rsid w:val="008D35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35A2"/>
  </w:style>
  <w:style w:type="table" w:styleId="Lentelstinklelis">
    <w:name w:val="Table Grid"/>
    <w:basedOn w:val="prastojilentel"/>
    <w:uiPriority w:val="39"/>
    <w:rsid w:val="009C06F4"/>
    <w:pPr>
      <w:spacing w:after="0" w:line="264" w:lineRule="auto"/>
    </w:pPr>
    <w:rPr>
      <w:rFonts w:ascii="Corbel" w:eastAsia="SimSun" w:hAnsi="Corbel" w:cs="Times New Roman"/>
      <w:sz w:val="21"/>
      <w:szCs w:val="23"/>
      <w:lang w:val="de-DE"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basedOn w:val="Numatytasispastraiposriftas"/>
    <w:link w:val="Sraopastraipa"/>
    <w:uiPriority w:val="34"/>
    <w:qFormat/>
    <w:locked/>
    <w:rsid w:val="009C06F4"/>
  </w:style>
  <w:style w:type="character" w:customStyle="1" w:styleId="tlid-translation">
    <w:name w:val="tlid-translation"/>
    <w:basedOn w:val="Numatytasispastraiposriftas"/>
    <w:rsid w:val="009C06F4"/>
  </w:style>
  <w:style w:type="character" w:customStyle="1" w:styleId="Antrat2Diagrama">
    <w:name w:val="Antraštė 2 Diagrama"/>
    <w:basedOn w:val="Numatytasispastraiposriftas"/>
    <w:link w:val="Antrat2"/>
    <w:uiPriority w:val="9"/>
    <w:rsid w:val="0072555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57"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4B6C"/>
  </w:style>
  <w:style w:type="paragraph" w:styleId="Antrat2">
    <w:name w:val="heading 2"/>
    <w:basedOn w:val="prastasis"/>
    <w:next w:val="prastasis"/>
    <w:link w:val="Antrat2Diagrama"/>
    <w:uiPriority w:val="9"/>
    <w:unhideWhenUsed/>
    <w:qFormat/>
    <w:rsid w:val="007255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qFormat/>
    <w:rsid w:val="000B4B6C"/>
    <w:pPr>
      <w:ind w:left="720"/>
      <w:contextualSpacing/>
    </w:pPr>
  </w:style>
  <w:style w:type="paragraph" w:styleId="Puslapioinaostekstas">
    <w:name w:val="footnote text"/>
    <w:aliases w:val="ARM footnote Text,Ch,Cha,Char,FSR footnote,Footnote,Footnote Text Char Char,Footnote Text Char11,Footnote Text Char2,Footnote Text Char3,Footnote Text Char4,Footnote Text Char5,Fußnote,Testo_note,fn,ft,lábléc,notefranz"/>
    <w:basedOn w:val="prastasis"/>
    <w:link w:val="PuslapioinaostekstasDiagrama"/>
    <w:uiPriority w:val="99"/>
    <w:unhideWhenUsed/>
    <w:qFormat/>
    <w:rsid w:val="00967EE5"/>
    <w:pPr>
      <w:spacing w:after="0" w:line="240" w:lineRule="auto"/>
    </w:pPr>
    <w:rPr>
      <w:sz w:val="20"/>
      <w:szCs w:val="20"/>
    </w:rPr>
  </w:style>
  <w:style w:type="character" w:customStyle="1" w:styleId="PuslapioinaostekstasDiagrama">
    <w:name w:val="Puslapio išnašos tekstas Diagrama"/>
    <w:aliases w:val="ARM footnote Text Diagrama,Ch Diagrama,Cha Diagrama,Char Diagrama,FSR footnote Diagrama,Footnote Diagrama,Footnote Text Char Char Diagrama,Footnote Text Char11 Diagrama,Footnote Text Char2 Diagrama,Fußnote Diagrama"/>
    <w:basedOn w:val="Numatytasispastraiposriftas"/>
    <w:link w:val="Puslapioinaostekstas"/>
    <w:uiPriority w:val="99"/>
    <w:rsid w:val="00967EE5"/>
    <w:rPr>
      <w:sz w:val="20"/>
      <w:szCs w:val="20"/>
    </w:rPr>
  </w:style>
  <w:style w:type="character" w:styleId="Puslapioinaosnuoroda">
    <w:name w:val="footnote reference"/>
    <w:aliases w:val="Appel note de bas de page"/>
    <w:basedOn w:val="Numatytasispastraiposriftas"/>
    <w:uiPriority w:val="57"/>
    <w:unhideWhenUsed/>
    <w:qFormat/>
    <w:rsid w:val="00967EE5"/>
    <w:rPr>
      <w:vertAlign w:val="superscript"/>
    </w:rPr>
  </w:style>
  <w:style w:type="character" w:styleId="Hipersaitas">
    <w:name w:val="Hyperlink"/>
    <w:basedOn w:val="Numatytasispastraiposriftas"/>
    <w:uiPriority w:val="99"/>
    <w:semiHidden/>
    <w:unhideWhenUsed/>
    <w:rsid w:val="00967EE5"/>
    <w:rPr>
      <w:color w:val="0000FF"/>
      <w:u w:val="single"/>
    </w:rPr>
  </w:style>
  <w:style w:type="paragraph" w:styleId="Debesliotekstas">
    <w:name w:val="Balloon Text"/>
    <w:basedOn w:val="prastasis"/>
    <w:link w:val="DebesliotekstasDiagrama"/>
    <w:uiPriority w:val="99"/>
    <w:semiHidden/>
    <w:unhideWhenUsed/>
    <w:rsid w:val="00764A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4A5B"/>
    <w:rPr>
      <w:rFonts w:ascii="Tahoma" w:hAnsi="Tahoma" w:cs="Tahoma"/>
      <w:sz w:val="16"/>
      <w:szCs w:val="16"/>
    </w:rPr>
  </w:style>
  <w:style w:type="character" w:styleId="Komentaronuoroda">
    <w:name w:val="annotation reference"/>
    <w:basedOn w:val="Numatytasispastraiposriftas"/>
    <w:uiPriority w:val="99"/>
    <w:semiHidden/>
    <w:unhideWhenUsed/>
    <w:rsid w:val="00764A5B"/>
    <w:rPr>
      <w:sz w:val="16"/>
      <w:szCs w:val="16"/>
    </w:rPr>
  </w:style>
  <w:style w:type="paragraph" w:styleId="Komentarotekstas">
    <w:name w:val="annotation text"/>
    <w:basedOn w:val="prastasis"/>
    <w:link w:val="KomentarotekstasDiagrama"/>
    <w:uiPriority w:val="99"/>
    <w:semiHidden/>
    <w:unhideWhenUsed/>
    <w:rsid w:val="00764A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4A5B"/>
    <w:rPr>
      <w:sz w:val="20"/>
      <w:szCs w:val="20"/>
    </w:rPr>
  </w:style>
  <w:style w:type="paragraph" w:styleId="Komentarotema">
    <w:name w:val="annotation subject"/>
    <w:basedOn w:val="Komentarotekstas"/>
    <w:next w:val="Komentarotekstas"/>
    <w:link w:val="KomentarotemaDiagrama"/>
    <w:uiPriority w:val="99"/>
    <w:semiHidden/>
    <w:unhideWhenUsed/>
    <w:rsid w:val="00764A5B"/>
    <w:rPr>
      <w:b/>
      <w:bCs/>
    </w:rPr>
  </w:style>
  <w:style w:type="character" w:customStyle="1" w:styleId="KomentarotemaDiagrama">
    <w:name w:val="Komentaro tema Diagrama"/>
    <w:basedOn w:val="KomentarotekstasDiagrama"/>
    <w:link w:val="Komentarotema"/>
    <w:uiPriority w:val="99"/>
    <w:semiHidden/>
    <w:rsid w:val="00764A5B"/>
    <w:rPr>
      <w:b/>
      <w:bCs/>
      <w:sz w:val="20"/>
      <w:szCs w:val="20"/>
    </w:rPr>
  </w:style>
  <w:style w:type="paragraph" w:styleId="Antrats">
    <w:name w:val="header"/>
    <w:basedOn w:val="prastasis"/>
    <w:link w:val="AntratsDiagrama"/>
    <w:uiPriority w:val="99"/>
    <w:unhideWhenUsed/>
    <w:rsid w:val="008D35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35A2"/>
  </w:style>
  <w:style w:type="paragraph" w:styleId="Porat">
    <w:name w:val="footer"/>
    <w:basedOn w:val="prastasis"/>
    <w:link w:val="PoratDiagrama"/>
    <w:uiPriority w:val="99"/>
    <w:unhideWhenUsed/>
    <w:rsid w:val="008D35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35A2"/>
  </w:style>
  <w:style w:type="table" w:styleId="Lentelstinklelis">
    <w:name w:val="Table Grid"/>
    <w:basedOn w:val="prastojilentel"/>
    <w:uiPriority w:val="39"/>
    <w:rsid w:val="009C06F4"/>
    <w:pPr>
      <w:spacing w:after="0" w:line="264" w:lineRule="auto"/>
    </w:pPr>
    <w:rPr>
      <w:rFonts w:ascii="Corbel" w:eastAsia="SimSun" w:hAnsi="Corbel" w:cs="Times New Roman"/>
      <w:sz w:val="21"/>
      <w:szCs w:val="23"/>
      <w:lang w:val="de-DE"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basedOn w:val="Numatytasispastraiposriftas"/>
    <w:link w:val="Sraopastraipa"/>
    <w:uiPriority w:val="34"/>
    <w:qFormat/>
    <w:locked/>
    <w:rsid w:val="009C06F4"/>
  </w:style>
  <w:style w:type="character" w:customStyle="1" w:styleId="tlid-translation">
    <w:name w:val="tlid-translation"/>
    <w:basedOn w:val="Numatytasispastraiposriftas"/>
    <w:rsid w:val="009C06F4"/>
  </w:style>
  <w:style w:type="character" w:customStyle="1" w:styleId="Antrat2Diagrama">
    <w:name w:val="Antraštė 2 Diagrama"/>
    <w:basedOn w:val="Numatytasispastraiposriftas"/>
    <w:link w:val="Antrat2"/>
    <w:uiPriority w:val="9"/>
    <w:rsid w:val="0072555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83692">
      <w:bodyDiv w:val="1"/>
      <w:marLeft w:val="0"/>
      <w:marRight w:val="0"/>
      <w:marTop w:val="0"/>
      <w:marBottom w:val="0"/>
      <w:divBdr>
        <w:top w:val="none" w:sz="0" w:space="0" w:color="auto"/>
        <w:left w:val="none" w:sz="0" w:space="0" w:color="auto"/>
        <w:bottom w:val="none" w:sz="0" w:space="0" w:color="auto"/>
        <w:right w:val="none" w:sz="0" w:space="0" w:color="auto"/>
      </w:divBdr>
    </w:div>
    <w:div w:id="1327442044">
      <w:bodyDiv w:val="1"/>
      <w:marLeft w:val="0"/>
      <w:marRight w:val="0"/>
      <w:marTop w:val="0"/>
      <w:marBottom w:val="0"/>
      <w:divBdr>
        <w:top w:val="none" w:sz="0" w:space="0" w:color="auto"/>
        <w:left w:val="none" w:sz="0" w:space="0" w:color="auto"/>
        <w:bottom w:val="none" w:sz="0" w:space="0" w:color="auto"/>
        <w:right w:val="none" w:sz="0" w:space="0" w:color="auto"/>
      </w:divBdr>
    </w:div>
    <w:div w:id="203079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business-economy-euro/economic-performance-and-forecasts/economic-performance-country/lithuania/economic-forecast-lithuania_en" TargetMode="External"/><Relationship Id="rId2" Type="http://schemas.openxmlformats.org/officeDocument/2006/relationships/hyperlink" Target="https://ec.europa.eu/eurostat/tgm/table.do?tab=table&amp;init=1&amp;language=en&amp;pcode=teina230&amp;plugin=1" TargetMode="External"/><Relationship Id="rId1" Type="http://schemas.openxmlformats.org/officeDocument/2006/relationships/hyperlink" Target="https://www.ecb.europa.eu/stats/policy_and_exchange_rates/key_ecb_interest_rates/html/index.en.html" TargetMode="External"/><Relationship Id="rId5" Type="http://schemas.openxmlformats.org/officeDocument/2006/relationships/hyperlink" Target="http://appsso.eurostat.ec.europa.eu/nui/submitViewTableAction.do" TargetMode="External"/><Relationship Id="rId4" Type="http://schemas.openxmlformats.org/officeDocument/2006/relationships/hyperlink" Target="https://ec.europa.eu/info/business-economy-euro/economic-performance-and-forecasts/economic-performance-country/italy/economic-forecast-italy_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1E192-D28F-4545-ADAC-7D083E9A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11811</Words>
  <Characters>6733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Markevičius</dc:creator>
  <cp:lastModifiedBy>Audronė Pavlovičienė</cp:lastModifiedBy>
  <cp:revision>4</cp:revision>
  <dcterms:created xsi:type="dcterms:W3CDTF">2020-04-07T09:07:00Z</dcterms:created>
  <dcterms:modified xsi:type="dcterms:W3CDTF">2020-04-07T09:24:00Z</dcterms:modified>
</cp:coreProperties>
</file>