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403" w:rsidRPr="00D65621" w:rsidRDefault="00B86403" w:rsidP="00D65621">
      <w:pPr>
        <w:jc w:val="both"/>
        <w:rPr>
          <w:rFonts w:asciiTheme="minorHAnsi" w:hAnsiTheme="minorHAnsi"/>
          <w:szCs w:val="24"/>
        </w:rPr>
      </w:pPr>
      <w:bookmarkStart w:id="0" w:name="_Toc473644121"/>
      <w:r w:rsidRPr="00D65621">
        <w:rPr>
          <w:rFonts w:asciiTheme="minorHAnsi" w:eastAsia="Calibri" w:hAnsiTheme="minorHAnsi"/>
          <w:b/>
          <w:noProof/>
          <w:color w:val="0070C0"/>
          <w:szCs w:val="24"/>
          <w:lang w:eastAsia="lt-LT"/>
        </w:rPr>
        <w:drawing>
          <wp:inline distT="0" distB="0" distL="0" distR="0" wp14:anchorId="1CA3EE63" wp14:editId="57FD15D8">
            <wp:extent cx="2914650" cy="1149350"/>
            <wp:effectExtent l="0" t="0" r="0" b="0"/>
            <wp:docPr id="387" name="Paveikslėlis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1149350"/>
                    </a:xfrm>
                    <a:prstGeom prst="rect">
                      <a:avLst/>
                    </a:prstGeom>
                    <a:noFill/>
                    <a:ln>
                      <a:noFill/>
                    </a:ln>
                  </pic:spPr>
                </pic:pic>
              </a:graphicData>
            </a:graphic>
          </wp:inline>
        </w:drawing>
      </w:r>
    </w:p>
    <w:p w:rsidR="00B86403" w:rsidRPr="00D65621" w:rsidRDefault="00B86403" w:rsidP="00D65621">
      <w:pPr>
        <w:jc w:val="both"/>
        <w:rPr>
          <w:rFonts w:asciiTheme="minorHAnsi" w:hAnsiTheme="minorHAnsi"/>
          <w:szCs w:val="24"/>
        </w:rPr>
      </w:pPr>
    </w:p>
    <w:p w:rsidR="00B86403" w:rsidRPr="00D65621" w:rsidRDefault="00B86403" w:rsidP="00D65621">
      <w:pPr>
        <w:jc w:val="both"/>
        <w:rPr>
          <w:rFonts w:asciiTheme="minorHAnsi" w:hAnsiTheme="minorHAnsi"/>
          <w:szCs w:val="24"/>
        </w:rPr>
      </w:pPr>
    </w:p>
    <w:p w:rsidR="00B86403" w:rsidRPr="00D65621" w:rsidRDefault="00B86403" w:rsidP="00D65621">
      <w:pPr>
        <w:jc w:val="both"/>
        <w:rPr>
          <w:rFonts w:asciiTheme="minorHAnsi" w:hAnsiTheme="minorHAnsi"/>
          <w:szCs w:val="24"/>
        </w:rPr>
      </w:pPr>
    </w:p>
    <w:p w:rsidR="00B86403" w:rsidRPr="00D65621" w:rsidRDefault="00B86403" w:rsidP="00D65621">
      <w:pPr>
        <w:jc w:val="both"/>
        <w:rPr>
          <w:rFonts w:asciiTheme="minorHAnsi" w:hAnsiTheme="minorHAnsi"/>
          <w:szCs w:val="24"/>
        </w:rPr>
      </w:pPr>
    </w:p>
    <w:p w:rsidR="00C42339" w:rsidRPr="00D65621" w:rsidRDefault="00C42339" w:rsidP="00D65621">
      <w:pPr>
        <w:jc w:val="both"/>
        <w:rPr>
          <w:rFonts w:asciiTheme="minorHAnsi" w:hAnsiTheme="minorHAnsi"/>
          <w:szCs w:val="24"/>
        </w:rPr>
      </w:pPr>
    </w:p>
    <w:p w:rsidR="00B86403" w:rsidRPr="00D65621" w:rsidRDefault="00B86403" w:rsidP="00D65621">
      <w:pPr>
        <w:jc w:val="both"/>
        <w:rPr>
          <w:rFonts w:asciiTheme="minorHAnsi" w:hAnsiTheme="minorHAnsi"/>
          <w:szCs w:val="24"/>
        </w:rPr>
      </w:pPr>
      <w:r w:rsidRPr="00D65621">
        <w:rPr>
          <w:rFonts w:asciiTheme="minorHAnsi" w:hAnsiTheme="minorHAnsi"/>
          <w:noProof/>
          <w:szCs w:val="24"/>
          <w:lang w:eastAsia="lt-LT"/>
        </w:rPr>
        <mc:AlternateContent>
          <mc:Choice Requires="wps">
            <w:drawing>
              <wp:anchor distT="0" distB="0" distL="114300" distR="114300" simplePos="0" relativeHeight="251662336" behindDoc="0" locked="0" layoutInCell="1" allowOverlap="1" wp14:anchorId="233BDD0E" wp14:editId="4A9C36E8">
                <wp:simplePos x="0" y="0"/>
                <wp:positionH relativeFrom="column">
                  <wp:posOffset>73925</wp:posOffset>
                </wp:positionH>
                <wp:positionV relativeFrom="paragraph">
                  <wp:posOffset>374214</wp:posOffset>
                </wp:positionV>
                <wp:extent cx="6209665" cy="2169994"/>
                <wp:effectExtent l="0" t="0" r="0" b="0"/>
                <wp:wrapNone/>
                <wp:docPr id="388" name="Teksto laukas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21699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5FE" w:rsidRPr="00BD3E54" w:rsidRDefault="00F235FE" w:rsidP="00D65621">
                            <w:pPr>
                              <w:ind w:left="-142"/>
                              <w:jc w:val="center"/>
                              <w:rPr>
                                <w:rFonts w:ascii="Calibri" w:hAnsi="Calibri"/>
                                <w:b/>
                                <w:color w:val="D9D9D9"/>
                                <w:sz w:val="48"/>
                                <w:szCs w:val="48"/>
                              </w:rPr>
                            </w:pPr>
                            <w:r w:rsidRPr="00BD3E54">
                              <w:rPr>
                                <w:rFonts w:ascii="Calibri" w:hAnsi="Calibri"/>
                                <w:b/>
                                <w:color w:val="D9D9D9"/>
                                <w:sz w:val="48"/>
                                <w:szCs w:val="48"/>
                              </w:rPr>
                              <w:t xml:space="preserve">2014–2020 M. </w:t>
                            </w:r>
                            <w:proofErr w:type="gramStart"/>
                            <w:r w:rsidRPr="00BD3E54">
                              <w:rPr>
                                <w:rFonts w:ascii="Calibri" w:hAnsi="Calibri"/>
                                <w:b/>
                                <w:color w:val="D9D9D9"/>
                                <w:sz w:val="48"/>
                                <w:szCs w:val="48"/>
                              </w:rPr>
                              <w:t>EUROPOS SĄJUNGOS</w:t>
                            </w:r>
                            <w:proofErr w:type="gramEnd"/>
                            <w:r w:rsidRPr="00BD3E54">
                              <w:rPr>
                                <w:rFonts w:ascii="Calibri" w:hAnsi="Calibri"/>
                                <w:b/>
                                <w:color w:val="D9D9D9"/>
                                <w:sz w:val="48"/>
                                <w:szCs w:val="48"/>
                              </w:rPr>
                              <w:t xml:space="preserve"> FONDŲ INVESTICIJŲ VEIKSMŲ PROGRAMOS ĮGYVENDINIMO KETVIRTINĖ ATASKAITA</w:t>
                            </w:r>
                          </w:p>
                          <w:p w:rsidR="00F235FE" w:rsidRDefault="00F235FE" w:rsidP="00B86403">
                            <w:pPr>
                              <w:rPr>
                                <w:rFonts w:ascii="Calibri" w:hAnsi="Calibri"/>
                                <w:b/>
                                <w:color w:val="D9D9D9"/>
                                <w:sz w:val="48"/>
                                <w:szCs w:val="48"/>
                              </w:rPr>
                            </w:pPr>
                          </w:p>
                          <w:p w:rsidR="00F235FE" w:rsidRPr="00BD3E54" w:rsidRDefault="00F235FE" w:rsidP="00B86403">
                            <w:pPr>
                              <w:rPr>
                                <w:rFonts w:ascii="Calibri" w:hAnsi="Calibri"/>
                                <w:b/>
                                <w:color w:val="D9D9D9"/>
                                <w:sz w:val="48"/>
                                <w:szCs w:val="48"/>
                              </w:rPr>
                            </w:pPr>
                          </w:p>
                          <w:p w:rsidR="00F235FE" w:rsidRPr="00A40881" w:rsidRDefault="00F235FE" w:rsidP="00D65621">
                            <w:pPr>
                              <w:jc w:val="center"/>
                              <w:rPr>
                                <w:sz w:val="28"/>
                                <w:szCs w:val="28"/>
                              </w:rPr>
                            </w:pPr>
                            <w:r>
                              <w:rPr>
                                <w:rFonts w:ascii="Calibri" w:hAnsi="Calibri"/>
                                <w:b/>
                                <w:color w:val="D9D9D9"/>
                                <w:sz w:val="28"/>
                                <w:szCs w:val="28"/>
                              </w:rPr>
                              <w:t xml:space="preserve">2018 metų IV </w:t>
                            </w:r>
                            <w:proofErr w:type="spellStart"/>
                            <w:r>
                              <w:rPr>
                                <w:rFonts w:ascii="Calibri" w:hAnsi="Calibri"/>
                                <w:b/>
                                <w:color w:val="D9D9D9"/>
                                <w:sz w:val="28"/>
                                <w:szCs w:val="28"/>
                              </w:rPr>
                              <w:t>ketv</w:t>
                            </w:r>
                            <w:proofErr w:type="spellEnd"/>
                            <w:r>
                              <w:rPr>
                                <w:rFonts w:ascii="Calibri" w:hAnsi="Calibri"/>
                                <w:b/>
                                <w:color w:val="D9D9D9"/>
                                <w:sz w:val="28"/>
                                <w:szCs w:val="28"/>
                              </w:rPr>
                              <w:t>. (metinė)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388" o:spid="_x0000_s1026" type="#_x0000_t202" style="position:absolute;left:0;text-align:left;margin-left:5.8pt;margin-top:29.45pt;width:488.95pt;height:17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" stroked="f">
                <v:fill opacity="0"/>
                <v:textbox>
                  <w:txbxContent>
                    <w:p w:rsidR="00F235FE" w:rsidRPr="00BD3E54" w:rsidRDefault="00F235FE" w:rsidP="00D65621">
                      <w:pPr>
                        <w:ind w:left="-142"/>
                        <w:jc w:val="center"/>
                        <w:rPr>
                          <w:rFonts w:ascii="Calibri" w:hAnsi="Calibri"/>
                          <w:b/>
                          <w:color w:val="D9D9D9"/>
                          <w:sz w:val="48"/>
                          <w:szCs w:val="48"/>
                        </w:rPr>
                      </w:pPr>
                      <w:r w:rsidRPr="00BD3E54">
                        <w:rPr>
                          <w:rFonts w:ascii="Calibri" w:hAnsi="Calibri"/>
                          <w:b/>
                          <w:color w:val="D9D9D9"/>
                          <w:sz w:val="48"/>
                          <w:szCs w:val="48"/>
                        </w:rPr>
                        <w:t xml:space="preserve">2014–2020 M. </w:t>
                      </w:r>
                      <w:proofErr w:type="gramStart"/>
                      <w:r w:rsidRPr="00BD3E54">
                        <w:rPr>
                          <w:rFonts w:ascii="Calibri" w:hAnsi="Calibri"/>
                          <w:b/>
                          <w:color w:val="D9D9D9"/>
                          <w:sz w:val="48"/>
                          <w:szCs w:val="48"/>
                        </w:rPr>
                        <w:t>EUROPOS SĄJUNGOS</w:t>
                      </w:r>
                      <w:proofErr w:type="gramEnd"/>
                      <w:r w:rsidRPr="00BD3E54">
                        <w:rPr>
                          <w:rFonts w:ascii="Calibri" w:hAnsi="Calibri"/>
                          <w:b/>
                          <w:color w:val="D9D9D9"/>
                          <w:sz w:val="48"/>
                          <w:szCs w:val="48"/>
                        </w:rPr>
                        <w:t xml:space="preserve"> FONDŲ INVESTICIJŲ VEIKSMŲ PROGRAMOS ĮGYVENDINIMO KETVIRTINĖ ATASKAITA</w:t>
                      </w:r>
                    </w:p>
                    <w:p w:rsidR="00F235FE" w:rsidRDefault="00F235FE" w:rsidP="00B86403">
                      <w:pPr>
                        <w:rPr>
                          <w:rFonts w:ascii="Calibri" w:hAnsi="Calibri"/>
                          <w:b/>
                          <w:color w:val="D9D9D9"/>
                          <w:sz w:val="48"/>
                          <w:szCs w:val="48"/>
                        </w:rPr>
                      </w:pPr>
                    </w:p>
                    <w:p w:rsidR="00F235FE" w:rsidRPr="00BD3E54" w:rsidRDefault="00F235FE" w:rsidP="00B86403">
                      <w:pPr>
                        <w:rPr>
                          <w:rFonts w:ascii="Calibri" w:hAnsi="Calibri"/>
                          <w:b/>
                          <w:color w:val="D9D9D9"/>
                          <w:sz w:val="48"/>
                          <w:szCs w:val="48"/>
                        </w:rPr>
                      </w:pPr>
                    </w:p>
                    <w:p w:rsidR="00F235FE" w:rsidRPr="00A40881" w:rsidRDefault="00F235FE" w:rsidP="00D65621">
                      <w:pPr>
                        <w:jc w:val="center"/>
                        <w:rPr>
                          <w:sz w:val="28"/>
                          <w:szCs w:val="28"/>
                        </w:rPr>
                      </w:pPr>
                      <w:r>
                        <w:rPr>
                          <w:rFonts w:ascii="Calibri" w:hAnsi="Calibri"/>
                          <w:b/>
                          <w:color w:val="D9D9D9"/>
                          <w:sz w:val="28"/>
                          <w:szCs w:val="28"/>
                        </w:rPr>
                        <w:t xml:space="preserve">2018 metų IV </w:t>
                      </w:r>
                      <w:proofErr w:type="spellStart"/>
                      <w:r>
                        <w:rPr>
                          <w:rFonts w:ascii="Calibri" w:hAnsi="Calibri"/>
                          <w:b/>
                          <w:color w:val="D9D9D9"/>
                          <w:sz w:val="28"/>
                          <w:szCs w:val="28"/>
                        </w:rPr>
                        <w:t>ketv</w:t>
                      </w:r>
                      <w:proofErr w:type="spellEnd"/>
                      <w:r>
                        <w:rPr>
                          <w:rFonts w:ascii="Calibri" w:hAnsi="Calibri"/>
                          <w:b/>
                          <w:color w:val="D9D9D9"/>
                          <w:sz w:val="28"/>
                          <w:szCs w:val="28"/>
                        </w:rPr>
                        <w:t>. (metinė)</w:t>
                      </w:r>
                    </w:p>
                  </w:txbxContent>
                </v:textbox>
              </v:shape>
            </w:pict>
          </mc:Fallback>
        </mc:AlternateContent>
      </w:r>
    </w:p>
    <w:p w:rsidR="00B86403" w:rsidRPr="00D65621" w:rsidRDefault="00B86403" w:rsidP="00D65621">
      <w:pPr>
        <w:jc w:val="both"/>
        <w:rPr>
          <w:rFonts w:asciiTheme="minorHAnsi" w:hAnsiTheme="minorHAnsi"/>
          <w:szCs w:val="24"/>
        </w:rPr>
      </w:pPr>
      <w:r w:rsidRPr="00D65621">
        <w:rPr>
          <w:rFonts w:asciiTheme="minorHAnsi" w:hAnsiTheme="minorHAnsi"/>
          <w:noProof/>
          <w:szCs w:val="24"/>
          <w:lang w:eastAsia="lt-LT"/>
        </w:rPr>
        <mc:AlternateContent>
          <mc:Choice Requires="wps">
            <w:drawing>
              <wp:anchor distT="0" distB="0" distL="114300" distR="114300" simplePos="0" relativeHeight="251661312" behindDoc="1" locked="0" layoutInCell="1" allowOverlap="1" wp14:anchorId="65F32D6F" wp14:editId="3D22DC48">
                <wp:simplePos x="0" y="0"/>
                <wp:positionH relativeFrom="column">
                  <wp:posOffset>76835</wp:posOffset>
                </wp:positionH>
                <wp:positionV relativeFrom="paragraph">
                  <wp:posOffset>143510</wp:posOffset>
                </wp:positionV>
                <wp:extent cx="6510655" cy="3155315"/>
                <wp:effectExtent l="635" t="4445" r="3810" b="2540"/>
                <wp:wrapSquare wrapText="bothSides"/>
                <wp:docPr id="390" name="Teksto laukas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315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5FE" w:rsidRDefault="00F235FE" w:rsidP="00670A6A">
                            <w:pPr>
                              <w:ind w:left="-567"/>
                              <w:jc w:val="center"/>
                            </w:pPr>
                            <w:r>
                              <w:rPr>
                                <w:noProof/>
                                <w:lang w:eastAsia="lt-LT"/>
                              </w:rPr>
                              <w:drawing>
                                <wp:inline distT="0" distB="0" distL="0" distR="0" wp14:anchorId="666FA882" wp14:editId="64A05E30">
                                  <wp:extent cx="6564517" cy="2790967"/>
                                  <wp:effectExtent l="0" t="0" r="825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1219" cy="279381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o laukas 390" o:spid="_x0000_s1027" type="#_x0000_t202" style="position:absolute;left:0;text-align:left;margin-left:6.05pt;margin-top:11.3pt;width:512.65pt;height:248.4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" filled="f" stroked="f">
                <v:textbox style="mso-fit-shape-to-text:t">
                  <w:txbxContent>
                    <w:p w:rsidR="00F235FE" w:rsidRDefault="00F235FE" w:rsidP="00670A6A">
                      <w:pPr>
                        <w:ind w:left="-567"/>
                        <w:jc w:val="center"/>
                      </w:pPr>
                      <w:r>
                        <w:rPr>
                          <w:noProof/>
                          <w:lang w:eastAsia="lt-LT"/>
                        </w:rPr>
                        <w:drawing>
                          <wp:inline distT="0" distB="0" distL="0" distR="0" wp14:anchorId="666FA882" wp14:editId="64A05E30">
                            <wp:extent cx="6564517" cy="2790967"/>
                            <wp:effectExtent l="0" t="0" r="825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1219" cy="2793816"/>
                                    </a:xfrm>
                                    <a:prstGeom prst="rect">
                                      <a:avLst/>
                                    </a:prstGeom>
                                    <a:noFill/>
                                    <a:ln>
                                      <a:noFill/>
                                    </a:ln>
                                  </pic:spPr>
                                </pic:pic>
                              </a:graphicData>
                            </a:graphic>
                          </wp:inline>
                        </w:drawing>
                      </w:r>
                    </w:p>
                  </w:txbxContent>
                </v:textbox>
                <w10:wrap type="square"/>
              </v:shape>
            </w:pict>
          </mc:Fallback>
        </mc:AlternateContent>
      </w:r>
    </w:p>
    <w:p w:rsidR="00A40881" w:rsidRPr="00283223" w:rsidRDefault="000C4C16" w:rsidP="00D65621">
      <w:pPr>
        <w:rPr>
          <w:rFonts w:asciiTheme="minorHAnsi" w:eastAsia="Calibri" w:hAnsiTheme="minorHAnsi"/>
          <w:b/>
          <w:color w:val="0070C0"/>
          <w:szCs w:val="24"/>
          <w:lang w:eastAsia="lt-LT"/>
        </w:rPr>
      </w:pPr>
      <w:r w:rsidRPr="00D65621">
        <w:rPr>
          <w:rFonts w:asciiTheme="minorHAnsi" w:eastAsia="Calibri" w:hAnsiTheme="minorHAnsi"/>
          <w:b/>
          <w:color w:val="0070C0"/>
          <w:szCs w:val="24"/>
          <w:lang w:eastAsia="lt-LT"/>
        </w:rPr>
        <w:br w:type="page"/>
      </w:r>
    </w:p>
    <w:sdt>
      <w:sdtPr>
        <w:rPr>
          <w:rFonts w:asciiTheme="minorHAnsi" w:eastAsia="Calibri" w:hAnsiTheme="minorHAnsi"/>
          <w:b/>
          <w:bCs/>
          <w:color w:val="666666"/>
          <w:szCs w:val="24"/>
        </w:rPr>
        <w:id w:val="-865983546"/>
        <w:docPartObj>
          <w:docPartGallery w:val="Table of Contents"/>
          <w:docPartUnique/>
        </w:docPartObj>
      </w:sdtPr>
      <w:sdtEndPr>
        <w:rPr>
          <w:b w:val="0"/>
          <w:bCs w:val="0"/>
        </w:rPr>
      </w:sdtEndPr>
      <w:sdtContent>
        <w:p w:rsidR="00B86403" w:rsidRPr="00D65621" w:rsidRDefault="00B86403" w:rsidP="00D65621">
          <w:pPr>
            <w:rPr>
              <w:rFonts w:asciiTheme="minorHAnsi" w:hAnsiTheme="minorHAnsi"/>
              <w:color w:val="666666"/>
              <w:szCs w:val="24"/>
              <w:lang w:eastAsia="lt-LT"/>
            </w:rPr>
          </w:pPr>
          <w:r w:rsidRPr="00D65621">
            <w:rPr>
              <w:rFonts w:asciiTheme="minorHAnsi" w:hAnsiTheme="minorHAnsi"/>
              <w:color w:val="666666"/>
              <w:szCs w:val="24"/>
              <w:lang w:eastAsia="lt-LT"/>
            </w:rPr>
            <w:t>Turinys</w:t>
          </w:r>
        </w:p>
        <w:p w:rsidR="00B7767B" w:rsidRDefault="00B86403">
          <w:pPr>
            <w:pStyle w:val="Turinys1"/>
            <w:tabs>
              <w:tab w:val="left" w:pos="440"/>
              <w:tab w:val="right" w:leader="dot" w:pos="9628"/>
            </w:tabs>
            <w:rPr>
              <w:rFonts w:asciiTheme="minorHAnsi" w:eastAsiaTheme="minorEastAsia" w:hAnsiTheme="minorHAnsi" w:cstheme="minorBidi"/>
              <w:noProof/>
              <w:sz w:val="22"/>
              <w:szCs w:val="22"/>
              <w:lang w:eastAsia="lt-LT"/>
            </w:rPr>
          </w:pPr>
          <w:r w:rsidRPr="00D65621">
            <w:rPr>
              <w:rFonts w:asciiTheme="minorHAnsi" w:hAnsiTheme="minorHAnsi"/>
              <w:color w:val="666666"/>
              <w:szCs w:val="24"/>
              <w:lang w:eastAsia="lt-LT"/>
            </w:rPr>
            <w:fldChar w:fldCharType="begin"/>
          </w:r>
          <w:r w:rsidRPr="00D65621">
            <w:rPr>
              <w:rFonts w:asciiTheme="minorHAnsi" w:hAnsiTheme="minorHAnsi"/>
              <w:color w:val="666666"/>
              <w:szCs w:val="24"/>
              <w:lang w:eastAsia="lt-LT"/>
            </w:rPr>
            <w:instrText xml:space="preserve"> TOC \o "1-3" \h \z \u </w:instrText>
          </w:r>
          <w:r w:rsidRPr="00D65621">
            <w:rPr>
              <w:rFonts w:asciiTheme="minorHAnsi" w:hAnsiTheme="minorHAnsi"/>
              <w:color w:val="666666"/>
              <w:szCs w:val="24"/>
              <w:lang w:eastAsia="lt-LT"/>
            </w:rPr>
            <w:fldChar w:fldCharType="separate"/>
          </w:r>
          <w:hyperlink w:anchor="_Toc1041279" w:history="1">
            <w:r w:rsidR="00B7767B" w:rsidRPr="007B293F">
              <w:rPr>
                <w:rStyle w:val="Hipersaitas"/>
                <w:noProof/>
              </w:rPr>
              <w:t>I.</w:t>
            </w:r>
            <w:r w:rsidR="00B7767B">
              <w:rPr>
                <w:rFonts w:asciiTheme="minorHAnsi" w:eastAsiaTheme="minorEastAsia" w:hAnsiTheme="minorHAnsi" w:cstheme="minorBidi"/>
                <w:noProof/>
                <w:sz w:val="22"/>
                <w:szCs w:val="22"/>
                <w:lang w:eastAsia="lt-LT"/>
              </w:rPr>
              <w:tab/>
            </w:r>
            <w:r w:rsidR="00B7767B" w:rsidRPr="007B293F">
              <w:rPr>
                <w:rStyle w:val="Hipersaitas"/>
                <w:noProof/>
              </w:rPr>
              <w:t>Bendra VP įgyvendinimo apžvalga</w:t>
            </w:r>
            <w:r w:rsidR="00B7767B">
              <w:rPr>
                <w:noProof/>
                <w:webHidden/>
              </w:rPr>
              <w:tab/>
            </w:r>
            <w:r w:rsidR="00B7767B">
              <w:rPr>
                <w:noProof/>
                <w:webHidden/>
              </w:rPr>
              <w:fldChar w:fldCharType="begin"/>
            </w:r>
            <w:r w:rsidR="00B7767B">
              <w:rPr>
                <w:noProof/>
                <w:webHidden/>
              </w:rPr>
              <w:instrText xml:space="preserve"> PAGEREF _Toc1041279 \h </w:instrText>
            </w:r>
            <w:r w:rsidR="00B7767B">
              <w:rPr>
                <w:noProof/>
                <w:webHidden/>
              </w:rPr>
            </w:r>
            <w:r w:rsidR="00B7767B">
              <w:rPr>
                <w:noProof/>
                <w:webHidden/>
              </w:rPr>
              <w:fldChar w:fldCharType="separate"/>
            </w:r>
            <w:r w:rsidR="00B7767B">
              <w:rPr>
                <w:noProof/>
                <w:webHidden/>
              </w:rPr>
              <w:t>5</w:t>
            </w:r>
            <w:r w:rsidR="00B7767B">
              <w:rPr>
                <w:noProof/>
                <w:webHidden/>
              </w:rPr>
              <w:fldChar w:fldCharType="end"/>
            </w:r>
          </w:hyperlink>
        </w:p>
        <w:p w:rsidR="00B7767B" w:rsidRDefault="0034049F">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041280" w:history="1">
            <w:r w:rsidR="00B7767B" w:rsidRPr="007B293F">
              <w:rPr>
                <w:rStyle w:val="Hipersaitas"/>
                <w:noProof/>
              </w:rPr>
              <w:t>II.</w:t>
            </w:r>
            <w:r w:rsidR="00B7767B">
              <w:rPr>
                <w:rFonts w:asciiTheme="minorHAnsi" w:eastAsiaTheme="minorEastAsia" w:hAnsiTheme="minorHAnsi" w:cstheme="minorBidi"/>
                <w:noProof/>
                <w:sz w:val="22"/>
                <w:szCs w:val="22"/>
                <w:lang w:eastAsia="lt-LT"/>
              </w:rPr>
              <w:tab/>
            </w:r>
            <w:r w:rsidR="00B7767B" w:rsidRPr="007B293F">
              <w:rPr>
                <w:rStyle w:val="Hipersaitas"/>
                <w:noProof/>
              </w:rPr>
              <w:t>Veiklos peržiūros rezultatai</w:t>
            </w:r>
            <w:r w:rsidR="00B7767B">
              <w:rPr>
                <w:noProof/>
                <w:webHidden/>
              </w:rPr>
              <w:tab/>
            </w:r>
            <w:r w:rsidR="00B7767B">
              <w:rPr>
                <w:noProof/>
                <w:webHidden/>
              </w:rPr>
              <w:fldChar w:fldCharType="begin"/>
            </w:r>
            <w:r w:rsidR="00B7767B">
              <w:rPr>
                <w:noProof/>
                <w:webHidden/>
              </w:rPr>
              <w:instrText xml:space="preserve"> PAGEREF _Toc1041280 \h </w:instrText>
            </w:r>
            <w:r w:rsidR="00B7767B">
              <w:rPr>
                <w:noProof/>
                <w:webHidden/>
              </w:rPr>
            </w:r>
            <w:r w:rsidR="00B7767B">
              <w:rPr>
                <w:noProof/>
                <w:webHidden/>
              </w:rPr>
              <w:fldChar w:fldCharType="separate"/>
            </w:r>
            <w:r w:rsidR="00B7767B">
              <w:rPr>
                <w:noProof/>
                <w:webHidden/>
              </w:rPr>
              <w:t>8</w:t>
            </w:r>
            <w:r w:rsidR="00B7767B">
              <w:rPr>
                <w:noProof/>
                <w:webHidden/>
              </w:rPr>
              <w:fldChar w:fldCharType="end"/>
            </w:r>
          </w:hyperlink>
        </w:p>
        <w:p w:rsidR="00B7767B" w:rsidRDefault="0034049F">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041281" w:history="1">
            <w:r w:rsidR="00B7767B" w:rsidRPr="007B293F">
              <w:rPr>
                <w:rStyle w:val="Hipersaitas"/>
                <w:noProof/>
              </w:rPr>
              <w:t>III.</w:t>
            </w:r>
            <w:r w:rsidR="00B7767B">
              <w:rPr>
                <w:rFonts w:asciiTheme="minorHAnsi" w:eastAsiaTheme="minorEastAsia" w:hAnsiTheme="minorHAnsi" w:cstheme="minorBidi"/>
                <w:noProof/>
                <w:sz w:val="22"/>
                <w:szCs w:val="22"/>
                <w:lang w:eastAsia="lt-LT"/>
              </w:rPr>
              <w:tab/>
            </w:r>
            <w:r w:rsidR="00B7767B" w:rsidRPr="007B293F">
              <w:rPr>
                <w:rStyle w:val="Hipersaitas"/>
                <w:noProof/>
              </w:rPr>
              <w:t>Situacijos sektoriuose analizė ir rekomendacijos</w:t>
            </w:r>
            <w:r w:rsidR="00B7767B">
              <w:rPr>
                <w:noProof/>
                <w:webHidden/>
              </w:rPr>
              <w:tab/>
            </w:r>
            <w:r w:rsidR="00B7767B">
              <w:rPr>
                <w:noProof/>
                <w:webHidden/>
              </w:rPr>
              <w:fldChar w:fldCharType="begin"/>
            </w:r>
            <w:r w:rsidR="00B7767B">
              <w:rPr>
                <w:noProof/>
                <w:webHidden/>
              </w:rPr>
              <w:instrText xml:space="preserve"> PAGEREF _Toc1041281 \h </w:instrText>
            </w:r>
            <w:r w:rsidR="00B7767B">
              <w:rPr>
                <w:noProof/>
                <w:webHidden/>
              </w:rPr>
            </w:r>
            <w:r w:rsidR="00B7767B">
              <w:rPr>
                <w:noProof/>
                <w:webHidden/>
              </w:rPr>
              <w:fldChar w:fldCharType="separate"/>
            </w:r>
            <w:r w:rsidR="00B7767B">
              <w:rPr>
                <w:noProof/>
                <w:webHidden/>
              </w:rPr>
              <w:t>9</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82" w:history="1">
            <w:r w:rsidR="00B7767B" w:rsidRPr="007B293F">
              <w:rPr>
                <w:rStyle w:val="Hipersaitas"/>
                <w:noProof/>
              </w:rPr>
              <w:t>1 prioritetas. Mokslinių tyrimų, eksperimentinės plėtros ir inovacijų skatinimas</w:t>
            </w:r>
            <w:r w:rsidR="00B7767B">
              <w:rPr>
                <w:noProof/>
                <w:webHidden/>
              </w:rPr>
              <w:tab/>
            </w:r>
            <w:r w:rsidR="00B7767B">
              <w:rPr>
                <w:noProof/>
                <w:webHidden/>
              </w:rPr>
              <w:fldChar w:fldCharType="begin"/>
            </w:r>
            <w:r w:rsidR="00B7767B">
              <w:rPr>
                <w:noProof/>
                <w:webHidden/>
              </w:rPr>
              <w:instrText xml:space="preserve"> PAGEREF _Toc1041282 \h </w:instrText>
            </w:r>
            <w:r w:rsidR="00B7767B">
              <w:rPr>
                <w:noProof/>
                <w:webHidden/>
              </w:rPr>
            </w:r>
            <w:r w:rsidR="00B7767B">
              <w:rPr>
                <w:noProof/>
                <w:webHidden/>
              </w:rPr>
              <w:fldChar w:fldCharType="separate"/>
            </w:r>
            <w:r w:rsidR="00B7767B">
              <w:rPr>
                <w:noProof/>
                <w:webHidden/>
              </w:rPr>
              <w:t>9</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83" w:history="1">
            <w:r w:rsidR="00B7767B" w:rsidRPr="007B293F">
              <w:rPr>
                <w:rStyle w:val="Hipersaitas"/>
                <w:noProof/>
              </w:rPr>
              <w:t>2 prioritetas. Informacinės visuomenės skatinimas</w:t>
            </w:r>
            <w:r w:rsidR="00B7767B">
              <w:rPr>
                <w:noProof/>
                <w:webHidden/>
              </w:rPr>
              <w:tab/>
            </w:r>
            <w:r w:rsidR="00B7767B">
              <w:rPr>
                <w:noProof/>
                <w:webHidden/>
              </w:rPr>
              <w:fldChar w:fldCharType="begin"/>
            </w:r>
            <w:r w:rsidR="00B7767B">
              <w:rPr>
                <w:noProof/>
                <w:webHidden/>
              </w:rPr>
              <w:instrText xml:space="preserve"> PAGEREF _Toc1041283 \h </w:instrText>
            </w:r>
            <w:r w:rsidR="00B7767B">
              <w:rPr>
                <w:noProof/>
                <w:webHidden/>
              </w:rPr>
            </w:r>
            <w:r w:rsidR="00B7767B">
              <w:rPr>
                <w:noProof/>
                <w:webHidden/>
              </w:rPr>
              <w:fldChar w:fldCharType="separate"/>
            </w:r>
            <w:r w:rsidR="00B7767B">
              <w:rPr>
                <w:noProof/>
                <w:webHidden/>
              </w:rPr>
              <w:t>10</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84" w:history="1">
            <w:r w:rsidR="00B7767B" w:rsidRPr="007B293F">
              <w:rPr>
                <w:rStyle w:val="Hipersaitas"/>
                <w:noProof/>
              </w:rPr>
              <w:t>3 prioritetas. Smulkiojo ir vidutinio verslo konkurencingumo skatinimas</w:t>
            </w:r>
            <w:r w:rsidR="00B7767B">
              <w:rPr>
                <w:noProof/>
                <w:webHidden/>
              </w:rPr>
              <w:tab/>
            </w:r>
            <w:r w:rsidR="00B7767B">
              <w:rPr>
                <w:noProof/>
                <w:webHidden/>
              </w:rPr>
              <w:fldChar w:fldCharType="begin"/>
            </w:r>
            <w:r w:rsidR="00B7767B">
              <w:rPr>
                <w:noProof/>
                <w:webHidden/>
              </w:rPr>
              <w:instrText xml:space="preserve"> PAGEREF _Toc1041284 \h </w:instrText>
            </w:r>
            <w:r w:rsidR="00B7767B">
              <w:rPr>
                <w:noProof/>
                <w:webHidden/>
              </w:rPr>
            </w:r>
            <w:r w:rsidR="00B7767B">
              <w:rPr>
                <w:noProof/>
                <w:webHidden/>
              </w:rPr>
              <w:fldChar w:fldCharType="separate"/>
            </w:r>
            <w:r w:rsidR="00B7767B">
              <w:rPr>
                <w:noProof/>
                <w:webHidden/>
              </w:rPr>
              <w:t>11</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85" w:history="1">
            <w:r w:rsidR="00B7767B" w:rsidRPr="007B293F">
              <w:rPr>
                <w:rStyle w:val="Hipersaitas"/>
                <w:noProof/>
              </w:rPr>
              <w:t>4 prioritetas. Energijos efektyvumo ir atsinaujinančių išteklių energijos gamybos ir naudojimo skatinimas</w:t>
            </w:r>
            <w:r w:rsidR="00B7767B">
              <w:rPr>
                <w:noProof/>
                <w:webHidden/>
              </w:rPr>
              <w:tab/>
            </w:r>
            <w:r w:rsidR="00B7767B">
              <w:rPr>
                <w:noProof/>
                <w:webHidden/>
              </w:rPr>
              <w:fldChar w:fldCharType="begin"/>
            </w:r>
            <w:r w:rsidR="00B7767B">
              <w:rPr>
                <w:noProof/>
                <w:webHidden/>
              </w:rPr>
              <w:instrText xml:space="preserve"> PAGEREF _Toc1041285 \h </w:instrText>
            </w:r>
            <w:r w:rsidR="00B7767B">
              <w:rPr>
                <w:noProof/>
                <w:webHidden/>
              </w:rPr>
            </w:r>
            <w:r w:rsidR="00B7767B">
              <w:rPr>
                <w:noProof/>
                <w:webHidden/>
              </w:rPr>
              <w:fldChar w:fldCharType="separate"/>
            </w:r>
            <w:r w:rsidR="00B7767B">
              <w:rPr>
                <w:noProof/>
                <w:webHidden/>
              </w:rPr>
              <w:t>12</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86" w:history="1">
            <w:r w:rsidR="00B7767B" w:rsidRPr="007B293F">
              <w:rPr>
                <w:rStyle w:val="Hipersaitas"/>
                <w:noProof/>
              </w:rPr>
              <w:t>5 prioritetas. Aplinkosauga, gamtos išteklių darnus naudojimas ir prisitaikymas prie klimato kaitos</w:t>
            </w:r>
            <w:r w:rsidR="00B7767B">
              <w:rPr>
                <w:noProof/>
                <w:webHidden/>
              </w:rPr>
              <w:tab/>
            </w:r>
            <w:r w:rsidR="00B7767B">
              <w:rPr>
                <w:noProof/>
                <w:webHidden/>
              </w:rPr>
              <w:fldChar w:fldCharType="begin"/>
            </w:r>
            <w:r w:rsidR="00B7767B">
              <w:rPr>
                <w:noProof/>
                <w:webHidden/>
              </w:rPr>
              <w:instrText xml:space="preserve"> PAGEREF _Toc1041286 \h </w:instrText>
            </w:r>
            <w:r w:rsidR="00B7767B">
              <w:rPr>
                <w:noProof/>
                <w:webHidden/>
              </w:rPr>
            </w:r>
            <w:r w:rsidR="00B7767B">
              <w:rPr>
                <w:noProof/>
                <w:webHidden/>
              </w:rPr>
              <w:fldChar w:fldCharType="separate"/>
            </w:r>
            <w:r w:rsidR="00B7767B">
              <w:rPr>
                <w:noProof/>
                <w:webHidden/>
              </w:rPr>
              <w:t>13</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87" w:history="1">
            <w:r w:rsidR="00B7767B" w:rsidRPr="007B293F">
              <w:rPr>
                <w:rStyle w:val="Hipersaitas"/>
                <w:noProof/>
              </w:rPr>
              <w:t>6 prioritetas. Darnaus transporto ir pagrindinių tinklų infrastruktūros plėtra</w:t>
            </w:r>
            <w:r w:rsidR="00B7767B">
              <w:rPr>
                <w:noProof/>
                <w:webHidden/>
              </w:rPr>
              <w:tab/>
            </w:r>
            <w:r w:rsidR="00B7767B">
              <w:rPr>
                <w:noProof/>
                <w:webHidden/>
              </w:rPr>
              <w:fldChar w:fldCharType="begin"/>
            </w:r>
            <w:r w:rsidR="00B7767B">
              <w:rPr>
                <w:noProof/>
                <w:webHidden/>
              </w:rPr>
              <w:instrText xml:space="preserve"> PAGEREF _Toc1041287 \h </w:instrText>
            </w:r>
            <w:r w:rsidR="00B7767B">
              <w:rPr>
                <w:noProof/>
                <w:webHidden/>
              </w:rPr>
            </w:r>
            <w:r w:rsidR="00B7767B">
              <w:rPr>
                <w:noProof/>
                <w:webHidden/>
              </w:rPr>
              <w:fldChar w:fldCharType="separate"/>
            </w:r>
            <w:r w:rsidR="00B7767B">
              <w:rPr>
                <w:noProof/>
                <w:webHidden/>
              </w:rPr>
              <w:t>15</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88" w:history="1">
            <w:r w:rsidR="00B7767B" w:rsidRPr="007B293F">
              <w:rPr>
                <w:rStyle w:val="Hipersaitas"/>
                <w:noProof/>
              </w:rPr>
              <w:t>7 prioritetas. Kokybiško užimtumo ir dalyvavimo darbo rinkoje skatinimas</w:t>
            </w:r>
            <w:r w:rsidR="00B7767B">
              <w:rPr>
                <w:noProof/>
                <w:webHidden/>
              </w:rPr>
              <w:tab/>
            </w:r>
            <w:r w:rsidR="00B7767B">
              <w:rPr>
                <w:noProof/>
                <w:webHidden/>
              </w:rPr>
              <w:fldChar w:fldCharType="begin"/>
            </w:r>
            <w:r w:rsidR="00B7767B">
              <w:rPr>
                <w:noProof/>
                <w:webHidden/>
              </w:rPr>
              <w:instrText xml:space="preserve"> PAGEREF _Toc1041288 \h </w:instrText>
            </w:r>
            <w:r w:rsidR="00B7767B">
              <w:rPr>
                <w:noProof/>
                <w:webHidden/>
              </w:rPr>
            </w:r>
            <w:r w:rsidR="00B7767B">
              <w:rPr>
                <w:noProof/>
                <w:webHidden/>
              </w:rPr>
              <w:fldChar w:fldCharType="separate"/>
            </w:r>
            <w:r w:rsidR="00B7767B">
              <w:rPr>
                <w:noProof/>
                <w:webHidden/>
              </w:rPr>
              <w:t>15</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89" w:history="1">
            <w:r w:rsidR="00B7767B" w:rsidRPr="007B293F">
              <w:rPr>
                <w:rStyle w:val="Hipersaitas"/>
                <w:rFonts w:cstheme="minorHAnsi"/>
                <w:noProof/>
              </w:rPr>
              <w:t>8 prioritetas. Socialinės įtraukties didinimas ir kova su skurdu</w:t>
            </w:r>
            <w:r w:rsidR="00B7767B">
              <w:rPr>
                <w:noProof/>
                <w:webHidden/>
              </w:rPr>
              <w:tab/>
            </w:r>
            <w:r w:rsidR="00B7767B">
              <w:rPr>
                <w:noProof/>
                <w:webHidden/>
              </w:rPr>
              <w:fldChar w:fldCharType="begin"/>
            </w:r>
            <w:r w:rsidR="00B7767B">
              <w:rPr>
                <w:noProof/>
                <w:webHidden/>
              </w:rPr>
              <w:instrText xml:space="preserve"> PAGEREF _Toc1041289 \h </w:instrText>
            </w:r>
            <w:r w:rsidR="00B7767B">
              <w:rPr>
                <w:noProof/>
                <w:webHidden/>
              </w:rPr>
            </w:r>
            <w:r w:rsidR="00B7767B">
              <w:rPr>
                <w:noProof/>
                <w:webHidden/>
              </w:rPr>
              <w:fldChar w:fldCharType="separate"/>
            </w:r>
            <w:r w:rsidR="00B7767B">
              <w:rPr>
                <w:noProof/>
                <w:webHidden/>
              </w:rPr>
              <w:t>18</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90" w:history="1">
            <w:r w:rsidR="00B7767B" w:rsidRPr="007B293F">
              <w:rPr>
                <w:rStyle w:val="Hipersaitas"/>
                <w:noProof/>
              </w:rPr>
              <w:t>9 prioritetas. Visuomenės švietimas ir žmogiškųjų išteklių potencialo didinimas</w:t>
            </w:r>
            <w:r w:rsidR="00B7767B">
              <w:rPr>
                <w:noProof/>
                <w:webHidden/>
              </w:rPr>
              <w:tab/>
            </w:r>
            <w:r w:rsidR="00B7767B">
              <w:rPr>
                <w:noProof/>
                <w:webHidden/>
              </w:rPr>
              <w:fldChar w:fldCharType="begin"/>
            </w:r>
            <w:r w:rsidR="00B7767B">
              <w:rPr>
                <w:noProof/>
                <w:webHidden/>
              </w:rPr>
              <w:instrText xml:space="preserve"> PAGEREF _Toc1041290 \h </w:instrText>
            </w:r>
            <w:r w:rsidR="00B7767B">
              <w:rPr>
                <w:noProof/>
                <w:webHidden/>
              </w:rPr>
            </w:r>
            <w:r w:rsidR="00B7767B">
              <w:rPr>
                <w:noProof/>
                <w:webHidden/>
              </w:rPr>
              <w:fldChar w:fldCharType="separate"/>
            </w:r>
            <w:r w:rsidR="00B7767B">
              <w:rPr>
                <w:noProof/>
                <w:webHidden/>
              </w:rPr>
              <w:t>20</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91" w:history="1">
            <w:r w:rsidR="00B7767B" w:rsidRPr="007B293F">
              <w:rPr>
                <w:rStyle w:val="Hipersaitas"/>
                <w:noProof/>
              </w:rPr>
              <w:t>10 prioritetas. Visuomenės poreikius atitinkantis ir pažangus viešasis valdymas</w:t>
            </w:r>
            <w:r w:rsidR="00B7767B">
              <w:rPr>
                <w:noProof/>
                <w:webHidden/>
              </w:rPr>
              <w:tab/>
            </w:r>
            <w:r w:rsidR="00B7767B">
              <w:rPr>
                <w:noProof/>
                <w:webHidden/>
              </w:rPr>
              <w:fldChar w:fldCharType="begin"/>
            </w:r>
            <w:r w:rsidR="00B7767B">
              <w:rPr>
                <w:noProof/>
                <w:webHidden/>
              </w:rPr>
              <w:instrText xml:space="preserve"> PAGEREF _Toc1041291 \h </w:instrText>
            </w:r>
            <w:r w:rsidR="00B7767B">
              <w:rPr>
                <w:noProof/>
                <w:webHidden/>
              </w:rPr>
            </w:r>
            <w:r w:rsidR="00B7767B">
              <w:rPr>
                <w:noProof/>
                <w:webHidden/>
              </w:rPr>
              <w:fldChar w:fldCharType="separate"/>
            </w:r>
            <w:r w:rsidR="00B7767B">
              <w:rPr>
                <w:noProof/>
                <w:webHidden/>
              </w:rPr>
              <w:t>21</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92" w:history="1">
            <w:r w:rsidR="00B7767B" w:rsidRPr="007B293F">
              <w:rPr>
                <w:rStyle w:val="Hipersaitas"/>
                <w:noProof/>
              </w:rPr>
              <w:t>11 ir 12 prioritetai. Techninė parama veiksmų programai administruoti bei informuoti apie veiksmų programą ir jai viešinti</w:t>
            </w:r>
            <w:r w:rsidR="00B7767B">
              <w:rPr>
                <w:noProof/>
                <w:webHidden/>
              </w:rPr>
              <w:tab/>
            </w:r>
            <w:r w:rsidR="00B7767B">
              <w:rPr>
                <w:noProof/>
                <w:webHidden/>
              </w:rPr>
              <w:fldChar w:fldCharType="begin"/>
            </w:r>
            <w:r w:rsidR="00B7767B">
              <w:rPr>
                <w:noProof/>
                <w:webHidden/>
              </w:rPr>
              <w:instrText xml:space="preserve"> PAGEREF _Toc1041292 \h </w:instrText>
            </w:r>
            <w:r w:rsidR="00B7767B">
              <w:rPr>
                <w:noProof/>
                <w:webHidden/>
              </w:rPr>
            </w:r>
            <w:r w:rsidR="00B7767B">
              <w:rPr>
                <w:noProof/>
                <w:webHidden/>
              </w:rPr>
              <w:fldChar w:fldCharType="separate"/>
            </w:r>
            <w:r w:rsidR="00B7767B">
              <w:rPr>
                <w:noProof/>
                <w:webHidden/>
              </w:rPr>
              <w:t>21</w:t>
            </w:r>
            <w:r w:rsidR="00B7767B">
              <w:rPr>
                <w:noProof/>
                <w:webHidden/>
              </w:rPr>
              <w:fldChar w:fldCharType="end"/>
            </w:r>
          </w:hyperlink>
        </w:p>
        <w:p w:rsidR="00B7767B" w:rsidRDefault="0034049F">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041293" w:history="1">
            <w:r w:rsidR="00B7767B" w:rsidRPr="007B293F">
              <w:rPr>
                <w:rStyle w:val="Hipersaitas"/>
                <w:noProof/>
              </w:rPr>
              <w:t>IV.</w:t>
            </w:r>
            <w:r w:rsidR="00B7767B">
              <w:rPr>
                <w:rFonts w:asciiTheme="minorHAnsi" w:eastAsiaTheme="minorEastAsia" w:hAnsiTheme="minorHAnsi" w:cstheme="minorBidi"/>
                <w:noProof/>
                <w:sz w:val="22"/>
                <w:szCs w:val="22"/>
                <w:lang w:eastAsia="lt-LT"/>
              </w:rPr>
              <w:tab/>
            </w:r>
            <w:r w:rsidR="00B7767B" w:rsidRPr="007B293F">
              <w:rPr>
                <w:rStyle w:val="Hipersaitas"/>
                <w:noProof/>
              </w:rPr>
              <w:t>2019 m. tikslai</w:t>
            </w:r>
            <w:r w:rsidR="00B7767B">
              <w:rPr>
                <w:noProof/>
                <w:webHidden/>
              </w:rPr>
              <w:tab/>
            </w:r>
            <w:r w:rsidR="00B7767B">
              <w:rPr>
                <w:noProof/>
                <w:webHidden/>
              </w:rPr>
              <w:fldChar w:fldCharType="begin"/>
            </w:r>
            <w:r w:rsidR="00B7767B">
              <w:rPr>
                <w:noProof/>
                <w:webHidden/>
              </w:rPr>
              <w:instrText xml:space="preserve"> PAGEREF _Toc1041293 \h </w:instrText>
            </w:r>
            <w:r w:rsidR="00B7767B">
              <w:rPr>
                <w:noProof/>
                <w:webHidden/>
              </w:rPr>
            </w:r>
            <w:r w:rsidR="00B7767B">
              <w:rPr>
                <w:noProof/>
                <w:webHidden/>
              </w:rPr>
              <w:fldChar w:fldCharType="separate"/>
            </w:r>
            <w:r w:rsidR="00B7767B">
              <w:rPr>
                <w:noProof/>
                <w:webHidden/>
              </w:rPr>
              <w:t>22</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94" w:history="1">
            <w:r w:rsidR="00B7767B" w:rsidRPr="007B293F">
              <w:rPr>
                <w:rStyle w:val="Hipersaitas"/>
                <w:noProof/>
              </w:rPr>
              <w:t>GST Nr. 1 „Investicijos į pokyčius strateginėse srityse “</w:t>
            </w:r>
            <w:r w:rsidR="00B7767B">
              <w:rPr>
                <w:noProof/>
                <w:webHidden/>
              </w:rPr>
              <w:tab/>
            </w:r>
            <w:r w:rsidR="00B7767B">
              <w:rPr>
                <w:noProof/>
                <w:webHidden/>
              </w:rPr>
              <w:fldChar w:fldCharType="begin"/>
            </w:r>
            <w:r w:rsidR="00B7767B">
              <w:rPr>
                <w:noProof/>
                <w:webHidden/>
              </w:rPr>
              <w:instrText xml:space="preserve"> PAGEREF _Toc1041294 \h </w:instrText>
            </w:r>
            <w:r w:rsidR="00B7767B">
              <w:rPr>
                <w:noProof/>
                <w:webHidden/>
              </w:rPr>
            </w:r>
            <w:r w:rsidR="00B7767B">
              <w:rPr>
                <w:noProof/>
                <w:webHidden/>
              </w:rPr>
              <w:fldChar w:fldCharType="separate"/>
            </w:r>
            <w:r w:rsidR="00B7767B">
              <w:rPr>
                <w:noProof/>
                <w:webHidden/>
              </w:rPr>
              <w:t>22</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95" w:history="1">
            <w:r w:rsidR="00B7767B" w:rsidRPr="007B293F">
              <w:rPr>
                <w:rStyle w:val="Hipersaitas"/>
                <w:noProof/>
              </w:rPr>
              <w:t>GST Nr. 2 „Pasirengimas post 2020 investicijoms “</w:t>
            </w:r>
            <w:r w:rsidR="00B7767B">
              <w:rPr>
                <w:noProof/>
                <w:webHidden/>
              </w:rPr>
              <w:tab/>
            </w:r>
            <w:r w:rsidR="00B7767B">
              <w:rPr>
                <w:noProof/>
                <w:webHidden/>
              </w:rPr>
              <w:fldChar w:fldCharType="begin"/>
            </w:r>
            <w:r w:rsidR="00B7767B">
              <w:rPr>
                <w:noProof/>
                <w:webHidden/>
              </w:rPr>
              <w:instrText xml:space="preserve"> PAGEREF _Toc1041295 \h </w:instrText>
            </w:r>
            <w:r w:rsidR="00B7767B">
              <w:rPr>
                <w:noProof/>
                <w:webHidden/>
              </w:rPr>
            </w:r>
            <w:r w:rsidR="00B7767B">
              <w:rPr>
                <w:noProof/>
                <w:webHidden/>
              </w:rPr>
              <w:fldChar w:fldCharType="separate"/>
            </w:r>
            <w:r w:rsidR="00B7767B">
              <w:rPr>
                <w:noProof/>
                <w:webHidden/>
              </w:rPr>
              <w:t>23</w:t>
            </w:r>
            <w:r w:rsidR="00B7767B">
              <w:rPr>
                <w:noProof/>
                <w:webHidden/>
              </w:rPr>
              <w:fldChar w:fldCharType="end"/>
            </w:r>
          </w:hyperlink>
        </w:p>
        <w:p w:rsidR="00B7767B" w:rsidRDefault="0034049F">
          <w:pPr>
            <w:pStyle w:val="Turinys2"/>
            <w:tabs>
              <w:tab w:val="right" w:leader="dot" w:pos="9628"/>
            </w:tabs>
            <w:rPr>
              <w:rFonts w:asciiTheme="minorHAnsi" w:eastAsiaTheme="minorEastAsia" w:hAnsiTheme="minorHAnsi" w:cstheme="minorBidi"/>
              <w:noProof/>
              <w:sz w:val="22"/>
              <w:szCs w:val="22"/>
              <w:lang w:eastAsia="lt-LT"/>
            </w:rPr>
          </w:pPr>
          <w:hyperlink w:anchor="_Toc1041296" w:history="1">
            <w:r w:rsidR="00B7767B" w:rsidRPr="007B293F">
              <w:rPr>
                <w:rStyle w:val="Hipersaitas"/>
                <w:noProof/>
              </w:rPr>
              <w:t>GST Nr. 3 „Efektyvi ir lanksti valdymo ir kontrolės sistema“</w:t>
            </w:r>
            <w:r w:rsidR="00B7767B">
              <w:rPr>
                <w:noProof/>
                <w:webHidden/>
              </w:rPr>
              <w:tab/>
            </w:r>
            <w:r w:rsidR="00B7767B">
              <w:rPr>
                <w:noProof/>
                <w:webHidden/>
              </w:rPr>
              <w:fldChar w:fldCharType="begin"/>
            </w:r>
            <w:r w:rsidR="00B7767B">
              <w:rPr>
                <w:noProof/>
                <w:webHidden/>
              </w:rPr>
              <w:instrText xml:space="preserve"> PAGEREF _Toc1041296 \h </w:instrText>
            </w:r>
            <w:r w:rsidR="00B7767B">
              <w:rPr>
                <w:noProof/>
                <w:webHidden/>
              </w:rPr>
            </w:r>
            <w:r w:rsidR="00B7767B">
              <w:rPr>
                <w:noProof/>
                <w:webHidden/>
              </w:rPr>
              <w:fldChar w:fldCharType="separate"/>
            </w:r>
            <w:r w:rsidR="00B7767B">
              <w:rPr>
                <w:noProof/>
                <w:webHidden/>
              </w:rPr>
              <w:t>23</w:t>
            </w:r>
            <w:r w:rsidR="00B7767B">
              <w:rPr>
                <w:noProof/>
                <w:webHidden/>
              </w:rPr>
              <w:fldChar w:fldCharType="end"/>
            </w:r>
          </w:hyperlink>
        </w:p>
        <w:p w:rsidR="00B86403" w:rsidRPr="00D65621" w:rsidRDefault="00B86403" w:rsidP="00D65621">
          <w:pPr>
            <w:pStyle w:val="Turinys2"/>
            <w:tabs>
              <w:tab w:val="right" w:leader="dot" w:pos="9628"/>
            </w:tabs>
            <w:spacing w:after="0"/>
            <w:ind w:left="0"/>
            <w:rPr>
              <w:rFonts w:asciiTheme="minorHAnsi" w:eastAsia="Calibri" w:hAnsiTheme="minorHAnsi"/>
              <w:color w:val="666666"/>
              <w:szCs w:val="24"/>
              <w:lang w:eastAsia="lt-LT"/>
            </w:rPr>
          </w:pPr>
          <w:r w:rsidRPr="00D65621">
            <w:rPr>
              <w:rFonts w:asciiTheme="minorHAnsi" w:hAnsiTheme="minorHAnsi"/>
              <w:color w:val="666666"/>
              <w:szCs w:val="24"/>
              <w:lang w:eastAsia="lt-LT"/>
            </w:rPr>
            <w:fldChar w:fldCharType="end"/>
          </w:r>
        </w:p>
      </w:sdtContent>
    </w:sdt>
    <w:p w:rsidR="00C42339" w:rsidRPr="00D65621" w:rsidRDefault="00C42339" w:rsidP="00D65621">
      <w:pPr>
        <w:rPr>
          <w:rFonts w:asciiTheme="minorHAnsi" w:eastAsiaTheme="majorEastAsia" w:hAnsiTheme="minorHAnsi" w:cstheme="majorBidi"/>
          <w:b/>
          <w:bCs/>
          <w:color w:val="666666"/>
          <w:szCs w:val="24"/>
          <w:lang w:eastAsia="lt-LT"/>
        </w:rPr>
      </w:pPr>
      <w:r w:rsidRPr="00D65621">
        <w:rPr>
          <w:rFonts w:asciiTheme="minorHAnsi" w:hAnsiTheme="minorHAnsi"/>
          <w:color w:val="666666"/>
          <w:szCs w:val="24"/>
          <w:lang w:eastAsia="lt-LT"/>
        </w:rPr>
        <w:br w:type="page"/>
      </w:r>
    </w:p>
    <w:p w:rsidR="00901533" w:rsidRPr="005A4426" w:rsidRDefault="00D86482" w:rsidP="00FC6139">
      <w:pPr>
        <w:pStyle w:val="Pavadinimas"/>
      </w:pPr>
      <w:r w:rsidRPr="005A4426">
        <w:lastRenderedPageBreak/>
        <w:t>TRUMPINIAI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67"/>
        <w:gridCol w:w="7052"/>
      </w:tblGrid>
      <w:tr w:rsidR="00CA2B8C" w:rsidRPr="000C7298" w:rsidTr="008B3725">
        <w:tc>
          <w:tcPr>
            <w:tcW w:w="2235" w:type="dxa"/>
          </w:tcPr>
          <w:p w:rsidR="00CA2B8C" w:rsidRPr="00252FF3" w:rsidRDefault="00CA2B8C" w:rsidP="007D34BF">
            <w:pPr>
              <w:pStyle w:val="tekstas"/>
              <w:spacing w:line="360" w:lineRule="auto"/>
              <w:ind w:firstLine="0"/>
              <w:rPr>
                <w:color w:val="7F7F7F" w:themeColor="text1" w:themeTint="80"/>
              </w:rPr>
            </w:pPr>
            <w:r w:rsidRPr="00252FF3">
              <w:rPr>
                <w:color w:val="7F7F7F" w:themeColor="text1" w:themeTint="80"/>
              </w:rPr>
              <w:t>EK</w:t>
            </w:r>
          </w:p>
        </w:tc>
        <w:tc>
          <w:tcPr>
            <w:tcW w:w="7619" w:type="dxa"/>
            <w:gridSpan w:val="2"/>
          </w:tcPr>
          <w:p w:rsidR="00CA2B8C" w:rsidRPr="00252FF3" w:rsidRDefault="00CA2B8C" w:rsidP="00CA2B8C">
            <w:pPr>
              <w:pStyle w:val="tekstas"/>
              <w:spacing w:line="360" w:lineRule="auto"/>
              <w:ind w:firstLine="0"/>
              <w:rPr>
                <w:color w:val="7F7F7F" w:themeColor="text1" w:themeTint="80"/>
              </w:rPr>
            </w:pPr>
            <w:r w:rsidRPr="00252FF3">
              <w:rPr>
                <w:color w:val="7F7F7F" w:themeColor="text1" w:themeTint="80"/>
              </w:rPr>
              <w:t>– Europos Komisija</w:t>
            </w:r>
          </w:p>
        </w:tc>
      </w:tr>
      <w:tr w:rsidR="005A4426" w:rsidRPr="000C7298" w:rsidTr="008B3725">
        <w:tc>
          <w:tcPr>
            <w:tcW w:w="2235" w:type="dxa"/>
          </w:tcPr>
          <w:p w:rsidR="007D34BF" w:rsidRPr="00252FF3" w:rsidRDefault="00E060F7" w:rsidP="007D34BF">
            <w:pPr>
              <w:pStyle w:val="tekstas"/>
              <w:spacing w:line="360" w:lineRule="auto"/>
              <w:ind w:firstLine="0"/>
              <w:rPr>
                <w:color w:val="7F7F7F" w:themeColor="text1" w:themeTint="80"/>
              </w:rPr>
            </w:pPr>
            <w:r w:rsidRPr="00252FF3">
              <w:rPr>
                <w:color w:val="7F7F7F" w:themeColor="text1" w:themeTint="80"/>
              </w:rPr>
              <w:t xml:space="preserve">ES </w:t>
            </w:r>
          </w:p>
        </w:tc>
        <w:tc>
          <w:tcPr>
            <w:tcW w:w="7619" w:type="dxa"/>
            <w:gridSpan w:val="2"/>
          </w:tcPr>
          <w:p w:rsidR="007D34BF" w:rsidRPr="00252FF3" w:rsidRDefault="007D34BF" w:rsidP="007D34BF">
            <w:pPr>
              <w:pStyle w:val="tekstas"/>
              <w:spacing w:line="360" w:lineRule="auto"/>
              <w:ind w:firstLine="0"/>
              <w:rPr>
                <w:color w:val="7F7F7F" w:themeColor="text1" w:themeTint="80"/>
              </w:rPr>
            </w:pPr>
            <w:r w:rsidRPr="00252FF3">
              <w:rPr>
                <w:color w:val="7F7F7F" w:themeColor="text1" w:themeTint="80"/>
              </w:rPr>
              <w:t>– Europos Sąjunga</w:t>
            </w:r>
          </w:p>
        </w:tc>
      </w:tr>
      <w:tr w:rsidR="005A4426" w:rsidRPr="000C7298" w:rsidTr="008B3725">
        <w:tc>
          <w:tcPr>
            <w:tcW w:w="2235" w:type="dxa"/>
          </w:tcPr>
          <w:p w:rsidR="007D34BF" w:rsidRPr="00252FF3" w:rsidRDefault="00ED7123" w:rsidP="007D34BF">
            <w:pPr>
              <w:pStyle w:val="tekstas"/>
              <w:spacing w:line="360" w:lineRule="auto"/>
              <w:ind w:firstLine="0"/>
              <w:rPr>
                <w:color w:val="7F7F7F" w:themeColor="text1" w:themeTint="80"/>
              </w:rPr>
            </w:pPr>
            <w:r w:rsidRPr="00252FF3">
              <w:rPr>
                <w:color w:val="7F7F7F" w:themeColor="text1" w:themeTint="80"/>
              </w:rPr>
              <w:t>ES fondai</w:t>
            </w:r>
            <w:r w:rsidR="007D34BF" w:rsidRPr="00252FF3">
              <w:rPr>
                <w:color w:val="7F7F7F" w:themeColor="text1" w:themeTint="80"/>
              </w:rPr>
              <w:t xml:space="preserve"> </w:t>
            </w:r>
          </w:p>
        </w:tc>
        <w:tc>
          <w:tcPr>
            <w:tcW w:w="7619" w:type="dxa"/>
            <w:gridSpan w:val="2"/>
          </w:tcPr>
          <w:p w:rsidR="007D34BF" w:rsidRPr="00252FF3" w:rsidRDefault="007D34BF" w:rsidP="00ED7123">
            <w:pPr>
              <w:pStyle w:val="tekstas"/>
              <w:spacing w:line="360" w:lineRule="auto"/>
              <w:ind w:firstLine="0"/>
              <w:rPr>
                <w:color w:val="7F7F7F" w:themeColor="text1" w:themeTint="80"/>
              </w:rPr>
            </w:pPr>
            <w:r w:rsidRPr="00252FF3">
              <w:rPr>
                <w:color w:val="7F7F7F" w:themeColor="text1" w:themeTint="80"/>
              </w:rPr>
              <w:t>– Europos Sąjungos struktūriniai fondai (Europos socialinis fondas</w:t>
            </w:r>
            <w:r w:rsidR="00ED7123" w:rsidRPr="00252FF3">
              <w:rPr>
                <w:color w:val="7F7F7F" w:themeColor="text1" w:themeTint="80"/>
              </w:rPr>
              <w:t>, įskaitant „Jaunimo užimtumo iniciatyvą“</w:t>
            </w:r>
            <w:r w:rsidRPr="00252FF3">
              <w:rPr>
                <w:color w:val="7F7F7F" w:themeColor="text1" w:themeTint="80"/>
              </w:rPr>
              <w:t>, Europos regioninės pl</w:t>
            </w:r>
            <w:r w:rsidR="00ED7123" w:rsidRPr="00252FF3">
              <w:rPr>
                <w:color w:val="7F7F7F" w:themeColor="text1" w:themeTint="80"/>
              </w:rPr>
              <w:t>ėtros fondas, Sanglaudos fondas</w:t>
            </w:r>
            <w:r w:rsidRPr="00252FF3">
              <w:rPr>
                <w:color w:val="7F7F7F" w:themeColor="text1" w:themeTint="80"/>
              </w:rPr>
              <w:t>)</w:t>
            </w:r>
          </w:p>
        </w:tc>
      </w:tr>
      <w:tr w:rsidR="00867A63" w:rsidRPr="000C7298" w:rsidTr="008B3725">
        <w:tc>
          <w:tcPr>
            <w:tcW w:w="2235" w:type="dxa"/>
          </w:tcPr>
          <w:p w:rsidR="00867A63" w:rsidRPr="00252FF3" w:rsidRDefault="00867A63" w:rsidP="007D34BF">
            <w:pPr>
              <w:pStyle w:val="tekstas"/>
              <w:spacing w:line="360" w:lineRule="auto"/>
              <w:ind w:firstLine="0"/>
              <w:rPr>
                <w:color w:val="7F7F7F" w:themeColor="text1" w:themeTint="80"/>
              </w:rPr>
            </w:pPr>
            <w:r w:rsidRPr="00252FF3">
              <w:rPr>
                <w:color w:val="7F7F7F" w:themeColor="text1" w:themeTint="80"/>
              </w:rPr>
              <w:t>ERPF</w:t>
            </w:r>
          </w:p>
        </w:tc>
        <w:tc>
          <w:tcPr>
            <w:tcW w:w="7619" w:type="dxa"/>
            <w:gridSpan w:val="2"/>
          </w:tcPr>
          <w:p w:rsidR="00867A63" w:rsidRPr="00252FF3" w:rsidRDefault="00867A63" w:rsidP="00ED7123">
            <w:pPr>
              <w:pStyle w:val="tekstas"/>
              <w:spacing w:line="360" w:lineRule="auto"/>
              <w:ind w:firstLine="0"/>
              <w:rPr>
                <w:color w:val="7F7F7F" w:themeColor="text1" w:themeTint="80"/>
              </w:rPr>
            </w:pPr>
            <w:r w:rsidRPr="00252FF3">
              <w:rPr>
                <w:color w:val="7F7F7F" w:themeColor="text1" w:themeTint="80"/>
              </w:rPr>
              <w:t>– Europos regioninės plėtros fondas</w:t>
            </w:r>
          </w:p>
        </w:tc>
      </w:tr>
      <w:tr w:rsidR="00867A63" w:rsidRPr="000C7298" w:rsidTr="008B3725">
        <w:tc>
          <w:tcPr>
            <w:tcW w:w="2235" w:type="dxa"/>
          </w:tcPr>
          <w:p w:rsidR="00867A63" w:rsidRPr="00252FF3" w:rsidRDefault="00867A63" w:rsidP="007D34BF">
            <w:pPr>
              <w:pStyle w:val="tekstas"/>
              <w:spacing w:line="360" w:lineRule="auto"/>
              <w:ind w:firstLine="0"/>
              <w:rPr>
                <w:color w:val="7F7F7F" w:themeColor="text1" w:themeTint="80"/>
              </w:rPr>
            </w:pPr>
            <w:r w:rsidRPr="00252FF3">
              <w:rPr>
                <w:color w:val="7F7F7F" w:themeColor="text1" w:themeTint="80"/>
              </w:rPr>
              <w:t>ESF</w:t>
            </w:r>
          </w:p>
        </w:tc>
        <w:tc>
          <w:tcPr>
            <w:tcW w:w="7619" w:type="dxa"/>
            <w:gridSpan w:val="2"/>
          </w:tcPr>
          <w:p w:rsidR="00867A63" w:rsidRPr="00252FF3" w:rsidRDefault="00867A63" w:rsidP="00ED7123">
            <w:pPr>
              <w:pStyle w:val="tekstas"/>
              <w:spacing w:line="360" w:lineRule="auto"/>
              <w:ind w:firstLine="0"/>
              <w:rPr>
                <w:color w:val="7F7F7F" w:themeColor="text1" w:themeTint="80"/>
              </w:rPr>
            </w:pPr>
            <w:r w:rsidRPr="00252FF3">
              <w:rPr>
                <w:color w:val="7F7F7F" w:themeColor="text1" w:themeTint="80"/>
              </w:rPr>
              <w:t>– Europos socialinis fondas</w:t>
            </w:r>
          </w:p>
        </w:tc>
      </w:tr>
      <w:tr w:rsidR="00156DD9" w:rsidRPr="000C7298" w:rsidTr="008B3725">
        <w:tc>
          <w:tcPr>
            <w:tcW w:w="2235" w:type="dxa"/>
          </w:tcPr>
          <w:p w:rsidR="00156DD9" w:rsidRPr="00252FF3" w:rsidRDefault="00156DD9" w:rsidP="007D34BF">
            <w:pPr>
              <w:pStyle w:val="tekstas"/>
              <w:spacing w:line="360" w:lineRule="auto"/>
              <w:ind w:firstLine="0"/>
              <w:rPr>
                <w:color w:val="7F7F7F" w:themeColor="text1" w:themeTint="80"/>
              </w:rPr>
            </w:pPr>
            <w:r w:rsidRPr="00252FF3">
              <w:rPr>
                <w:color w:val="7F7F7F" w:themeColor="text1" w:themeTint="80"/>
              </w:rPr>
              <w:t>NPĮ</w:t>
            </w:r>
          </w:p>
        </w:tc>
        <w:tc>
          <w:tcPr>
            <w:tcW w:w="7619" w:type="dxa"/>
            <w:gridSpan w:val="2"/>
          </w:tcPr>
          <w:p w:rsidR="00156DD9" w:rsidRPr="00252FF3" w:rsidRDefault="00156DD9" w:rsidP="00ED7123">
            <w:pPr>
              <w:pStyle w:val="tekstas"/>
              <w:spacing w:line="360" w:lineRule="auto"/>
              <w:ind w:firstLine="0"/>
              <w:rPr>
                <w:color w:val="7F7F7F" w:themeColor="text1" w:themeTint="80"/>
              </w:rPr>
            </w:pPr>
            <w:r w:rsidRPr="00252FF3">
              <w:rPr>
                <w:color w:val="7F7F7F" w:themeColor="text1" w:themeTint="80"/>
              </w:rPr>
              <w:t>– Nacionalinės plėtros įstaigos</w:t>
            </w:r>
          </w:p>
        </w:tc>
      </w:tr>
      <w:tr w:rsidR="00B5752E" w:rsidRPr="000C7298" w:rsidTr="008B3725">
        <w:tc>
          <w:tcPr>
            <w:tcW w:w="2235" w:type="dxa"/>
          </w:tcPr>
          <w:p w:rsidR="00B5752E" w:rsidRPr="00252FF3" w:rsidRDefault="00B5752E" w:rsidP="007D34BF">
            <w:pPr>
              <w:pStyle w:val="tekstas"/>
              <w:spacing w:line="360" w:lineRule="auto"/>
              <w:ind w:firstLine="0"/>
              <w:rPr>
                <w:color w:val="7F7F7F" w:themeColor="text1" w:themeTint="80"/>
              </w:rPr>
            </w:pPr>
            <w:r w:rsidRPr="00252FF3">
              <w:rPr>
                <w:color w:val="7F7F7F" w:themeColor="text1" w:themeTint="80"/>
              </w:rPr>
              <w:t>JUI</w:t>
            </w:r>
          </w:p>
        </w:tc>
        <w:tc>
          <w:tcPr>
            <w:tcW w:w="7619" w:type="dxa"/>
            <w:gridSpan w:val="2"/>
          </w:tcPr>
          <w:p w:rsidR="00B5752E" w:rsidRPr="00252FF3" w:rsidRDefault="00B5752E" w:rsidP="00ED7123">
            <w:pPr>
              <w:pStyle w:val="tekstas"/>
              <w:spacing w:line="360" w:lineRule="auto"/>
              <w:ind w:firstLine="0"/>
              <w:rPr>
                <w:color w:val="7F7F7F" w:themeColor="text1" w:themeTint="80"/>
              </w:rPr>
            </w:pPr>
            <w:r w:rsidRPr="00252FF3">
              <w:rPr>
                <w:color w:val="7F7F7F" w:themeColor="text1" w:themeTint="80"/>
              </w:rPr>
              <w:softHyphen/>
              <w:t>– Jaunimo užimtumo iniciatyva</w:t>
            </w:r>
          </w:p>
        </w:tc>
      </w:tr>
      <w:tr w:rsidR="005A4426" w:rsidRPr="000C7298" w:rsidTr="008B3725">
        <w:tc>
          <w:tcPr>
            <w:tcW w:w="2235" w:type="dxa"/>
          </w:tcPr>
          <w:p w:rsidR="007D34BF" w:rsidRPr="00252FF3" w:rsidRDefault="007D34BF" w:rsidP="007D34BF">
            <w:pPr>
              <w:pStyle w:val="tekstas"/>
              <w:spacing w:line="360" w:lineRule="auto"/>
              <w:ind w:firstLine="0"/>
              <w:rPr>
                <w:color w:val="7F7F7F" w:themeColor="text1" w:themeTint="80"/>
              </w:rPr>
            </w:pPr>
            <w:r w:rsidRPr="00252FF3">
              <w:rPr>
                <w:color w:val="7F7F7F" w:themeColor="text1" w:themeTint="80"/>
              </w:rPr>
              <w:t xml:space="preserve">MTEP </w:t>
            </w:r>
          </w:p>
        </w:tc>
        <w:tc>
          <w:tcPr>
            <w:tcW w:w="7619" w:type="dxa"/>
            <w:gridSpan w:val="2"/>
          </w:tcPr>
          <w:p w:rsidR="003322C3" w:rsidRPr="00252FF3" w:rsidRDefault="007D34BF" w:rsidP="00D361B1">
            <w:pPr>
              <w:pStyle w:val="tekstas"/>
              <w:spacing w:line="360" w:lineRule="auto"/>
              <w:ind w:firstLine="0"/>
              <w:rPr>
                <w:color w:val="7F7F7F" w:themeColor="text1" w:themeTint="80"/>
              </w:rPr>
            </w:pPr>
            <w:r w:rsidRPr="00252FF3">
              <w:rPr>
                <w:color w:val="7F7F7F" w:themeColor="text1" w:themeTint="80"/>
              </w:rPr>
              <w:t>– Moksl</w:t>
            </w:r>
            <w:r w:rsidR="00C35FD1" w:rsidRPr="00252FF3">
              <w:rPr>
                <w:color w:val="7F7F7F" w:themeColor="text1" w:themeTint="80"/>
              </w:rPr>
              <w:t>iniai tyrimai ir eksperimentinė</w:t>
            </w:r>
            <w:r w:rsidRPr="00252FF3">
              <w:rPr>
                <w:color w:val="7F7F7F" w:themeColor="text1" w:themeTint="80"/>
              </w:rPr>
              <w:t xml:space="preserve"> plėtra</w:t>
            </w:r>
          </w:p>
        </w:tc>
      </w:tr>
      <w:tr w:rsidR="00867A63" w:rsidRPr="000C7298" w:rsidTr="008B3725">
        <w:tc>
          <w:tcPr>
            <w:tcW w:w="2235" w:type="dxa"/>
          </w:tcPr>
          <w:p w:rsidR="00867A63" w:rsidRPr="00252FF3" w:rsidRDefault="00867A63" w:rsidP="007D34BF">
            <w:pPr>
              <w:pStyle w:val="tekstas"/>
              <w:spacing w:line="360" w:lineRule="auto"/>
              <w:ind w:firstLine="0"/>
              <w:rPr>
                <w:color w:val="7F7F7F" w:themeColor="text1" w:themeTint="80"/>
              </w:rPr>
            </w:pPr>
            <w:proofErr w:type="spellStart"/>
            <w:r w:rsidRPr="00252FF3">
              <w:rPr>
                <w:color w:val="7F7F7F" w:themeColor="text1" w:themeTint="80"/>
              </w:rPr>
              <w:t>SaF</w:t>
            </w:r>
            <w:proofErr w:type="spellEnd"/>
          </w:p>
        </w:tc>
        <w:tc>
          <w:tcPr>
            <w:tcW w:w="7619" w:type="dxa"/>
            <w:gridSpan w:val="2"/>
          </w:tcPr>
          <w:p w:rsidR="00867A63" w:rsidRPr="00252FF3" w:rsidRDefault="00867A63" w:rsidP="00D361B1">
            <w:pPr>
              <w:pStyle w:val="tekstas"/>
              <w:spacing w:line="360" w:lineRule="auto"/>
              <w:ind w:firstLine="0"/>
              <w:rPr>
                <w:color w:val="7F7F7F" w:themeColor="text1" w:themeTint="80"/>
              </w:rPr>
            </w:pPr>
            <w:r w:rsidRPr="00252FF3">
              <w:rPr>
                <w:color w:val="7F7F7F" w:themeColor="text1" w:themeTint="80"/>
              </w:rPr>
              <w:t>– Sanglaudos fondas</w:t>
            </w:r>
          </w:p>
        </w:tc>
      </w:tr>
      <w:tr w:rsidR="008B3725" w:rsidRPr="000C7298" w:rsidTr="008B3725">
        <w:tc>
          <w:tcPr>
            <w:tcW w:w="2235" w:type="dxa"/>
          </w:tcPr>
          <w:p w:rsidR="008B3725" w:rsidRPr="00252FF3" w:rsidRDefault="008B3725" w:rsidP="007D34BF">
            <w:pPr>
              <w:pStyle w:val="tekstas"/>
              <w:spacing w:line="360" w:lineRule="auto"/>
              <w:ind w:firstLine="0"/>
              <w:rPr>
                <w:color w:val="7F7F7F" w:themeColor="text1" w:themeTint="80"/>
              </w:rPr>
            </w:pPr>
            <w:r w:rsidRPr="00252FF3">
              <w:rPr>
                <w:color w:val="7F7F7F" w:themeColor="text1" w:themeTint="80"/>
              </w:rPr>
              <w:t>Veiksmų programa</w:t>
            </w:r>
          </w:p>
        </w:tc>
        <w:tc>
          <w:tcPr>
            <w:tcW w:w="7619" w:type="dxa"/>
            <w:gridSpan w:val="2"/>
          </w:tcPr>
          <w:p w:rsidR="008B3725" w:rsidRPr="00252FF3" w:rsidRDefault="008B3725" w:rsidP="00D361B1">
            <w:pPr>
              <w:pStyle w:val="tekstas"/>
              <w:spacing w:line="360" w:lineRule="auto"/>
              <w:ind w:firstLine="0"/>
              <w:rPr>
                <w:color w:val="7F7F7F" w:themeColor="text1" w:themeTint="80"/>
              </w:rPr>
            </w:pPr>
            <w:r w:rsidRPr="00252FF3">
              <w:rPr>
                <w:color w:val="7F7F7F" w:themeColor="text1" w:themeTint="80"/>
              </w:rPr>
              <w:t>– 2014–2020 m. ES fondų investicijų veiksmų programa</w:t>
            </w:r>
          </w:p>
        </w:tc>
      </w:tr>
      <w:tr w:rsidR="00E810D4" w:rsidRPr="0012624E" w:rsidTr="008B3725">
        <w:tc>
          <w:tcPr>
            <w:tcW w:w="2235" w:type="dxa"/>
          </w:tcPr>
          <w:p w:rsidR="00E810D4" w:rsidRPr="0012624E" w:rsidRDefault="00107F5E" w:rsidP="007D34BF">
            <w:pPr>
              <w:pStyle w:val="tekstas"/>
              <w:spacing w:line="360" w:lineRule="auto"/>
              <w:ind w:firstLine="0"/>
              <w:rPr>
                <w:color w:val="7F7F7F" w:themeColor="text1" w:themeTint="80"/>
              </w:rPr>
            </w:pPr>
            <w:r w:rsidRPr="0012624E">
              <w:rPr>
                <w:color w:val="7F7F7F" w:themeColor="text1" w:themeTint="80"/>
              </w:rPr>
              <w:t>VIPA</w:t>
            </w:r>
          </w:p>
        </w:tc>
        <w:tc>
          <w:tcPr>
            <w:tcW w:w="7619" w:type="dxa"/>
            <w:gridSpan w:val="2"/>
          </w:tcPr>
          <w:p w:rsidR="00E810D4" w:rsidRPr="0012624E" w:rsidRDefault="006E446D" w:rsidP="006E446D">
            <w:pPr>
              <w:pStyle w:val="tekstas"/>
              <w:spacing w:line="360" w:lineRule="auto"/>
              <w:ind w:firstLine="0"/>
              <w:rPr>
                <w:color w:val="7F7F7F" w:themeColor="text1" w:themeTint="80"/>
              </w:rPr>
            </w:pPr>
            <w:r>
              <w:rPr>
                <w:color w:val="7F7F7F" w:themeColor="text1" w:themeTint="80"/>
              </w:rPr>
              <w:t xml:space="preserve">– </w:t>
            </w:r>
            <w:r w:rsidR="0012624E" w:rsidRPr="0012624E">
              <w:rPr>
                <w:color w:val="7F7F7F" w:themeColor="text1" w:themeTint="80"/>
              </w:rPr>
              <w:t>UAB „Viešųjų investicijų plėtros agentūra“</w:t>
            </w:r>
          </w:p>
        </w:tc>
      </w:tr>
      <w:tr w:rsidR="003322C3" w:rsidRPr="007D34BF" w:rsidTr="008B3725">
        <w:tc>
          <w:tcPr>
            <w:tcW w:w="2802" w:type="dxa"/>
            <w:gridSpan w:val="2"/>
          </w:tcPr>
          <w:p w:rsidR="003322C3" w:rsidRPr="0009043F" w:rsidRDefault="003322C3" w:rsidP="007D34BF">
            <w:pPr>
              <w:pStyle w:val="tekstas"/>
              <w:spacing w:line="360" w:lineRule="auto"/>
              <w:ind w:firstLine="0"/>
              <w:rPr>
                <w:color w:val="FF0000"/>
              </w:rPr>
            </w:pPr>
          </w:p>
        </w:tc>
        <w:tc>
          <w:tcPr>
            <w:tcW w:w="7052" w:type="dxa"/>
          </w:tcPr>
          <w:p w:rsidR="003322C3" w:rsidRPr="0009043F" w:rsidRDefault="003322C3" w:rsidP="003322C3">
            <w:pPr>
              <w:pStyle w:val="tekstas"/>
              <w:spacing w:line="360" w:lineRule="auto"/>
              <w:ind w:firstLine="0"/>
              <w:rPr>
                <w:color w:val="FF0000"/>
              </w:rPr>
            </w:pPr>
          </w:p>
        </w:tc>
      </w:tr>
      <w:tr w:rsidR="007D34BF" w:rsidRPr="007D34BF" w:rsidTr="008B3725">
        <w:tc>
          <w:tcPr>
            <w:tcW w:w="2802" w:type="dxa"/>
            <w:gridSpan w:val="2"/>
          </w:tcPr>
          <w:p w:rsidR="007D34BF" w:rsidRPr="0009043F" w:rsidRDefault="007D34BF" w:rsidP="007D34BF">
            <w:pPr>
              <w:pStyle w:val="tekstas"/>
              <w:spacing w:line="360" w:lineRule="auto"/>
              <w:ind w:firstLine="0"/>
              <w:rPr>
                <w:color w:val="FF0000"/>
              </w:rPr>
            </w:pPr>
          </w:p>
        </w:tc>
        <w:tc>
          <w:tcPr>
            <w:tcW w:w="7052" w:type="dxa"/>
          </w:tcPr>
          <w:p w:rsidR="007D34BF" w:rsidRPr="0009043F" w:rsidRDefault="007D34BF" w:rsidP="00D361B1">
            <w:pPr>
              <w:pStyle w:val="tekstas"/>
              <w:spacing w:line="360" w:lineRule="auto"/>
              <w:ind w:firstLine="0"/>
              <w:rPr>
                <w:color w:val="FF0000"/>
              </w:rPr>
            </w:pPr>
          </w:p>
        </w:tc>
      </w:tr>
    </w:tbl>
    <w:p w:rsidR="003206B5" w:rsidRDefault="003206B5" w:rsidP="000C62AE">
      <w:pPr>
        <w:spacing w:after="200" w:line="276" w:lineRule="auto"/>
      </w:pPr>
    </w:p>
    <w:p w:rsidR="003206B5" w:rsidRDefault="003206B5">
      <w:pPr>
        <w:spacing w:after="200" w:line="276" w:lineRule="auto"/>
      </w:pPr>
      <w:r>
        <w:br w:type="page"/>
      </w:r>
    </w:p>
    <w:p w:rsidR="005A4426" w:rsidRDefault="003206B5" w:rsidP="003206B5">
      <w:pPr>
        <w:pStyle w:val="Pavadinimas"/>
      </w:pPr>
      <w:r>
        <w:lastRenderedPageBreak/>
        <w:t>SANTRAUKA</w:t>
      </w:r>
    </w:p>
    <w:p w:rsidR="0012624E" w:rsidRDefault="0012624E" w:rsidP="0012624E">
      <w:pPr>
        <w:pStyle w:val="tekstas"/>
        <w:spacing w:line="276" w:lineRule="auto"/>
      </w:pPr>
      <w:r>
        <w:t xml:space="preserve">Iki 2018 m. gruodžio 31 d. projektams paskirstyta 4,3 mlrd. eurų (64 proc.) ES fondų lėšų. Per 2018 metus sudarytų sutarčių suma (ES fondų lėšos) padidėjo 20 proc. </w:t>
      </w:r>
    </w:p>
    <w:p w:rsidR="0012624E" w:rsidRDefault="0012624E" w:rsidP="0012624E">
      <w:pPr>
        <w:pStyle w:val="tekstas"/>
        <w:spacing w:line="276" w:lineRule="auto"/>
      </w:pPr>
      <w:r>
        <w:t xml:space="preserve">Padidėjo ir paskelbtų kvietimų bei sudarytų projektų sąrašų suma, iki 2018 m. gruodžio 31 d. minėta suma sudarė 5,5 mlrd. eurų (82 proc.) ES fondų lėšų. </w:t>
      </w:r>
    </w:p>
    <w:p w:rsidR="00822BD5" w:rsidRDefault="0012624E" w:rsidP="0012624E">
      <w:pPr>
        <w:pStyle w:val="tekstas"/>
        <w:spacing w:line="276" w:lineRule="auto"/>
      </w:pPr>
      <w:r>
        <w:t xml:space="preserve">Per 2018 metus išmokėtų lėšų suma padidėjo 11 proc., ir metų pabaigoje sudarė daugiau nei 2 mlrd. eurų (30 proc.). 2018 metų pabaigoje EK deklaruota 1,8 mlrd. eurų (27 proc.) ES fondų lėšų. </w:t>
      </w:r>
    </w:p>
    <w:p w:rsidR="00822BD5" w:rsidRDefault="00822BD5" w:rsidP="00822BD5">
      <w:pPr>
        <w:pStyle w:val="tekstas"/>
        <w:rPr>
          <w:lang w:eastAsia="lt-LT"/>
        </w:rPr>
      </w:pPr>
      <w:r w:rsidRPr="001C6370">
        <w:rPr>
          <w:lang w:eastAsia="lt-LT"/>
        </w:rPr>
        <w:t>2018 m. valstybės biudžete buvo numatyta apie 1 mlrd. eurų ES fondų lėšų. Per 2018 metus išmokėta 736 mln. eurų ES fondų lėšų, tai sudaro 74 proc. 2018 m. asignavimų plano.</w:t>
      </w:r>
      <w:r w:rsidRPr="00A76DAB">
        <w:rPr>
          <w:lang w:eastAsia="lt-LT"/>
        </w:rPr>
        <w:t xml:space="preserve"> </w:t>
      </w:r>
      <w:r>
        <w:rPr>
          <w:lang w:eastAsia="lt-LT"/>
        </w:rPr>
        <w:t>2019 m. biudžete numatyta investuoti 1,2 mlrd. eurų ES fondų lėšų.</w:t>
      </w:r>
    </w:p>
    <w:p w:rsidR="00E755E2" w:rsidRDefault="00E755E2" w:rsidP="00E755E2">
      <w:pPr>
        <w:pStyle w:val="tekstas"/>
        <w:rPr>
          <w:lang w:eastAsia="lt-LT"/>
        </w:rPr>
      </w:pPr>
      <w:r>
        <w:rPr>
          <w:lang w:eastAsia="lt-LT"/>
        </w:rPr>
        <w:t>ES investicij</w:t>
      </w:r>
      <w:r w:rsidR="00F235FE">
        <w:rPr>
          <w:lang w:eastAsia="lt-LT"/>
        </w:rPr>
        <w:t xml:space="preserve">ų </w:t>
      </w:r>
      <w:r>
        <w:rPr>
          <w:lang w:eastAsia="lt-LT"/>
        </w:rPr>
        <w:t>valdymo ir kontrolės sistema 2019 m. iškėlė šiuos tikslus:</w:t>
      </w:r>
    </w:p>
    <w:p w:rsidR="00E755E2" w:rsidRDefault="00E755E2" w:rsidP="00E755E2">
      <w:pPr>
        <w:pStyle w:val="tekstas"/>
        <w:rPr>
          <w:lang w:eastAsia="lt-LT"/>
        </w:rPr>
      </w:pPr>
      <w:r>
        <w:rPr>
          <w:lang w:eastAsia="lt-LT"/>
        </w:rPr>
        <w:t>•</w:t>
      </w:r>
      <w:r>
        <w:rPr>
          <w:lang w:eastAsia="lt-LT"/>
        </w:rPr>
        <w:tab/>
        <w:t>Investuoti 430 mln. eurų į pokyčius strateginės srityse;</w:t>
      </w:r>
    </w:p>
    <w:p w:rsidR="00E755E2" w:rsidRDefault="00E755E2" w:rsidP="00E755E2">
      <w:pPr>
        <w:pStyle w:val="tekstas"/>
        <w:rPr>
          <w:lang w:eastAsia="lt-LT"/>
        </w:rPr>
      </w:pPr>
      <w:r>
        <w:rPr>
          <w:lang w:eastAsia="lt-LT"/>
        </w:rPr>
        <w:t>•</w:t>
      </w:r>
      <w:r>
        <w:rPr>
          <w:lang w:eastAsia="lt-LT"/>
        </w:rPr>
        <w:tab/>
        <w:t xml:space="preserve">Pasirengti </w:t>
      </w:r>
      <w:proofErr w:type="spellStart"/>
      <w:r>
        <w:rPr>
          <w:lang w:eastAsia="lt-LT"/>
        </w:rPr>
        <w:t>post</w:t>
      </w:r>
      <w:proofErr w:type="spellEnd"/>
      <w:r>
        <w:rPr>
          <w:lang w:eastAsia="lt-LT"/>
        </w:rPr>
        <w:t xml:space="preserve"> 2020 investicijoms;</w:t>
      </w:r>
    </w:p>
    <w:p w:rsidR="00E755E2" w:rsidRDefault="00E755E2" w:rsidP="00E755E2">
      <w:pPr>
        <w:pStyle w:val="tekstas"/>
        <w:rPr>
          <w:lang w:eastAsia="lt-LT"/>
        </w:rPr>
      </w:pPr>
      <w:r>
        <w:rPr>
          <w:lang w:eastAsia="lt-LT"/>
        </w:rPr>
        <w:t>•</w:t>
      </w:r>
      <w:r>
        <w:rPr>
          <w:lang w:eastAsia="lt-LT"/>
        </w:rPr>
        <w:tab/>
        <w:t>Efektyvi ir lanksti valdymo ir kontrolės sistema.</w:t>
      </w:r>
    </w:p>
    <w:p w:rsidR="00D86482" w:rsidRDefault="00D86482" w:rsidP="0012624E">
      <w:pPr>
        <w:pStyle w:val="tekstas"/>
        <w:spacing w:line="276" w:lineRule="auto"/>
      </w:pPr>
      <w:r>
        <w:br w:type="page"/>
      </w:r>
    </w:p>
    <w:p w:rsidR="007E43F1" w:rsidRPr="001E27E2" w:rsidRDefault="00F45979" w:rsidP="00E24665">
      <w:pPr>
        <w:pStyle w:val="Antrat1"/>
      </w:pPr>
      <w:bookmarkStart w:id="1" w:name="_Toc508103860"/>
      <w:bookmarkStart w:id="2" w:name="_Toc508106019"/>
      <w:bookmarkStart w:id="3" w:name="_Toc508103861"/>
      <w:bookmarkStart w:id="4" w:name="_Toc508106020"/>
      <w:bookmarkStart w:id="5" w:name="_Toc1041279"/>
      <w:bookmarkEnd w:id="1"/>
      <w:bookmarkEnd w:id="2"/>
      <w:bookmarkEnd w:id="3"/>
      <w:bookmarkEnd w:id="4"/>
      <w:r w:rsidRPr="001E27E2">
        <w:lastRenderedPageBreak/>
        <w:t xml:space="preserve">Bendra </w:t>
      </w:r>
      <w:r w:rsidR="0009043F" w:rsidRPr="001E27E2">
        <w:t>VP įgyvendinimo apžvalga</w:t>
      </w:r>
      <w:bookmarkEnd w:id="5"/>
    </w:p>
    <w:p w:rsidR="00A65AE0" w:rsidRPr="00134D2C" w:rsidRDefault="00E15489" w:rsidP="00867A63">
      <w:pPr>
        <w:pStyle w:val="tekstas"/>
        <w:rPr>
          <w:lang w:eastAsia="lt-LT"/>
        </w:rPr>
      </w:pPr>
      <w:bookmarkStart w:id="6" w:name="_Toc480280394"/>
      <w:bookmarkStart w:id="7" w:name="_Toc481668445"/>
      <w:r w:rsidRPr="001C6370">
        <w:rPr>
          <w:lang w:eastAsia="lt-LT"/>
        </w:rPr>
        <w:t>Lietuva pagal ES išmokėtas Lietuvai lėšas (</w:t>
      </w:r>
      <w:r w:rsidR="00754AB4" w:rsidRPr="001C6370">
        <w:rPr>
          <w:lang w:eastAsia="lt-LT"/>
        </w:rPr>
        <w:t>30</w:t>
      </w:r>
      <w:r w:rsidR="006C52D6" w:rsidRPr="001C6370">
        <w:rPr>
          <w:lang w:eastAsia="lt-LT"/>
        </w:rPr>
        <w:t xml:space="preserve"> </w:t>
      </w:r>
      <w:r w:rsidR="0074254F" w:rsidRPr="001C6370">
        <w:rPr>
          <w:lang w:eastAsia="lt-LT"/>
        </w:rPr>
        <w:t>proc. nuo 2014–</w:t>
      </w:r>
      <w:r w:rsidRPr="001C6370">
        <w:rPr>
          <w:lang w:eastAsia="lt-LT"/>
        </w:rPr>
        <w:t>2020 m. Lietuvai skirto finansavim</w:t>
      </w:r>
      <w:r w:rsidR="006C52D6" w:rsidRPr="001C6370">
        <w:rPr>
          <w:lang w:eastAsia="lt-LT"/>
        </w:rPr>
        <w:t>o)</w:t>
      </w:r>
      <w:r w:rsidR="0074254F" w:rsidRPr="001C6370">
        <w:rPr>
          <w:lang w:eastAsia="lt-LT"/>
        </w:rPr>
        <w:t xml:space="preserve"> </w:t>
      </w:r>
      <w:r w:rsidR="006C52D6" w:rsidRPr="001C6370">
        <w:rPr>
          <w:lang w:eastAsia="lt-LT"/>
        </w:rPr>
        <w:t xml:space="preserve">užima </w:t>
      </w:r>
      <w:r w:rsidR="00754AB4" w:rsidRPr="001C6370">
        <w:rPr>
          <w:lang w:eastAsia="lt-LT"/>
        </w:rPr>
        <w:t>9</w:t>
      </w:r>
      <w:r w:rsidR="006C52D6" w:rsidRPr="001C6370">
        <w:rPr>
          <w:lang w:eastAsia="lt-LT"/>
        </w:rPr>
        <w:t xml:space="preserve">-ąją vietą </w:t>
      </w:r>
      <w:r w:rsidR="00140EB5" w:rsidRPr="001C6370">
        <w:rPr>
          <w:lang w:eastAsia="lt-LT"/>
        </w:rPr>
        <w:t>tarp visų šalių narių</w:t>
      </w:r>
      <w:r w:rsidR="0016561A" w:rsidRPr="001C6370">
        <w:rPr>
          <w:lang w:eastAsia="lt-LT"/>
        </w:rPr>
        <w:t xml:space="preserve"> ir </w:t>
      </w:r>
      <w:r w:rsidRPr="001C6370">
        <w:rPr>
          <w:lang w:eastAsia="lt-LT"/>
        </w:rPr>
        <w:t xml:space="preserve">viršija ES vidurkį, kuris yra </w:t>
      </w:r>
      <w:r w:rsidR="00754AB4" w:rsidRPr="001C6370">
        <w:rPr>
          <w:lang w:eastAsia="lt-LT"/>
        </w:rPr>
        <w:t>25</w:t>
      </w:r>
      <w:r w:rsidR="006C52D6" w:rsidRPr="001C6370">
        <w:rPr>
          <w:lang w:eastAsia="lt-LT"/>
        </w:rPr>
        <w:t xml:space="preserve"> </w:t>
      </w:r>
      <w:r w:rsidR="0016561A" w:rsidRPr="001C6370">
        <w:rPr>
          <w:lang w:eastAsia="lt-LT"/>
        </w:rPr>
        <w:t xml:space="preserve">proc. </w:t>
      </w:r>
      <w:r w:rsidR="00A65AE0" w:rsidRPr="001C6370">
        <w:rPr>
          <w:lang w:eastAsia="lt-LT"/>
        </w:rPr>
        <w:t>(</w:t>
      </w:r>
      <w:r w:rsidR="006002BC" w:rsidRPr="001C6370">
        <w:rPr>
          <w:lang w:eastAsia="lt-LT"/>
        </w:rPr>
        <w:t>1</w:t>
      </w:r>
      <w:r w:rsidR="00A65AE0" w:rsidRPr="001C6370">
        <w:rPr>
          <w:lang w:eastAsia="lt-LT"/>
        </w:rPr>
        <w:t xml:space="preserve"> grafikas).</w:t>
      </w:r>
      <w:r w:rsidR="00A65AE0" w:rsidRPr="00A76DAB">
        <w:rPr>
          <w:lang w:eastAsia="lt-LT"/>
        </w:rPr>
        <w:t xml:space="preserve"> </w:t>
      </w:r>
    </w:p>
    <w:p w:rsidR="009C5A2E" w:rsidRPr="00134D2C" w:rsidRDefault="009C5A2E" w:rsidP="00A65AE0">
      <w:pPr>
        <w:ind w:firstLine="284"/>
        <w:jc w:val="both"/>
        <w:rPr>
          <w:rFonts w:asciiTheme="minorHAnsi" w:hAnsiTheme="minorHAnsi"/>
          <w:color w:val="FF0000"/>
          <w:sz w:val="14"/>
          <w:szCs w:val="24"/>
          <w:lang w:eastAsia="lt-LT"/>
        </w:rPr>
      </w:pPr>
    </w:p>
    <w:p w:rsidR="00D00926" w:rsidRDefault="006002BC" w:rsidP="001E27E2">
      <w:pPr>
        <w:pStyle w:val="Antrat"/>
        <w:keepNext/>
        <w:spacing w:after="0"/>
        <w:jc w:val="center"/>
        <w:rPr>
          <w:noProof/>
          <w:color w:val="365F91" w:themeColor="accent1" w:themeShade="BF"/>
          <w:sz w:val="22"/>
          <w:szCs w:val="22"/>
        </w:rPr>
      </w:pPr>
      <w:r>
        <w:rPr>
          <w:noProof/>
          <w:color w:val="365F91" w:themeColor="accent1" w:themeShade="BF"/>
          <w:sz w:val="22"/>
          <w:szCs w:val="22"/>
        </w:rPr>
        <w:t>1</w:t>
      </w:r>
      <w:r w:rsidR="00A65AE0">
        <w:rPr>
          <w:noProof/>
          <w:color w:val="365F91" w:themeColor="accent1" w:themeShade="BF"/>
          <w:sz w:val="22"/>
          <w:szCs w:val="22"/>
        </w:rPr>
        <w:t xml:space="preserve"> g</w:t>
      </w:r>
      <w:r w:rsidR="00A65AE0" w:rsidRPr="000628F2">
        <w:rPr>
          <w:noProof/>
          <w:color w:val="365F91" w:themeColor="accent1" w:themeShade="BF"/>
          <w:sz w:val="22"/>
          <w:szCs w:val="22"/>
        </w:rPr>
        <w:t xml:space="preserve">rafikas. </w:t>
      </w:r>
      <w:r w:rsidR="001E27E2">
        <w:rPr>
          <w:noProof/>
          <w:color w:val="365F91" w:themeColor="accent1" w:themeShade="BF"/>
          <w:sz w:val="22"/>
          <w:szCs w:val="22"/>
        </w:rPr>
        <w:t>ES išmokėjimai valstybėms narėms</w:t>
      </w:r>
      <w:r w:rsidR="002F0E62">
        <w:rPr>
          <w:rStyle w:val="Puslapioinaosnuoroda"/>
          <w:noProof/>
          <w:color w:val="365F91" w:themeColor="accent1" w:themeShade="BF"/>
          <w:sz w:val="22"/>
          <w:szCs w:val="22"/>
        </w:rPr>
        <w:footnoteReference w:id="1"/>
      </w:r>
      <w:r w:rsidR="00A65AE0">
        <w:rPr>
          <w:noProof/>
          <w:color w:val="365F91" w:themeColor="accent1" w:themeShade="BF"/>
          <w:sz w:val="22"/>
          <w:szCs w:val="22"/>
        </w:rPr>
        <w:t xml:space="preserve"> </w:t>
      </w:r>
      <w:r w:rsidR="00D00926">
        <w:rPr>
          <w:noProof/>
          <w:color w:val="365F91" w:themeColor="accent1" w:themeShade="BF"/>
          <w:sz w:val="22"/>
          <w:szCs w:val="22"/>
        </w:rPr>
        <w:t xml:space="preserve">iki 2018 m. </w:t>
      </w:r>
      <w:r w:rsidR="002613DA">
        <w:rPr>
          <w:noProof/>
          <w:color w:val="365F91" w:themeColor="accent1" w:themeShade="BF"/>
          <w:sz w:val="22"/>
          <w:szCs w:val="22"/>
        </w:rPr>
        <w:t>gruodžio</w:t>
      </w:r>
      <w:r w:rsidR="00CD11BD">
        <w:rPr>
          <w:noProof/>
          <w:color w:val="365F91" w:themeColor="accent1" w:themeShade="BF"/>
          <w:sz w:val="22"/>
          <w:szCs w:val="22"/>
        </w:rPr>
        <w:t xml:space="preserve"> </w:t>
      </w:r>
      <w:r w:rsidR="002613DA">
        <w:rPr>
          <w:noProof/>
          <w:color w:val="365F91" w:themeColor="accent1" w:themeShade="BF"/>
          <w:sz w:val="22"/>
          <w:szCs w:val="22"/>
        </w:rPr>
        <w:t>31</w:t>
      </w:r>
      <w:r w:rsidR="00B7526D">
        <w:rPr>
          <w:noProof/>
          <w:color w:val="365F91" w:themeColor="accent1" w:themeShade="BF"/>
          <w:sz w:val="22"/>
          <w:szCs w:val="22"/>
        </w:rPr>
        <w:t xml:space="preserve"> </w:t>
      </w:r>
      <w:r w:rsidR="00D00926">
        <w:rPr>
          <w:noProof/>
          <w:color w:val="365F91" w:themeColor="accent1" w:themeShade="BF"/>
          <w:sz w:val="22"/>
          <w:szCs w:val="22"/>
        </w:rPr>
        <w:t xml:space="preserve">d. </w:t>
      </w:r>
    </w:p>
    <w:p w:rsidR="00A65AE0" w:rsidRDefault="001E27E2" w:rsidP="001E27E2">
      <w:pPr>
        <w:pStyle w:val="Antrat"/>
        <w:keepNext/>
        <w:spacing w:after="0"/>
        <w:jc w:val="center"/>
        <w:rPr>
          <w:noProof/>
          <w:color w:val="365F91" w:themeColor="accent1" w:themeShade="BF"/>
          <w:sz w:val="22"/>
          <w:szCs w:val="22"/>
        </w:rPr>
      </w:pPr>
      <w:r>
        <w:rPr>
          <w:noProof/>
          <w:color w:val="365F91" w:themeColor="accent1" w:themeShade="BF"/>
          <w:sz w:val="22"/>
          <w:szCs w:val="22"/>
        </w:rPr>
        <w:t>(</w:t>
      </w:r>
      <w:r w:rsidR="00A65AE0">
        <w:rPr>
          <w:noProof/>
          <w:color w:val="365F91" w:themeColor="accent1" w:themeShade="BF"/>
          <w:sz w:val="22"/>
          <w:szCs w:val="22"/>
        </w:rPr>
        <w:t xml:space="preserve">proc. nuo valstybei narei skirtų </w:t>
      </w:r>
      <w:r w:rsidR="009540AE">
        <w:rPr>
          <w:noProof/>
          <w:color w:val="365F91" w:themeColor="accent1" w:themeShade="BF"/>
          <w:sz w:val="22"/>
          <w:szCs w:val="22"/>
        </w:rPr>
        <w:t>lėšų</w:t>
      </w:r>
      <w:r w:rsidR="002B3830">
        <w:rPr>
          <w:noProof/>
          <w:color w:val="365F91" w:themeColor="accent1" w:themeShade="BF"/>
          <w:sz w:val="22"/>
          <w:szCs w:val="22"/>
        </w:rPr>
        <w:t>)</w:t>
      </w:r>
      <w:r w:rsidR="00A65AE0">
        <w:rPr>
          <w:noProof/>
          <w:color w:val="365F91" w:themeColor="accent1" w:themeShade="BF"/>
          <w:sz w:val="22"/>
          <w:szCs w:val="22"/>
        </w:rPr>
        <w:t>.</w:t>
      </w:r>
    </w:p>
    <w:p w:rsidR="00A65AE0" w:rsidRDefault="00754AB4" w:rsidP="004B5047">
      <w:pPr>
        <w:jc w:val="center"/>
        <w:rPr>
          <w:rFonts w:asciiTheme="minorHAnsi" w:hAnsiTheme="minorHAnsi"/>
          <w:color w:val="666666"/>
          <w:szCs w:val="24"/>
          <w:lang w:eastAsia="lt-LT"/>
        </w:rPr>
      </w:pPr>
      <w:r>
        <w:rPr>
          <w:noProof/>
          <w:lang w:eastAsia="lt-LT"/>
        </w:rPr>
        <w:drawing>
          <wp:inline distT="0" distB="0" distL="0" distR="0" wp14:anchorId="7D6991A4" wp14:editId="56053876">
            <wp:extent cx="6120130" cy="4415184"/>
            <wp:effectExtent l="0" t="0" r="13970" b="2349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4D2C" w:rsidRPr="00134D2C" w:rsidRDefault="00134D2C" w:rsidP="00A65AE0">
      <w:pPr>
        <w:ind w:firstLine="567"/>
        <w:jc w:val="both"/>
        <w:rPr>
          <w:sz w:val="8"/>
          <w:lang w:eastAsia="lt-LT"/>
        </w:rPr>
      </w:pPr>
    </w:p>
    <w:p w:rsidR="00A65AE0" w:rsidRPr="008D71FB" w:rsidRDefault="00A65AE0" w:rsidP="00A65AE0">
      <w:pPr>
        <w:ind w:firstLine="567"/>
        <w:jc w:val="both"/>
        <w:rPr>
          <w:sz w:val="20"/>
          <w:lang w:eastAsia="lt-LT"/>
        </w:rPr>
      </w:pPr>
      <w:r w:rsidRPr="008D71FB">
        <w:rPr>
          <w:sz w:val="20"/>
          <w:lang w:eastAsia="lt-LT"/>
        </w:rPr>
        <w:t xml:space="preserve">Šaltinis: </w:t>
      </w:r>
      <w:proofErr w:type="spellStart"/>
      <w:r w:rsidRPr="008D71FB">
        <w:rPr>
          <w:sz w:val="20"/>
          <w:lang w:eastAsia="lt-LT"/>
        </w:rPr>
        <w:t>Info</w:t>
      </w:r>
      <w:proofErr w:type="spellEnd"/>
      <w:r w:rsidRPr="008D71FB">
        <w:rPr>
          <w:sz w:val="20"/>
          <w:lang w:eastAsia="lt-LT"/>
        </w:rPr>
        <w:t xml:space="preserve"> </w:t>
      </w:r>
      <w:proofErr w:type="spellStart"/>
      <w:r w:rsidRPr="008D71FB">
        <w:rPr>
          <w:sz w:val="20"/>
          <w:lang w:eastAsia="lt-LT"/>
        </w:rPr>
        <w:t>Regio</w:t>
      </w:r>
      <w:proofErr w:type="spellEnd"/>
      <w:r w:rsidR="001E27E2">
        <w:rPr>
          <w:sz w:val="20"/>
          <w:lang w:eastAsia="lt-LT"/>
        </w:rPr>
        <w:t xml:space="preserve">, </w:t>
      </w:r>
      <w:proofErr w:type="spellStart"/>
      <w:r w:rsidR="001E27E2">
        <w:rPr>
          <w:sz w:val="20"/>
          <w:lang w:eastAsia="lt-LT"/>
        </w:rPr>
        <w:t>Open</w:t>
      </w:r>
      <w:proofErr w:type="spellEnd"/>
      <w:r w:rsidR="001E27E2">
        <w:rPr>
          <w:sz w:val="20"/>
          <w:lang w:eastAsia="lt-LT"/>
        </w:rPr>
        <w:t xml:space="preserve"> Data</w:t>
      </w:r>
      <w:r w:rsidR="00A530A4">
        <w:rPr>
          <w:sz w:val="20"/>
          <w:lang w:eastAsia="lt-LT"/>
        </w:rPr>
        <w:t xml:space="preserve"> platforma</w:t>
      </w:r>
      <w:r w:rsidRPr="008D71FB">
        <w:rPr>
          <w:sz w:val="20"/>
          <w:lang w:eastAsia="lt-LT"/>
        </w:rPr>
        <w:t>.</w:t>
      </w:r>
    </w:p>
    <w:bookmarkEnd w:id="6"/>
    <w:bookmarkEnd w:id="7"/>
    <w:p w:rsidR="00AD7ED1" w:rsidRPr="00134D2C" w:rsidRDefault="00AD7ED1" w:rsidP="000D40CB">
      <w:pPr>
        <w:ind w:firstLine="567"/>
        <w:jc w:val="both"/>
        <w:rPr>
          <w:rFonts w:asciiTheme="minorHAnsi" w:hAnsiTheme="minorHAnsi"/>
          <w:color w:val="666666"/>
          <w:szCs w:val="24"/>
          <w:lang w:eastAsia="lt-LT"/>
        </w:rPr>
      </w:pPr>
    </w:p>
    <w:p w:rsidR="00BB5E94" w:rsidRPr="001C6370" w:rsidRDefault="00BB5E94" w:rsidP="00BB5E94">
      <w:pPr>
        <w:pStyle w:val="tekstas"/>
        <w:rPr>
          <w:lang w:eastAsia="lt-LT"/>
        </w:rPr>
      </w:pPr>
      <w:r w:rsidRPr="001C6370">
        <w:rPr>
          <w:lang w:eastAsia="lt-LT"/>
        </w:rPr>
        <w:t xml:space="preserve">Iki 2018 m. </w:t>
      </w:r>
      <w:r w:rsidR="00C372E0" w:rsidRPr="001C6370">
        <w:rPr>
          <w:lang w:eastAsia="lt-LT"/>
        </w:rPr>
        <w:t>gruodžio</w:t>
      </w:r>
      <w:r w:rsidR="00CD11BD" w:rsidRPr="001C6370">
        <w:rPr>
          <w:lang w:eastAsia="lt-LT"/>
        </w:rPr>
        <w:t xml:space="preserve"> </w:t>
      </w:r>
      <w:r w:rsidR="00C372E0" w:rsidRPr="001C6370">
        <w:rPr>
          <w:lang w:eastAsia="lt-LT"/>
        </w:rPr>
        <w:t>31</w:t>
      </w:r>
      <w:r w:rsidR="00CC11A6" w:rsidRPr="001C6370">
        <w:rPr>
          <w:lang w:eastAsia="lt-LT"/>
        </w:rPr>
        <w:t xml:space="preserve"> </w:t>
      </w:r>
      <w:r w:rsidRPr="001C6370">
        <w:rPr>
          <w:lang w:eastAsia="lt-LT"/>
        </w:rPr>
        <w:t xml:space="preserve">d. projektams paskirstyta </w:t>
      </w:r>
      <w:r w:rsidR="00C372E0" w:rsidRPr="001C6370">
        <w:rPr>
          <w:lang w:eastAsia="lt-LT"/>
        </w:rPr>
        <w:t>4,3</w:t>
      </w:r>
      <w:r w:rsidRPr="001C6370">
        <w:rPr>
          <w:lang w:eastAsia="lt-LT"/>
        </w:rPr>
        <w:t xml:space="preserve"> mlrd. eurų (</w:t>
      </w:r>
      <w:r w:rsidR="00C372E0" w:rsidRPr="001C6370">
        <w:rPr>
          <w:lang w:eastAsia="lt-LT"/>
        </w:rPr>
        <w:t>64</w:t>
      </w:r>
      <w:r w:rsidR="00C56702" w:rsidRPr="001C6370">
        <w:rPr>
          <w:lang w:eastAsia="lt-LT"/>
        </w:rPr>
        <w:t xml:space="preserve"> </w:t>
      </w:r>
      <w:r w:rsidRPr="001C6370">
        <w:rPr>
          <w:lang w:eastAsia="lt-LT"/>
        </w:rPr>
        <w:t xml:space="preserve">proc.) ES fondų lėšų. Per </w:t>
      </w:r>
      <w:r w:rsidR="00C372E0" w:rsidRPr="001C6370">
        <w:rPr>
          <w:lang w:eastAsia="lt-LT"/>
        </w:rPr>
        <w:t xml:space="preserve">2018 metus </w:t>
      </w:r>
      <w:r w:rsidR="00CD11BD" w:rsidRPr="001C6370">
        <w:rPr>
          <w:lang w:eastAsia="lt-LT"/>
        </w:rPr>
        <w:t>sudarytų sutarčių suma (ES fondų lėšos) padidėjo</w:t>
      </w:r>
      <w:r w:rsidRPr="001C6370">
        <w:rPr>
          <w:lang w:eastAsia="lt-LT"/>
        </w:rPr>
        <w:t xml:space="preserve"> </w:t>
      </w:r>
      <w:r w:rsidR="00C372E0" w:rsidRPr="001C6370">
        <w:rPr>
          <w:lang w:eastAsia="lt-LT"/>
        </w:rPr>
        <w:t>20</w:t>
      </w:r>
      <w:r w:rsidR="00B26B24" w:rsidRPr="001C6370">
        <w:rPr>
          <w:lang w:eastAsia="lt-LT"/>
        </w:rPr>
        <w:t xml:space="preserve"> </w:t>
      </w:r>
      <w:r w:rsidRPr="001C6370">
        <w:rPr>
          <w:lang w:eastAsia="lt-LT"/>
        </w:rPr>
        <w:t xml:space="preserve">proc. </w:t>
      </w:r>
    </w:p>
    <w:p w:rsidR="00BB5E94" w:rsidRPr="001C6370" w:rsidRDefault="00DE20DD" w:rsidP="00BB5E94">
      <w:pPr>
        <w:pStyle w:val="tekstas"/>
        <w:rPr>
          <w:lang w:eastAsia="lt-LT"/>
        </w:rPr>
      </w:pPr>
      <w:r w:rsidRPr="001C6370">
        <w:rPr>
          <w:lang w:eastAsia="lt-LT"/>
        </w:rPr>
        <w:t xml:space="preserve">Padidėjo </w:t>
      </w:r>
      <w:r w:rsidR="00156342" w:rsidRPr="001C6370">
        <w:rPr>
          <w:lang w:eastAsia="lt-LT"/>
        </w:rPr>
        <w:t xml:space="preserve">ir </w:t>
      </w:r>
      <w:r w:rsidR="001448F5" w:rsidRPr="001C6370">
        <w:rPr>
          <w:lang w:eastAsia="lt-LT"/>
        </w:rPr>
        <w:t>paskelbtų kvietimų bei</w:t>
      </w:r>
      <w:r w:rsidR="00BB5E94" w:rsidRPr="001C6370">
        <w:rPr>
          <w:lang w:eastAsia="lt-LT"/>
        </w:rPr>
        <w:t xml:space="preserve"> sudarytų projektų sąrašų suma, </w:t>
      </w:r>
      <w:r w:rsidR="00CA159B" w:rsidRPr="001C6370">
        <w:rPr>
          <w:lang w:eastAsia="lt-LT"/>
        </w:rPr>
        <w:t xml:space="preserve">iki 2018 m. </w:t>
      </w:r>
      <w:r w:rsidR="00D73E65" w:rsidRPr="001C6370">
        <w:rPr>
          <w:lang w:eastAsia="lt-LT"/>
        </w:rPr>
        <w:t>gruodžio</w:t>
      </w:r>
      <w:r w:rsidR="001D5FD3" w:rsidRPr="001C6370">
        <w:rPr>
          <w:lang w:eastAsia="lt-LT"/>
        </w:rPr>
        <w:t xml:space="preserve"> </w:t>
      </w:r>
      <w:r w:rsidR="00D73E65" w:rsidRPr="001C6370">
        <w:rPr>
          <w:lang w:eastAsia="lt-LT"/>
        </w:rPr>
        <w:t>31</w:t>
      </w:r>
      <w:r w:rsidRPr="001C6370">
        <w:rPr>
          <w:lang w:eastAsia="lt-LT"/>
        </w:rPr>
        <w:t xml:space="preserve"> </w:t>
      </w:r>
      <w:r w:rsidR="00CA159B" w:rsidRPr="001C6370">
        <w:rPr>
          <w:lang w:eastAsia="lt-LT"/>
        </w:rPr>
        <w:t>d. minėta</w:t>
      </w:r>
      <w:r w:rsidR="00BB5E94" w:rsidRPr="001C6370">
        <w:rPr>
          <w:lang w:eastAsia="lt-LT"/>
        </w:rPr>
        <w:t xml:space="preserve"> suma </w:t>
      </w:r>
      <w:r w:rsidRPr="001C6370">
        <w:rPr>
          <w:lang w:eastAsia="lt-LT"/>
        </w:rPr>
        <w:t>sudar</w:t>
      </w:r>
      <w:r w:rsidR="00C56702" w:rsidRPr="001C6370">
        <w:rPr>
          <w:lang w:eastAsia="lt-LT"/>
        </w:rPr>
        <w:t>ė</w:t>
      </w:r>
      <w:r w:rsidR="00BB5E94" w:rsidRPr="001C6370">
        <w:rPr>
          <w:lang w:eastAsia="lt-LT"/>
        </w:rPr>
        <w:t xml:space="preserve"> </w:t>
      </w:r>
      <w:r w:rsidR="00DC2946" w:rsidRPr="001C6370">
        <w:rPr>
          <w:lang w:eastAsia="lt-LT"/>
        </w:rPr>
        <w:t>5,5</w:t>
      </w:r>
      <w:r w:rsidRPr="001C6370">
        <w:rPr>
          <w:lang w:eastAsia="lt-LT"/>
        </w:rPr>
        <w:t xml:space="preserve"> </w:t>
      </w:r>
      <w:r w:rsidR="00BB5E94" w:rsidRPr="001C6370">
        <w:rPr>
          <w:lang w:eastAsia="lt-LT"/>
        </w:rPr>
        <w:t>mlrd. eurų (</w:t>
      </w:r>
      <w:r w:rsidR="00DC2946" w:rsidRPr="001C6370">
        <w:rPr>
          <w:lang w:eastAsia="lt-LT"/>
        </w:rPr>
        <w:t>82</w:t>
      </w:r>
      <w:r w:rsidRPr="001C6370">
        <w:rPr>
          <w:lang w:eastAsia="lt-LT"/>
        </w:rPr>
        <w:t xml:space="preserve"> </w:t>
      </w:r>
      <w:r w:rsidR="00BB5E94" w:rsidRPr="001C6370">
        <w:rPr>
          <w:lang w:eastAsia="lt-LT"/>
        </w:rPr>
        <w:t xml:space="preserve">proc.) ES fondų lėšų. </w:t>
      </w:r>
    </w:p>
    <w:p w:rsidR="00BB5E94" w:rsidRPr="001C6370" w:rsidRDefault="006002BC" w:rsidP="00BB5E94">
      <w:pPr>
        <w:pStyle w:val="tekstas"/>
        <w:rPr>
          <w:lang w:eastAsia="lt-LT"/>
        </w:rPr>
      </w:pPr>
      <w:r w:rsidRPr="001C6370">
        <w:rPr>
          <w:lang w:eastAsia="lt-LT"/>
        </w:rPr>
        <w:t xml:space="preserve">Per </w:t>
      </w:r>
      <w:r w:rsidR="00DC2946" w:rsidRPr="001C6370">
        <w:rPr>
          <w:lang w:eastAsia="lt-LT"/>
        </w:rPr>
        <w:t>2018 metus</w:t>
      </w:r>
      <w:r w:rsidRPr="001C6370">
        <w:rPr>
          <w:lang w:eastAsia="lt-LT"/>
        </w:rPr>
        <w:t xml:space="preserve"> išmokėtų lėšų </w:t>
      </w:r>
      <w:r w:rsidR="008719FB" w:rsidRPr="001C6370">
        <w:rPr>
          <w:lang w:eastAsia="lt-LT"/>
        </w:rPr>
        <w:t xml:space="preserve">suma </w:t>
      </w:r>
      <w:r w:rsidR="00DE20DD" w:rsidRPr="001C6370">
        <w:rPr>
          <w:lang w:eastAsia="lt-LT"/>
        </w:rPr>
        <w:t xml:space="preserve">padidėjo </w:t>
      </w:r>
      <w:r w:rsidR="00DC2946" w:rsidRPr="001C6370">
        <w:rPr>
          <w:lang w:eastAsia="lt-LT"/>
        </w:rPr>
        <w:t>11</w:t>
      </w:r>
      <w:r w:rsidR="00DE20DD" w:rsidRPr="001C6370">
        <w:rPr>
          <w:lang w:eastAsia="lt-LT"/>
        </w:rPr>
        <w:t xml:space="preserve"> proc.</w:t>
      </w:r>
      <w:r w:rsidRPr="001C6370">
        <w:rPr>
          <w:lang w:eastAsia="lt-LT"/>
        </w:rPr>
        <w:t xml:space="preserve">, </w:t>
      </w:r>
      <w:r w:rsidR="008719FB" w:rsidRPr="001C6370">
        <w:rPr>
          <w:lang w:eastAsia="lt-LT"/>
        </w:rPr>
        <w:t>ir</w:t>
      </w:r>
      <w:r w:rsidR="00BB5E94" w:rsidRPr="001C6370">
        <w:rPr>
          <w:lang w:eastAsia="lt-LT"/>
        </w:rPr>
        <w:t xml:space="preserve"> </w:t>
      </w:r>
      <w:r w:rsidR="00DC2946" w:rsidRPr="001C6370">
        <w:rPr>
          <w:lang w:eastAsia="lt-LT"/>
        </w:rPr>
        <w:t>metų pabaigoje</w:t>
      </w:r>
      <w:r w:rsidR="00BB5E94" w:rsidRPr="001C6370">
        <w:rPr>
          <w:lang w:eastAsia="lt-LT"/>
        </w:rPr>
        <w:t xml:space="preserve"> </w:t>
      </w:r>
      <w:r w:rsidR="008719FB" w:rsidRPr="001C6370">
        <w:rPr>
          <w:lang w:eastAsia="lt-LT"/>
        </w:rPr>
        <w:t xml:space="preserve">sudarė </w:t>
      </w:r>
      <w:r w:rsidR="00DC2946" w:rsidRPr="001C6370">
        <w:rPr>
          <w:lang w:eastAsia="lt-LT"/>
        </w:rPr>
        <w:t>daugiau nei 2</w:t>
      </w:r>
      <w:r w:rsidR="00CA159B" w:rsidRPr="001C6370">
        <w:rPr>
          <w:lang w:eastAsia="lt-LT"/>
        </w:rPr>
        <w:t xml:space="preserve"> mlrd. </w:t>
      </w:r>
      <w:r w:rsidR="001D5FD3" w:rsidRPr="001C6370">
        <w:rPr>
          <w:lang w:eastAsia="lt-LT"/>
        </w:rPr>
        <w:t>e</w:t>
      </w:r>
      <w:r w:rsidR="00CA159B" w:rsidRPr="001C6370">
        <w:rPr>
          <w:lang w:eastAsia="lt-LT"/>
        </w:rPr>
        <w:t>urų</w:t>
      </w:r>
      <w:r w:rsidR="00DC2946" w:rsidRPr="001C6370">
        <w:rPr>
          <w:lang w:eastAsia="lt-LT"/>
        </w:rPr>
        <w:t xml:space="preserve"> (30</w:t>
      </w:r>
      <w:r w:rsidR="001D5FD3" w:rsidRPr="001C6370">
        <w:rPr>
          <w:lang w:eastAsia="lt-LT"/>
        </w:rPr>
        <w:t xml:space="preserve"> proc.)</w:t>
      </w:r>
      <w:r w:rsidR="00BB5E94" w:rsidRPr="001C6370">
        <w:rPr>
          <w:lang w:eastAsia="lt-LT"/>
        </w:rPr>
        <w:t xml:space="preserve">. </w:t>
      </w:r>
      <w:r w:rsidR="00DC2946" w:rsidRPr="001C6370">
        <w:rPr>
          <w:lang w:eastAsia="lt-LT"/>
        </w:rPr>
        <w:t>2018</w:t>
      </w:r>
      <w:r w:rsidR="008719FB" w:rsidRPr="001C6370">
        <w:rPr>
          <w:lang w:eastAsia="lt-LT"/>
        </w:rPr>
        <w:t xml:space="preserve"> metų pabaigoje </w:t>
      </w:r>
      <w:r w:rsidR="00BB5E94" w:rsidRPr="001C6370">
        <w:rPr>
          <w:lang w:eastAsia="lt-LT"/>
        </w:rPr>
        <w:t xml:space="preserve">EK </w:t>
      </w:r>
      <w:r w:rsidR="008719FB" w:rsidRPr="001C6370">
        <w:rPr>
          <w:lang w:eastAsia="lt-LT"/>
        </w:rPr>
        <w:t xml:space="preserve">deklaruota </w:t>
      </w:r>
      <w:r w:rsidR="00DC2946" w:rsidRPr="001C6370">
        <w:rPr>
          <w:lang w:eastAsia="lt-LT"/>
        </w:rPr>
        <w:t>1,8</w:t>
      </w:r>
      <w:r w:rsidR="008719FB" w:rsidRPr="001C6370">
        <w:rPr>
          <w:lang w:eastAsia="lt-LT"/>
        </w:rPr>
        <w:t xml:space="preserve"> </w:t>
      </w:r>
      <w:r w:rsidR="00BB5E94" w:rsidRPr="001C6370">
        <w:rPr>
          <w:lang w:eastAsia="lt-LT"/>
        </w:rPr>
        <w:t>mlrd.</w:t>
      </w:r>
      <w:r w:rsidR="006B4126" w:rsidRPr="001C6370">
        <w:rPr>
          <w:lang w:eastAsia="lt-LT"/>
        </w:rPr>
        <w:t xml:space="preserve"> </w:t>
      </w:r>
      <w:r w:rsidR="00BB5E94" w:rsidRPr="001C6370">
        <w:rPr>
          <w:lang w:eastAsia="lt-LT"/>
        </w:rPr>
        <w:t>eurų (</w:t>
      </w:r>
      <w:r w:rsidR="00DC2946" w:rsidRPr="001C6370">
        <w:rPr>
          <w:lang w:eastAsia="lt-LT"/>
        </w:rPr>
        <w:t>27</w:t>
      </w:r>
      <w:r w:rsidR="001D5FD3" w:rsidRPr="001C6370">
        <w:rPr>
          <w:lang w:eastAsia="lt-LT"/>
        </w:rPr>
        <w:t xml:space="preserve"> </w:t>
      </w:r>
      <w:r w:rsidR="00BB5E94" w:rsidRPr="001C6370">
        <w:rPr>
          <w:lang w:eastAsia="lt-LT"/>
        </w:rPr>
        <w:t xml:space="preserve">proc.) ES fondų lėšų. </w:t>
      </w:r>
    </w:p>
    <w:p w:rsidR="00BB5E94" w:rsidRPr="001C6370" w:rsidRDefault="00BB5E94" w:rsidP="00BB5E94">
      <w:pPr>
        <w:ind w:firstLine="567"/>
        <w:jc w:val="both"/>
        <w:rPr>
          <w:rFonts w:asciiTheme="minorHAnsi" w:hAnsiTheme="minorHAnsi"/>
          <w:color w:val="FF0000"/>
          <w:sz w:val="2"/>
          <w:szCs w:val="24"/>
          <w:lang w:eastAsia="lt-LT"/>
        </w:rPr>
      </w:pPr>
    </w:p>
    <w:p w:rsidR="00BB5E94" w:rsidRPr="00140EB5" w:rsidRDefault="00BB5E94" w:rsidP="00BB5E94">
      <w:pPr>
        <w:pStyle w:val="tekstas"/>
        <w:rPr>
          <w:lang w:eastAsia="lt-LT"/>
        </w:rPr>
      </w:pPr>
      <w:r w:rsidRPr="001C6370">
        <w:rPr>
          <w:lang w:eastAsia="lt-LT"/>
        </w:rPr>
        <w:t xml:space="preserve">Informacija apie finansinę pažangą ataskaitiniu laikotarpiu pateikiama </w:t>
      </w:r>
      <w:r w:rsidR="006002BC" w:rsidRPr="001C6370">
        <w:rPr>
          <w:lang w:eastAsia="lt-LT"/>
        </w:rPr>
        <w:t>2</w:t>
      </w:r>
      <w:r w:rsidRPr="001C6370">
        <w:rPr>
          <w:lang w:eastAsia="lt-LT"/>
        </w:rPr>
        <w:t xml:space="preserve"> grafike.</w:t>
      </w:r>
      <w:r w:rsidRPr="00140EB5">
        <w:rPr>
          <w:lang w:eastAsia="lt-LT"/>
        </w:rPr>
        <w:t xml:space="preserve"> </w:t>
      </w:r>
    </w:p>
    <w:p w:rsidR="00427C59" w:rsidRPr="00140EB5" w:rsidRDefault="00427C59" w:rsidP="00427C59">
      <w:pPr>
        <w:pStyle w:val="tekstas"/>
        <w:rPr>
          <w:color w:val="FF0000"/>
          <w:lang w:eastAsia="lt-LT"/>
        </w:rPr>
      </w:pPr>
    </w:p>
    <w:p w:rsidR="00BB5E94" w:rsidRPr="00140EB5" w:rsidRDefault="00BB5E94" w:rsidP="00BB5E94">
      <w:pPr>
        <w:pStyle w:val="tekstas"/>
        <w:rPr>
          <w:sz w:val="2"/>
          <w:lang w:eastAsia="lt-LT"/>
        </w:rPr>
      </w:pPr>
    </w:p>
    <w:p w:rsidR="00BB5E94" w:rsidRPr="00140EB5" w:rsidRDefault="00BB5E94" w:rsidP="00BB5E94">
      <w:pPr>
        <w:pStyle w:val="tekstas"/>
        <w:rPr>
          <w:sz w:val="2"/>
          <w:lang w:eastAsia="lt-LT"/>
        </w:rPr>
      </w:pPr>
    </w:p>
    <w:p w:rsidR="005F3538" w:rsidRDefault="005F3538">
      <w:pPr>
        <w:spacing w:after="200" w:line="276" w:lineRule="auto"/>
        <w:rPr>
          <w:rFonts w:ascii="Calibri" w:eastAsia="Calibri" w:hAnsi="Calibri"/>
          <w:b/>
          <w:bCs/>
          <w:color w:val="365F91" w:themeColor="accent1" w:themeShade="BF"/>
          <w:sz w:val="22"/>
          <w:szCs w:val="22"/>
        </w:rPr>
      </w:pPr>
      <w:r>
        <w:rPr>
          <w:color w:val="365F91" w:themeColor="accent1" w:themeShade="BF"/>
          <w:sz w:val="22"/>
          <w:szCs w:val="22"/>
        </w:rPr>
        <w:br w:type="page"/>
      </w:r>
    </w:p>
    <w:p w:rsidR="00BB5E94" w:rsidRPr="001C6370" w:rsidRDefault="006002BC" w:rsidP="00BB5E94">
      <w:pPr>
        <w:pStyle w:val="Antrat"/>
        <w:keepNext/>
        <w:spacing w:after="0"/>
        <w:jc w:val="center"/>
        <w:rPr>
          <w:color w:val="365F91" w:themeColor="accent1" w:themeShade="BF"/>
          <w:sz w:val="22"/>
          <w:szCs w:val="22"/>
        </w:rPr>
      </w:pPr>
      <w:r w:rsidRPr="001C6370">
        <w:rPr>
          <w:color w:val="365F91" w:themeColor="accent1" w:themeShade="BF"/>
          <w:sz w:val="22"/>
          <w:szCs w:val="22"/>
        </w:rPr>
        <w:lastRenderedPageBreak/>
        <w:t>2</w:t>
      </w:r>
      <w:r w:rsidR="00BB5E94" w:rsidRPr="001C6370">
        <w:rPr>
          <w:color w:val="365F91" w:themeColor="accent1" w:themeShade="BF"/>
          <w:sz w:val="22"/>
          <w:szCs w:val="22"/>
        </w:rPr>
        <w:t xml:space="preserve"> grafikas. Veiksmų programos įgyvendinimas pagal etapus (mln. eurų ir % nuo ES fondų lėšų).</w:t>
      </w:r>
    </w:p>
    <w:p w:rsidR="00BB5E94" w:rsidRPr="001C6370" w:rsidRDefault="00BB5E94" w:rsidP="00BB5E94">
      <w:pPr>
        <w:rPr>
          <w:sz w:val="6"/>
        </w:rPr>
      </w:pPr>
    </w:p>
    <w:p w:rsidR="00BB5E94" w:rsidRPr="00754AB4" w:rsidRDefault="00C372E0" w:rsidP="00BB5E94">
      <w:pPr>
        <w:rPr>
          <w:highlight w:val="yellow"/>
          <w:lang w:val="en-US"/>
        </w:rPr>
      </w:pPr>
      <w:r>
        <w:rPr>
          <w:noProof/>
          <w:lang w:eastAsia="lt-LT"/>
        </w:rPr>
        <w:drawing>
          <wp:inline distT="0" distB="0" distL="0" distR="0" wp14:anchorId="2153F8AF" wp14:editId="2D78280B">
            <wp:extent cx="6120130" cy="2867967"/>
            <wp:effectExtent l="0" t="0" r="13970" b="2794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B5E94" w:rsidRPr="00494658" w:rsidRDefault="00BB5E94" w:rsidP="00BB5E94">
      <w:pPr>
        <w:rPr>
          <w:sz w:val="2"/>
          <w:highlight w:val="yellow"/>
        </w:rPr>
      </w:pPr>
    </w:p>
    <w:p w:rsidR="00BB5E94" w:rsidRPr="00494658" w:rsidRDefault="00BB5E94" w:rsidP="00BB5E94">
      <w:pPr>
        <w:rPr>
          <w:sz w:val="2"/>
          <w:highlight w:val="yellow"/>
        </w:rPr>
      </w:pPr>
    </w:p>
    <w:p w:rsidR="00BB5E94" w:rsidRPr="00494658" w:rsidRDefault="00BB5E94" w:rsidP="00BB5E94">
      <w:pPr>
        <w:jc w:val="both"/>
        <w:rPr>
          <w:rFonts w:asciiTheme="minorHAnsi" w:hAnsiTheme="minorHAnsi"/>
          <w:color w:val="666666"/>
          <w:sz w:val="6"/>
          <w:szCs w:val="24"/>
          <w:highlight w:val="yellow"/>
          <w:lang w:eastAsia="lt-LT"/>
        </w:rPr>
      </w:pPr>
    </w:p>
    <w:p w:rsidR="00BB5E94" w:rsidRPr="00494658" w:rsidRDefault="00BB5E94" w:rsidP="00BB5E94">
      <w:pPr>
        <w:ind w:firstLine="567"/>
        <w:jc w:val="both"/>
        <w:rPr>
          <w:rFonts w:asciiTheme="minorHAnsi" w:hAnsiTheme="minorHAnsi"/>
          <w:color w:val="666666"/>
          <w:sz w:val="2"/>
          <w:szCs w:val="24"/>
          <w:highlight w:val="yellow"/>
          <w:lang w:eastAsia="lt-LT"/>
        </w:rPr>
      </w:pPr>
    </w:p>
    <w:p w:rsidR="00BB5E94" w:rsidRPr="004F1BDC" w:rsidRDefault="00BB5E94" w:rsidP="00BB5E94">
      <w:pPr>
        <w:ind w:firstLine="567"/>
        <w:jc w:val="both"/>
        <w:rPr>
          <w:sz w:val="20"/>
          <w:lang w:eastAsia="lt-LT"/>
        </w:rPr>
      </w:pPr>
      <w:r w:rsidRPr="004F1BDC">
        <w:rPr>
          <w:sz w:val="20"/>
          <w:lang w:eastAsia="lt-LT"/>
        </w:rPr>
        <w:t>Šaltinis: 2014–2020 metų Europos Sąjungos struktūrinių fondų posistemis (SFMIS2014).</w:t>
      </w:r>
    </w:p>
    <w:p w:rsidR="00BB5E94" w:rsidRPr="00494658" w:rsidRDefault="00BB5E94" w:rsidP="00BB5E94">
      <w:pPr>
        <w:ind w:firstLine="567"/>
        <w:jc w:val="both"/>
        <w:rPr>
          <w:rFonts w:asciiTheme="minorHAnsi" w:hAnsiTheme="minorHAnsi"/>
          <w:color w:val="666666"/>
          <w:sz w:val="2"/>
          <w:szCs w:val="24"/>
          <w:highlight w:val="yellow"/>
          <w:lang w:eastAsia="lt-LT"/>
        </w:rPr>
      </w:pPr>
    </w:p>
    <w:p w:rsidR="00BB5E94" w:rsidRPr="004F1BDC" w:rsidRDefault="00BB5E94" w:rsidP="00BB5E94">
      <w:pPr>
        <w:ind w:firstLine="567"/>
        <w:jc w:val="both"/>
        <w:rPr>
          <w:rFonts w:asciiTheme="minorHAnsi" w:hAnsiTheme="minorHAnsi"/>
          <w:color w:val="FF0000"/>
          <w:sz w:val="10"/>
          <w:szCs w:val="24"/>
          <w:lang w:eastAsia="lt-LT"/>
        </w:rPr>
      </w:pPr>
    </w:p>
    <w:p w:rsidR="00BB5E94" w:rsidRPr="00494658" w:rsidRDefault="00427C59" w:rsidP="002613DA">
      <w:pPr>
        <w:pStyle w:val="Antrat"/>
        <w:keepNext/>
        <w:spacing w:after="0"/>
        <w:jc w:val="center"/>
        <w:rPr>
          <w:noProof/>
          <w:color w:val="365F91" w:themeColor="accent1" w:themeShade="BF"/>
          <w:sz w:val="22"/>
          <w:szCs w:val="22"/>
        </w:rPr>
      </w:pPr>
      <w:r w:rsidRPr="00494658">
        <w:rPr>
          <w:noProof/>
          <w:color w:val="365F91" w:themeColor="accent1" w:themeShade="BF"/>
          <w:sz w:val="22"/>
          <w:szCs w:val="22"/>
        </w:rPr>
        <w:t>3</w:t>
      </w:r>
      <w:r w:rsidR="00BB5E94" w:rsidRPr="00494658">
        <w:rPr>
          <w:noProof/>
          <w:color w:val="365F91" w:themeColor="accent1" w:themeShade="BF"/>
          <w:sz w:val="22"/>
          <w:szCs w:val="22"/>
        </w:rPr>
        <w:t xml:space="preserve"> grafikas. Veiksmų programos įgyvendinimas pagal etapus ir pagal ministerijas </w:t>
      </w:r>
      <w:r w:rsidR="00FD3B27" w:rsidRPr="00494658">
        <w:rPr>
          <w:noProof/>
          <w:color w:val="365F91" w:themeColor="accent1" w:themeShade="BF"/>
          <w:sz w:val="22"/>
          <w:szCs w:val="22"/>
        </w:rPr>
        <w:t xml:space="preserve">iki 2018 m. </w:t>
      </w:r>
      <w:r w:rsidR="002613DA">
        <w:rPr>
          <w:noProof/>
          <w:color w:val="365F91" w:themeColor="accent1" w:themeShade="BF"/>
          <w:sz w:val="22"/>
          <w:szCs w:val="22"/>
        </w:rPr>
        <w:t>gruodžio</w:t>
      </w:r>
      <w:r w:rsidR="005E427A" w:rsidRPr="00494658">
        <w:rPr>
          <w:noProof/>
          <w:color w:val="365F91" w:themeColor="accent1" w:themeShade="BF"/>
          <w:sz w:val="22"/>
          <w:szCs w:val="22"/>
        </w:rPr>
        <w:t xml:space="preserve"> </w:t>
      </w:r>
      <w:r w:rsidR="00FD3B27" w:rsidRPr="00494658">
        <w:rPr>
          <w:noProof/>
          <w:color w:val="365F91" w:themeColor="accent1" w:themeShade="BF"/>
          <w:sz w:val="22"/>
          <w:szCs w:val="22"/>
        </w:rPr>
        <w:t>3</w:t>
      </w:r>
      <w:r w:rsidR="002613DA">
        <w:rPr>
          <w:noProof/>
          <w:color w:val="365F91" w:themeColor="accent1" w:themeShade="BF"/>
          <w:sz w:val="22"/>
          <w:szCs w:val="22"/>
        </w:rPr>
        <w:t xml:space="preserve">1 </w:t>
      </w:r>
      <w:r w:rsidR="00BB5E94" w:rsidRPr="00494658">
        <w:rPr>
          <w:noProof/>
          <w:color w:val="365F91" w:themeColor="accent1" w:themeShade="BF"/>
          <w:sz w:val="22"/>
          <w:szCs w:val="22"/>
        </w:rPr>
        <w:t>d.</w:t>
      </w:r>
      <w:r w:rsidR="002613DA">
        <w:rPr>
          <w:noProof/>
          <w:color w:val="365F91" w:themeColor="accent1" w:themeShade="BF"/>
          <w:sz w:val="22"/>
          <w:szCs w:val="22"/>
        </w:rPr>
        <w:t xml:space="preserve"> </w:t>
      </w:r>
      <w:r w:rsidR="00BB5E94" w:rsidRPr="00494658">
        <w:rPr>
          <w:noProof/>
          <w:color w:val="365F91" w:themeColor="accent1" w:themeShade="BF"/>
          <w:sz w:val="22"/>
          <w:szCs w:val="22"/>
        </w:rPr>
        <w:t>(% nuo administruojamų ES fondų lėšų)</w:t>
      </w:r>
      <w:r w:rsidR="00BB5E94" w:rsidRPr="00494658" w:rsidDel="00C26E7A">
        <w:rPr>
          <w:noProof/>
          <w:color w:val="365F91" w:themeColor="accent1" w:themeShade="BF"/>
          <w:sz w:val="22"/>
          <w:szCs w:val="22"/>
        </w:rPr>
        <w:t xml:space="preserve"> </w:t>
      </w:r>
    </w:p>
    <w:p w:rsidR="00BB5E94" w:rsidRPr="00494658" w:rsidRDefault="00BB5E94" w:rsidP="00BB5E94">
      <w:pPr>
        <w:rPr>
          <w:sz w:val="10"/>
          <w:highlight w:val="yellow"/>
        </w:rPr>
      </w:pPr>
    </w:p>
    <w:p w:rsidR="00BB5E94" w:rsidRPr="004F1BDC" w:rsidRDefault="002613DA" w:rsidP="00BB5E94">
      <w:r w:rsidRPr="004F1BDC">
        <w:rPr>
          <w:noProof/>
          <w:lang w:eastAsia="lt-LT"/>
        </w:rPr>
        <w:drawing>
          <wp:inline distT="0" distB="0" distL="0" distR="0" wp14:anchorId="75A4F8FF" wp14:editId="54F14805">
            <wp:extent cx="6119446" cy="2625969"/>
            <wp:effectExtent l="0" t="0" r="15240" b="22225"/>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5E94" w:rsidRPr="004F1BDC" w:rsidRDefault="00BB5E94" w:rsidP="00BB5E94">
      <w:pPr>
        <w:rPr>
          <w:sz w:val="6"/>
        </w:rPr>
      </w:pPr>
    </w:p>
    <w:p w:rsidR="00BB5E94" w:rsidRPr="004F1BDC" w:rsidRDefault="00BB5E94" w:rsidP="00BB5E94">
      <w:pPr>
        <w:pStyle w:val="Antrat"/>
        <w:keepNext/>
        <w:spacing w:after="0"/>
        <w:jc w:val="center"/>
        <w:rPr>
          <w:sz w:val="2"/>
        </w:rPr>
      </w:pPr>
    </w:p>
    <w:p w:rsidR="00BB5E94" w:rsidRPr="004F1BDC" w:rsidRDefault="00BB5E94" w:rsidP="00BB5E94">
      <w:pPr>
        <w:rPr>
          <w:sz w:val="2"/>
        </w:rPr>
      </w:pPr>
    </w:p>
    <w:p w:rsidR="00BB5E94" w:rsidRPr="004F1BDC" w:rsidRDefault="00BB5E94" w:rsidP="00BB5E94">
      <w:pPr>
        <w:ind w:firstLine="567"/>
        <w:jc w:val="both"/>
        <w:rPr>
          <w:rFonts w:asciiTheme="minorHAnsi" w:hAnsiTheme="minorHAnsi"/>
          <w:color w:val="666666"/>
          <w:sz w:val="2"/>
          <w:szCs w:val="24"/>
          <w:lang w:eastAsia="lt-LT"/>
        </w:rPr>
      </w:pPr>
    </w:p>
    <w:p w:rsidR="00BB5E94" w:rsidRPr="004F1BDC" w:rsidRDefault="00BB5E94" w:rsidP="00BB5E94">
      <w:pPr>
        <w:ind w:firstLine="567"/>
        <w:jc w:val="both"/>
        <w:rPr>
          <w:sz w:val="20"/>
          <w:lang w:eastAsia="lt-LT"/>
        </w:rPr>
      </w:pPr>
      <w:r w:rsidRPr="004F1BDC">
        <w:rPr>
          <w:sz w:val="20"/>
          <w:lang w:eastAsia="lt-LT"/>
        </w:rPr>
        <w:t>Šaltinis: 2014–2020 metų Europos Sąjungos struktūrinių fondų posistemis (SFMIS2014).</w:t>
      </w:r>
    </w:p>
    <w:p w:rsidR="00BB5E94" w:rsidRPr="004F1BDC" w:rsidRDefault="00BB5E94" w:rsidP="00BB5E94">
      <w:pPr>
        <w:ind w:firstLine="284"/>
        <w:jc w:val="both"/>
        <w:rPr>
          <w:rFonts w:asciiTheme="minorHAnsi" w:hAnsiTheme="minorHAnsi"/>
          <w:color w:val="666666"/>
          <w:sz w:val="6"/>
          <w:szCs w:val="24"/>
          <w:lang w:eastAsia="lt-LT"/>
        </w:rPr>
      </w:pPr>
    </w:p>
    <w:p w:rsidR="00BB5E94" w:rsidRPr="004F1BDC" w:rsidRDefault="00BB5E94" w:rsidP="00BB5E94">
      <w:pPr>
        <w:pStyle w:val="Antrat"/>
        <w:keepNext/>
        <w:spacing w:after="0"/>
        <w:jc w:val="center"/>
        <w:rPr>
          <w:noProof/>
          <w:color w:val="365F91" w:themeColor="accent1" w:themeShade="BF"/>
          <w:sz w:val="20"/>
          <w:szCs w:val="20"/>
        </w:rPr>
      </w:pPr>
    </w:p>
    <w:p w:rsidR="00E44C02" w:rsidRDefault="00E44C02" w:rsidP="002613DA">
      <w:pPr>
        <w:pStyle w:val="tekstas"/>
        <w:rPr>
          <w:lang w:eastAsia="lt-LT"/>
        </w:rPr>
      </w:pPr>
    </w:p>
    <w:p w:rsidR="002613DA" w:rsidRPr="001C6370" w:rsidRDefault="00E44C02" w:rsidP="002613DA">
      <w:pPr>
        <w:pStyle w:val="tekstas"/>
        <w:rPr>
          <w:lang w:eastAsia="lt-LT"/>
        </w:rPr>
      </w:pPr>
      <w:r>
        <w:rPr>
          <w:lang w:eastAsia="lt-LT"/>
        </w:rPr>
        <w:t xml:space="preserve">Nuo periodo pradžios iki 2018 m. pabaigos </w:t>
      </w:r>
      <w:r w:rsidRPr="001C6370">
        <w:rPr>
          <w:lang w:eastAsia="lt-LT"/>
        </w:rPr>
        <w:t>beveik po pusę ES fondų lėšų jau yra išmokėjusios Socialinės apsaugos ir darbo (46 proc.) ir Aplinkos (43 proc.) ministerijos</w:t>
      </w:r>
      <w:r>
        <w:rPr>
          <w:lang w:eastAsia="lt-LT"/>
        </w:rPr>
        <w:t>.</w:t>
      </w:r>
      <w:r w:rsidRPr="001C6370">
        <w:rPr>
          <w:lang w:eastAsia="lt-LT"/>
        </w:rPr>
        <w:t xml:space="preserve"> </w:t>
      </w:r>
      <w:r>
        <w:rPr>
          <w:lang w:eastAsia="lt-LT"/>
        </w:rPr>
        <w:t xml:space="preserve">Per </w:t>
      </w:r>
      <w:r w:rsidR="002613DA" w:rsidRPr="001C6370">
        <w:rPr>
          <w:lang w:eastAsia="lt-LT"/>
        </w:rPr>
        <w:t>2018 m. didesnis mokėjimų proveržis pastebimas Sveikatos apsaugos ministerijos administruojamose priemonėse, per ataskaitinius metus išmokėta</w:t>
      </w:r>
      <w:r w:rsidR="005F3538">
        <w:rPr>
          <w:lang w:eastAsia="lt-LT"/>
        </w:rPr>
        <w:t xml:space="preserve"> 20 proc. skirtų ES fondų lėšų</w:t>
      </w:r>
      <w:r w:rsidR="002613DA" w:rsidRPr="001C6370">
        <w:rPr>
          <w:lang w:eastAsia="lt-LT"/>
        </w:rPr>
        <w:t>.</w:t>
      </w:r>
    </w:p>
    <w:p w:rsidR="002613DA" w:rsidRPr="001C6370" w:rsidRDefault="009E04EC" w:rsidP="002613DA">
      <w:pPr>
        <w:pStyle w:val="tekstas"/>
        <w:rPr>
          <w:lang w:eastAsia="lt-LT"/>
        </w:rPr>
      </w:pPr>
      <w:r>
        <w:rPr>
          <w:lang w:eastAsia="lt-LT"/>
        </w:rPr>
        <w:t xml:space="preserve">Nuo periodo pradžios iki 2018 m. pagal pasirašytų sutarčių rodiklį pirmauja Aplinkos ministerija (80 proc. jai skirtų lėšų) bei Socialinės apsaugos ir darbo ministerija (71 proc.). </w:t>
      </w:r>
      <w:r w:rsidR="002613DA" w:rsidRPr="001C6370">
        <w:rPr>
          <w:lang w:eastAsia="lt-LT"/>
        </w:rPr>
        <w:t xml:space="preserve">Ataskaitiniais </w:t>
      </w:r>
      <w:r>
        <w:rPr>
          <w:lang w:eastAsia="lt-LT"/>
        </w:rPr>
        <w:t xml:space="preserve">2018 </w:t>
      </w:r>
      <w:r w:rsidR="002613DA" w:rsidRPr="001C6370">
        <w:rPr>
          <w:lang w:eastAsia="lt-LT"/>
        </w:rPr>
        <w:t>metais sudaryta projektų sutarčių suma padidėjo (1,36 mlrd. eurų), iš kurių daugiausia pagal Švietimo, mokslo ir sporto (35 proc. nuo ministerijai skirtų ES fondų lėšų) bei Sveikatos apsaugos (34 proc. nuo ministerijai skirtų ES fondų lėšų) ministerijų administruojamas priemones.</w:t>
      </w:r>
    </w:p>
    <w:p w:rsidR="004E1AA3" w:rsidRPr="004F1BDC" w:rsidRDefault="002613DA" w:rsidP="004F1BDC">
      <w:pPr>
        <w:pStyle w:val="tekstas"/>
        <w:rPr>
          <w:lang w:eastAsia="lt-LT"/>
        </w:rPr>
      </w:pPr>
      <w:r w:rsidRPr="001C6370">
        <w:rPr>
          <w:lang w:eastAsia="lt-LT"/>
        </w:rPr>
        <w:lastRenderedPageBreak/>
        <w:t>Iki 2018 m. pabaigos suplanuota (paskelbta kvietimų ir sudaryta valstybės projektų sąrašų) 82 proc. ES fondų lėšų, iš kurių daugiausia lėšų suplanavusios yra Ekonomikos ir inovacijų ministerija (93 proc.), Aplinkos ministerija (87 proc.) ir Kultūros ministerija (87 proc.). Daugiausia</w:t>
      </w:r>
      <w:r w:rsidR="009E04EC">
        <w:rPr>
          <w:lang w:eastAsia="lt-LT"/>
        </w:rPr>
        <w:t xml:space="preserve"> (</w:t>
      </w:r>
      <w:r w:rsidR="004F1BDC" w:rsidRPr="001C6370">
        <w:rPr>
          <w:lang w:eastAsia="lt-LT"/>
        </w:rPr>
        <w:t>šiek tiek mažiau nei trečdalį</w:t>
      </w:r>
      <w:r w:rsidR="009E04EC">
        <w:rPr>
          <w:lang w:eastAsia="lt-LT"/>
        </w:rPr>
        <w:t>)</w:t>
      </w:r>
      <w:r w:rsidR="004F1BDC" w:rsidRPr="001C6370">
        <w:rPr>
          <w:lang w:eastAsia="lt-LT"/>
        </w:rPr>
        <w:t xml:space="preserve"> nesuplanuotų lėšų turi Sveikatos apsaugos (29 proc.), Energetikos (29 proc.) bei Švietimo, mokslo ir sporto (28 proc.) ministerijos </w:t>
      </w:r>
      <w:r w:rsidR="009D0B60" w:rsidRPr="001C6370">
        <w:rPr>
          <w:lang w:eastAsia="lt-LT"/>
        </w:rPr>
        <w:t>(žr. 3 grafiką).</w:t>
      </w:r>
      <w:r w:rsidR="00F76A83">
        <w:rPr>
          <w:lang w:eastAsia="lt-LT"/>
        </w:rPr>
        <w:t xml:space="preserve"> Pažymėtina, kad šiuo metu su EK yra derinamas Vei</w:t>
      </w:r>
      <w:r w:rsidR="00F235FE">
        <w:rPr>
          <w:lang w:eastAsia="lt-LT"/>
        </w:rPr>
        <w:t>ksmų programos keitimas, kuriuo</w:t>
      </w:r>
      <w:r w:rsidR="00F76A83">
        <w:rPr>
          <w:lang w:eastAsia="lt-LT"/>
        </w:rPr>
        <w:t xml:space="preserve"> 27 mln. eurų Energetikos ministerijos administruojamų lėšų bus perskirstyti Aplinkos ministerijai ir Susisiekimo ministerijai. Patvirtinus keitimą, Energetikos ministerijos nesuplanuotas likutis sumažės. </w:t>
      </w:r>
    </w:p>
    <w:p w:rsidR="00BB5E94" w:rsidRPr="00140EB5" w:rsidRDefault="00BB5E94" w:rsidP="00BB5E94">
      <w:pPr>
        <w:pStyle w:val="tekstas"/>
        <w:rPr>
          <w:sz w:val="18"/>
          <w:lang w:eastAsia="lt-LT"/>
        </w:rPr>
      </w:pPr>
    </w:p>
    <w:p w:rsidR="00BB5E94" w:rsidRPr="00140EB5" w:rsidRDefault="00BB5E94" w:rsidP="00BB5E94">
      <w:pPr>
        <w:pStyle w:val="Antrat"/>
        <w:keepNext/>
        <w:spacing w:after="0"/>
        <w:jc w:val="center"/>
        <w:rPr>
          <w:noProof/>
          <w:color w:val="365F91" w:themeColor="accent1" w:themeShade="BF"/>
          <w:sz w:val="2"/>
          <w:szCs w:val="22"/>
        </w:rPr>
      </w:pPr>
    </w:p>
    <w:p w:rsidR="00BB5E94" w:rsidRPr="00140EB5" w:rsidRDefault="00427C59" w:rsidP="00BB5E94">
      <w:pPr>
        <w:pStyle w:val="Antrat"/>
        <w:keepNext/>
        <w:spacing w:after="0"/>
        <w:jc w:val="center"/>
        <w:rPr>
          <w:noProof/>
          <w:color w:val="365F91" w:themeColor="accent1" w:themeShade="BF"/>
          <w:sz w:val="22"/>
          <w:szCs w:val="22"/>
        </w:rPr>
      </w:pPr>
      <w:r w:rsidRPr="00140EB5">
        <w:rPr>
          <w:noProof/>
          <w:color w:val="365F91" w:themeColor="accent1" w:themeShade="BF"/>
          <w:sz w:val="22"/>
          <w:szCs w:val="22"/>
        </w:rPr>
        <w:t>4</w:t>
      </w:r>
      <w:r w:rsidR="00BB5E94" w:rsidRPr="00140EB5">
        <w:rPr>
          <w:noProof/>
          <w:color w:val="365F91" w:themeColor="accent1" w:themeShade="BF"/>
          <w:sz w:val="22"/>
          <w:szCs w:val="22"/>
        </w:rPr>
        <w:t xml:space="preserve"> grafikas. 201</w:t>
      </w:r>
      <w:r w:rsidR="00697942" w:rsidRPr="00140EB5">
        <w:rPr>
          <w:noProof/>
          <w:color w:val="365F91" w:themeColor="accent1" w:themeShade="BF"/>
          <w:sz w:val="22"/>
          <w:szCs w:val="22"/>
        </w:rPr>
        <w:t>8</w:t>
      </w:r>
      <w:r w:rsidR="00BB5E94" w:rsidRPr="00140EB5">
        <w:rPr>
          <w:noProof/>
          <w:color w:val="365F91" w:themeColor="accent1" w:themeShade="BF"/>
          <w:sz w:val="22"/>
          <w:szCs w:val="22"/>
        </w:rPr>
        <w:t xml:space="preserve"> m. asignavimų </w:t>
      </w:r>
      <w:r w:rsidR="00A92AFF" w:rsidRPr="00140EB5">
        <w:rPr>
          <w:noProof/>
          <w:color w:val="365F91" w:themeColor="accent1" w:themeShade="BF"/>
          <w:sz w:val="22"/>
          <w:szCs w:val="22"/>
        </w:rPr>
        <w:t>plano vykdymas iki 201</w:t>
      </w:r>
      <w:r w:rsidR="00697942" w:rsidRPr="00140EB5">
        <w:rPr>
          <w:noProof/>
          <w:color w:val="365F91" w:themeColor="accent1" w:themeShade="BF"/>
          <w:sz w:val="22"/>
          <w:szCs w:val="22"/>
        </w:rPr>
        <w:t>8</w:t>
      </w:r>
      <w:r w:rsidR="00BB5E94" w:rsidRPr="00140EB5">
        <w:rPr>
          <w:noProof/>
          <w:color w:val="365F91" w:themeColor="accent1" w:themeShade="BF"/>
          <w:sz w:val="22"/>
          <w:szCs w:val="22"/>
        </w:rPr>
        <w:t xml:space="preserve"> m. </w:t>
      </w:r>
      <w:r w:rsidR="004F1BDC">
        <w:rPr>
          <w:noProof/>
          <w:color w:val="365F91" w:themeColor="accent1" w:themeShade="BF"/>
          <w:sz w:val="22"/>
          <w:szCs w:val="22"/>
        </w:rPr>
        <w:t>gruodžio</w:t>
      </w:r>
      <w:r w:rsidR="009D0B60" w:rsidRPr="00140EB5">
        <w:rPr>
          <w:noProof/>
          <w:color w:val="365F91" w:themeColor="accent1" w:themeShade="BF"/>
          <w:sz w:val="22"/>
          <w:szCs w:val="22"/>
        </w:rPr>
        <w:t xml:space="preserve"> </w:t>
      </w:r>
      <w:r w:rsidR="004F1BDC">
        <w:rPr>
          <w:noProof/>
          <w:color w:val="365F91" w:themeColor="accent1" w:themeShade="BF"/>
          <w:sz w:val="22"/>
          <w:szCs w:val="22"/>
        </w:rPr>
        <w:t>31</w:t>
      </w:r>
      <w:r w:rsidR="00381044" w:rsidRPr="00140EB5">
        <w:rPr>
          <w:noProof/>
          <w:color w:val="365F91" w:themeColor="accent1" w:themeShade="BF"/>
          <w:sz w:val="22"/>
          <w:szCs w:val="22"/>
        </w:rPr>
        <w:t xml:space="preserve"> </w:t>
      </w:r>
      <w:r w:rsidR="00BB5E94" w:rsidRPr="00140EB5">
        <w:rPr>
          <w:noProof/>
          <w:color w:val="365F91" w:themeColor="accent1" w:themeShade="BF"/>
          <w:sz w:val="22"/>
          <w:szCs w:val="22"/>
        </w:rPr>
        <w:t>d.</w:t>
      </w:r>
    </w:p>
    <w:p w:rsidR="00BB5E94" w:rsidRPr="00140EB5" w:rsidRDefault="00BB5E94" w:rsidP="00BB5E94">
      <w:pPr>
        <w:pStyle w:val="Antrat"/>
        <w:keepNext/>
        <w:spacing w:after="0"/>
        <w:jc w:val="center"/>
        <w:rPr>
          <w:noProof/>
          <w:color w:val="365F91" w:themeColor="accent1" w:themeShade="BF"/>
          <w:sz w:val="22"/>
          <w:szCs w:val="22"/>
        </w:rPr>
      </w:pPr>
      <w:r w:rsidRPr="00140EB5">
        <w:rPr>
          <w:noProof/>
          <w:color w:val="365F91" w:themeColor="accent1" w:themeShade="BF"/>
          <w:sz w:val="22"/>
          <w:szCs w:val="22"/>
        </w:rPr>
        <w:t>(</w:t>
      </w:r>
      <w:r w:rsidR="00E15489" w:rsidRPr="00140EB5">
        <w:rPr>
          <w:noProof/>
          <w:color w:val="365F91" w:themeColor="accent1" w:themeShade="BF"/>
          <w:sz w:val="22"/>
          <w:szCs w:val="22"/>
        </w:rPr>
        <w:t xml:space="preserve">% ir </w:t>
      </w:r>
      <w:r w:rsidRPr="00140EB5">
        <w:rPr>
          <w:noProof/>
          <w:color w:val="365F91" w:themeColor="accent1" w:themeShade="BF"/>
          <w:sz w:val="22"/>
          <w:szCs w:val="22"/>
        </w:rPr>
        <w:t>mln. eurų )</w:t>
      </w:r>
    </w:p>
    <w:p w:rsidR="00BB5E94" w:rsidRPr="00140EB5" w:rsidRDefault="00BB5E94" w:rsidP="00BB5E94">
      <w:pPr>
        <w:rPr>
          <w:sz w:val="12"/>
        </w:rPr>
      </w:pPr>
    </w:p>
    <w:p w:rsidR="00BB5E94" w:rsidRPr="00140EB5" w:rsidRDefault="00BB5E94" w:rsidP="00BB5E94">
      <w:pPr>
        <w:rPr>
          <w:sz w:val="2"/>
        </w:rPr>
      </w:pPr>
    </w:p>
    <w:p w:rsidR="00BB5E94" w:rsidRPr="00140EB5" w:rsidRDefault="00BB5E94" w:rsidP="00BB5E94">
      <w:pPr>
        <w:rPr>
          <w:sz w:val="2"/>
        </w:rPr>
      </w:pPr>
    </w:p>
    <w:p w:rsidR="00A92AFF" w:rsidRPr="00140EB5" w:rsidRDefault="00B63B29" w:rsidP="00A92AFF">
      <w:pPr>
        <w:spacing w:after="200" w:line="276" w:lineRule="auto"/>
        <w:jc w:val="center"/>
        <w:rPr>
          <w:noProof/>
          <w:color w:val="365F91" w:themeColor="accent1" w:themeShade="BF"/>
          <w:sz w:val="22"/>
          <w:szCs w:val="22"/>
        </w:rPr>
      </w:pPr>
      <w:r>
        <w:rPr>
          <w:noProof/>
          <w:lang w:eastAsia="lt-LT"/>
        </w:rPr>
        <w:drawing>
          <wp:inline distT="0" distB="0" distL="0" distR="0" wp14:anchorId="4764CB8C" wp14:editId="00E18AA3">
            <wp:extent cx="6105525" cy="3590925"/>
            <wp:effectExtent l="0" t="0" r="9525" b="9525"/>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5E94" w:rsidRDefault="00AE0FD7" w:rsidP="00AA06DF">
      <w:pPr>
        <w:pStyle w:val="tekstas"/>
        <w:rPr>
          <w:lang w:eastAsia="lt-LT"/>
        </w:rPr>
      </w:pPr>
      <w:r w:rsidRPr="001C6370">
        <w:rPr>
          <w:lang w:eastAsia="lt-LT"/>
        </w:rPr>
        <w:t xml:space="preserve">2018 m. valstybės biudžete </w:t>
      </w:r>
      <w:r w:rsidR="00B63B29" w:rsidRPr="001C6370">
        <w:rPr>
          <w:lang w:eastAsia="lt-LT"/>
        </w:rPr>
        <w:t xml:space="preserve">buvo </w:t>
      </w:r>
      <w:r w:rsidRPr="001C6370">
        <w:rPr>
          <w:lang w:eastAsia="lt-LT"/>
        </w:rPr>
        <w:t xml:space="preserve">numatyta apie 1 mlrd. eurų ES fondų lėšų. </w:t>
      </w:r>
      <w:r w:rsidR="006A4427" w:rsidRPr="001C6370">
        <w:rPr>
          <w:lang w:eastAsia="lt-LT"/>
        </w:rPr>
        <w:t>Per</w:t>
      </w:r>
      <w:r w:rsidR="009D0B60" w:rsidRPr="001C6370">
        <w:rPr>
          <w:lang w:eastAsia="lt-LT"/>
        </w:rPr>
        <w:t xml:space="preserve"> </w:t>
      </w:r>
      <w:r w:rsidR="00314522" w:rsidRPr="001C6370">
        <w:rPr>
          <w:lang w:eastAsia="lt-LT"/>
        </w:rPr>
        <w:t>2018 m</w:t>
      </w:r>
      <w:r w:rsidR="00B63B29" w:rsidRPr="001C6370">
        <w:rPr>
          <w:lang w:eastAsia="lt-LT"/>
        </w:rPr>
        <w:t>et</w:t>
      </w:r>
      <w:r w:rsidR="006A4427" w:rsidRPr="001C6370">
        <w:rPr>
          <w:lang w:eastAsia="lt-LT"/>
        </w:rPr>
        <w:t>us</w:t>
      </w:r>
      <w:r w:rsidR="00314522" w:rsidRPr="001C6370">
        <w:rPr>
          <w:lang w:eastAsia="lt-LT"/>
        </w:rPr>
        <w:t xml:space="preserve"> </w:t>
      </w:r>
      <w:r w:rsidR="00412A12" w:rsidRPr="001C6370">
        <w:rPr>
          <w:lang w:eastAsia="lt-LT"/>
        </w:rPr>
        <w:t>išmokėt</w:t>
      </w:r>
      <w:r w:rsidR="009D0B60" w:rsidRPr="001C6370">
        <w:rPr>
          <w:lang w:eastAsia="lt-LT"/>
        </w:rPr>
        <w:t>a</w:t>
      </w:r>
      <w:r w:rsidR="00412A12" w:rsidRPr="001C6370">
        <w:rPr>
          <w:lang w:eastAsia="lt-LT"/>
        </w:rPr>
        <w:t xml:space="preserve"> </w:t>
      </w:r>
      <w:r w:rsidR="006A4427" w:rsidRPr="001C6370">
        <w:rPr>
          <w:lang w:eastAsia="lt-LT"/>
        </w:rPr>
        <w:t>736</w:t>
      </w:r>
      <w:r w:rsidR="00BF48A5" w:rsidRPr="001C6370">
        <w:rPr>
          <w:lang w:eastAsia="lt-LT"/>
        </w:rPr>
        <w:t xml:space="preserve"> </w:t>
      </w:r>
      <w:r w:rsidR="00314522" w:rsidRPr="001C6370">
        <w:rPr>
          <w:lang w:eastAsia="lt-LT"/>
        </w:rPr>
        <w:t xml:space="preserve">mln. eurų ES fondų lėšų, tai sudaro </w:t>
      </w:r>
      <w:r w:rsidR="006A4427" w:rsidRPr="001C6370">
        <w:rPr>
          <w:lang w:eastAsia="lt-LT"/>
        </w:rPr>
        <w:t>74</w:t>
      </w:r>
      <w:r w:rsidR="005E427A" w:rsidRPr="001C6370">
        <w:rPr>
          <w:lang w:eastAsia="lt-LT"/>
        </w:rPr>
        <w:t xml:space="preserve"> </w:t>
      </w:r>
      <w:r w:rsidR="00314522" w:rsidRPr="001C6370">
        <w:rPr>
          <w:lang w:eastAsia="lt-LT"/>
        </w:rPr>
        <w:t>proc. 2018 m. asignavimų plano</w:t>
      </w:r>
      <w:r w:rsidR="00427C59" w:rsidRPr="001C6370">
        <w:rPr>
          <w:lang w:eastAsia="lt-LT"/>
        </w:rPr>
        <w:t xml:space="preserve"> (žr. 4</w:t>
      </w:r>
      <w:r w:rsidR="00566A39" w:rsidRPr="001C6370">
        <w:rPr>
          <w:lang w:eastAsia="lt-LT"/>
        </w:rPr>
        <w:t xml:space="preserve"> grafiką)</w:t>
      </w:r>
      <w:r w:rsidR="00314522" w:rsidRPr="001C6370">
        <w:rPr>
          <w:lang w:eastAsia="lt-LT"/>
        </w:rPr>
        <w:t>.</w:t>
      </w:r>
      <w:r w:rsidR="00314522" w:rsidRPr="00A76DAB">
        <w:rPr>
          <w:lang w:eastAsia="lt-LT"/>
        </w:rPr>
        <w:t xml:space="preserve"> </w:t>
      </w:r>
      <w:r w:rsidR="001C6370">
        <w:rPr>
          <w:lang w:eastAsia="lt-LT"/>
        </w:rPr>
        <w:t>2019 m. biudžete numatyta</w:t>
      </w:r>
      <w:r w:rsidR="00774B19">
        <w:rPr>
          <w:lang w:eastAsia="lt-LT"/>
        </w:rPr>
        <w:t xml:space="preserve"> investuoti 1,2 mlrd. eurų ES fondų lėšų.</w:t>
      </w:r>
    </w:p>
    <w:p w:rsidR="007D2177" w:rsidRPr="00A76DAB" w:rsidRDefault="007D2177" w:rsidP="00AA06DF">
      <w:pPr>
        <w:pStyle w:val="tekstas"/>
        <w:rPr>
          <w:lang w:eastAsia="lt-LT"/>
        </w:rPr>
      </w:pPr>
    </w:p>
    <w:p w:rsidR="00384285" w:rsidRPr="007D2177" w:rsidRDefault="00494658" w:rsidP="00D93EF4">
      <w:pPr>
        <w:pStyle w:val="tekstas"/>
        <w:rPr>
          <w:b/>
          <w:lang w:eastAsia="lt-LT"/>
        </w:rPr>
      </w:pPr>
      <w:r w:rsidRPr="007D2177">
        <w:rPr>
          <w:b/>
          <w:lang w:eastAsia="lt-LT"/>
        </w:rPr>
        <w:t xml:space="preserve">Per 2018 m. </w:t>
      </w:r>
      <w:r w:rsidR="001C6370">
        <w:rPr>
          <w:b/>
          <w:lang w:eastAsia="lt-LT"/>
        </w:rPr>
        <w:t>I</w:t>
      </w:r>
      <w:r w:rsidR="00095F43">
        <w:rPr>
          <w:b/>
          <w:lang w:eastAsia="lt-LT"/>
        </w:rPr>
        <w:t>V</w:t>
      </w:r>
      <w:r w:rsidR="001C6370">
        <w:rPr>
          <w:b/>
          <w:lang w:eastAsia="lt-LT"/>
        </w:rPr>
        <w:t xml:space="preserve"> </w:t>
      </w:r>
      <w:proofErr w:type="spellStart"/>
      <w:r w:rsidR="001C6370">
        <w:rPr>
          <w:b/>
          <w:lang w:eastAsia="lt-LT"/>
        </w:rPr>
        <w:t>ketv</w:t>
      </w:r>
      <w:proofErr w:type="spellEnd"/>
      <w:r w:rsidR="001C6370">
        <w:rPr>
          <w:b/>
          <w:lang w:eastAsia="lt-LT"/>
        </w:rPr>
        <w:t xml:space="preserve">. </w:t>
      </w:r>
      <w:r w:rsidR="00AE0FD7" w:rsidRPr="007D2177">
        <w:rPr>
          <w:b/>
          <w:lang w:eastAsia="lt-LT"/>
        </w:rPr>
        <w:t>pažymėtini šie pasiekimai</w:t>
      </w:r>
      <w:r w:rsidR="00384285" w:rsidRPr="007D2177">
        <w:rPr>
          <w:b/>
          <w:lang w:eastAsia="lt-LT"/>
        </w:rPr>
        <w:t>:</w:t>
      </w:r>
    </w:p>
    <w:p w:rsidR="007D2177" w:rsidRPr="001C6370" w:rsidRDefault="007D2177" w:rsidP="00A51A87">
      <w:pPr>
        <w:pStyle w:val="tekstas"/>
        <w:numPr>
          <w:ilvl w:val="0"/>
          <w:numId w:val="3"/>
        </w:numPr>
      </w:pPr>
      <w:r w:rsidRPr="001C6370">
        <w:t>Europos investicijų bankas (toliau – EIB) ir AB „Šiaulių bankas“ pasirašė pirmąją garantijos sutartį pagal Rizikos pasidalijimo fondą (Daugiabučių namų atnaujinimo priemonė), kuris buvo įsteigtas 2016 m.</w:t>
      </w:r>
      <w:r w:rsidR="00EB1FB1">
        <w:t>,</w:t>
      </w:r>
      <w:r w:rsidRPr="001C6370">
        <w:t xml:space="preserve"> siekiant pritraukti privačias </w:t>
      </w:r>
      <w:r w:rsidR="00095F43">
        <w:t xml:space="preserve">komercinių </w:t>
      </w:r>
      <w:r w:rsidRPr="001C6370">
        <w:t>bank</w:t>
      </w:r>
      <w:r w:rsidR="00095F43">
        <w:t>ų</w:t>
      </w:r>
      <w:r w:rsidRPr="001C6370">
        <w:t xml:space="preserve"> lėšas ir skirti jas daugiabučių namų atnaujinimui (modernizavimui) didina</w:t>
      </w:r>
      <w:r w:rsidR="00095F43">
        <w:t>n</w:t>
      </w:r>
      <w:r w:rsidRPr="001C6370">
        <w:t xml:space="preserve">t energijos efektyvumą. </w:t>
      </w:r>
      <w:r w:rsidR="00095F43">
        <w:t>S</w:t>
      </w:r>
      <w:r w:rsidRPr="001C6370">
        <w:t>uteik</w:t>
      </w:r>
      <w:r w:rsidR="00EB1FB1">
        <w:t>u</w:t>
      </w:r>
      <w:r w:rsidRPr="001C6370">
        <w:t>s 30 mln. eurų garantiją</w:t>
      </w:r>
      <w:r w:rsidR="00095F43">
        <w:t>,</w:t>
      </w:r>
      <w:r w:rsidRPr="001C6370">
        <w:t xml:space="preserve"> AB „Šiaulių bankas“</w:t>
      </w:r>
      <w:r w:rsidR="00095F43">
        <w:t xml:space="preserve"> skirs </w:t>
      </w:r>
      <w:r w:rsidRPr="001C6370">
        <w:t xml:space="preserve">150 mln. eurų </w:t>
      </w:r>
      <w:r w:rsidR="00095F43">
        <w:t xml:space="preserve">privačių lėšų </w:t>
      </w:r>
      <w:r w:rsidRPr="001C6370">
        <w:t>daugiabučių atnaujinim</w:t>
      </w:r>
      <w:r w:rsidR="00095F43">
        <w:t>o</w:t>
      </w:r>
      <w:r w:rsidRPr="001C6370">
        <w:t xml:space="preserve"> (modernizavim</w:t>
      </w:r>
      <w:r w:rsidR="00095F43">
        <w:t>o</w:t>
      </w:r>
      <w:r w:rsidRPr="001C6370">
        <w:t>)</w:t>
      </w:r>
      <w:r w:rsidR="00095F43">
        <w:t xml:space="preserve"> paskoloms teikti</w:t>
      </w:r>
      <w:r w:rsidRPr="001C6370">
        <w:t>.</w:t>
      </w:r>
    </w:p>
    <w:p w:rsidR="00A25851" w:rsidRPr="001C6370" w:rsidRDefault="00FC7409" w:rsidP="00A51A87">
      <w:pPr>
        <w:pStyle w:val="tekstas"/>
        <w:numPr>
          <w:ilvl w:val="0"/>
          <w:numId w:val="3"/>
        </w:numPr>
      </w:pPr>
      <w:r>
        <w:t>V</w:t>
      </w:r>
      <w:r w:rsidR="00A25851" w:rsidRPr="001C6370">
        <w:t>eiklą pradėjo Lietuvos energetikos agentūra (LEA), kuri, tikimasi, taps naujuoju energetikos kompetencijų ir duomenų centru. LEA nuo 2019 m. sausio 1 d. perims dviejų valstybės įmonių – Energetikos agentūros ir Lietuvos naftos produktų agentūros – vykdomas funkcijas.</w:t>
      </w:r>
    </w:p>
    <w:p w:rsidR="00A25851" w:rsidRPr="001C6370" w:rsidRDefault="00FC7409" w:rsidP="00A51A87">
      <w:pPr>
        <w:pStyle w:val="tekstas"/>
        <w:numPr>
          <w:ilvl w:val="0"/>
          <w:numId w:val="3"/>
        </w:numPr>
      </w:pPr>
      <w:r>
        <w:lastRenderedPageBreak/>
        <w:t>A</w:t>
      </w:r>
      <w:r w:rsidR="00A25851" w:rsidRPr="001C6370">
        <w:t xml:space="preserve">tidaryta ,,Via </w:t>
      </w:r>
      <w:proofErr w:type="spellStart"/>
      <w:r w:rsidR="00A25851" w:rsidRPr="001C6370">
        <w:t>Baltica</w:t>
      </w:r>
      <w:proofErr w:type="spellEnd"/>
      <w:r w:rsidR="00A25851" w:rsidRPr="001C6370">
        <w:t xml:space="preserve">“ tarp Kauno ir Marijampolės – saugi keturių eismo juostų automagistralė. Visai kelio ,,Via </w:t>
      </w:r>
      <w:proofErr w:type="spellStart"/>
      <w:r w:rsidR="00A25851" w:rsidRPr="001C6370">
        <w:t>Baltica</w:t>
      </w:r>
      <w:proofErr w:type="spellEnd"/>
      <w:r w:rsidR="00A25851" w:rsidRPr="001C6370">
        <w:t>“ rekonstrukcijai skirta 136,1 mln. eurų ES lėšų (bendra suma 188,1 mln. eurų).</w:t>
      </w:r>
    </w:p>
    <w:p w:rsidR="007D2177" w:rsidRPr="001C6370" w:rsidRDefault="007D2177" w:rsidP="00A51A87">
      <w:pPr>
        <w:pStyle w:val="tekstas"/>
        <w:numPr>
          <w:ilvl w:val="0"/>
          <w:numId w:val="3"/>
        </w:numPr>
      </w:pPr>
      <w:r w:rsidRPr="001C6370">
        <w:t>Vilniaus mieste į gatves išriedėjo 30 naujų nekenksmingų aplinkai viešojo transporto priemonių, kurių įsigijimui skirta 13,5 mln. eurų ES lėšų. Finansavimas skirtas ir kitų didžiųjų Lietuvos miestų – Klaipėdos, Šiaulių ir Panevėžio viešojo transporto priemonių parko atnaujinimui (numatyta įsigyti 39 ekologiškas transporto priemones investuojant 8,5 mln. eurų ES lėšų).</w:t>
      </w:r>
    </w:p>
    <w:p w:rsidR="00AA2174" w:rsidRPr="001C6370" w:rsidRDefault="00FC7409" w:rsidP="00A51A87">
      <w:pPr>
        <w:pStyle w:val="tekstas"/>
        <w:numPr>
          <w:ilvl w:val="0"/>
          <w:numId w:val="3"/>
        </w:numPr>
      </w:pPr>
      <w:r>
        <w:t>P</w:t>
      </w:r>
      <w:r w:rsidR="00AA2174" w:rsidRPr="001C6370">
        <w:t xml:space="preserve">asirašyta </w:t>
      </w:r>
      <w:proofErr w:type="spellStart"/>
      <w:r w:rsidR="00AA2174" w:rsidRPr="001C6370">
        <w:t>VšĮ</w:t>
      </w:r>
      <w:proofErr w:type="spellEnd"/>
      <w:r w:rsidR="00AA2174" w:rsidRPr="001C6370">
        <w:t xml:space="preserve"> Plačiajuostis internetas projekto „Naujos kartos interneto prieigos infrastruktūros plėtra“ (RAIN3) </w:t>
      </w:r>
      <w:r w:rsidR="00EB1FB1">
        <w:t>sutartis (projekto vertė – 49,5</w:t>
      </w:r>
      <w:r w:rsidR="00AA2174" w:rsidRPr="001C6370">
        <w:t xml:space="preserve"> mln. eurų). </w:t>
      </w:r>
    </w:p>
    <w:p w:rsidR="00A25851" w:rsidRPr="001C6370" w:rsidRDefault="00FC7409" w:rsidP="00A51A87">
      <w:pPr>
        <w:pStyle w:val="tekstas"/>
        <w:numPr>
          <w:ilvl w:val="0"/>
          <w:numId w:val="3"/>
        </w:numPr>
      </w:pPr>
      <w:r>
        <w:t>P</w:t>
      </w:r>
      <w:r w:rsidR="00D66F1F" w:rsidRPr="001C6370">
        <w:t>ritarta Nacionalinės energetinės nepriklausomybės strategijos įgyvendinimo priemonių planui, kuriame numatyti uždaviniai ir priemonės Nacionalinės energetinės nepriklausomybės strategijos tikslams pasiekti iki 2022 m.</w:t>
      </w:r>
    </w:p>
    <w:p w:rsidR="00D66F1F" w:rsidRDefault="00FC7409" w:rsidP="00A51A87">
      <w:pPr>
        <w:pStyle w:val="tekstas"/>
        <w:numPr>
          <w:ilvl w:val="0"/>
          <w:numId w:val="3"/>
        </w:numPr>
      </w:pPr>
      <w:r>
        <w:t>B</w:t>
      </w:r>
      <w:r w:rsidR="00D66F1F" w:rsidRPr="001C6370">
        <w:t>aigtas 15,8 mln. eurų vertės projektas „Klaipėdos daugiafunkcio sveikatingumo centro statyba“ (Klaipėdos baseinas).</w:t>
      </w:r>
    </w:p>
    <w:p w:rsidR="00A935C9" w:rsidRPr="00BB4F7C" w:rsidRDefault="00FC7409" w:rsidP="00B759C5">
      <w:pPr>
        <w:pStyle w:val="Sraopastraipa"/>
        <w:numPr>
          <w:ilvl w:val="0"/>
          <w:numId w:val="3"/>
        </w:numPr>
        <w:spacing w:line="240" w:lineRule="auto"/>
        <w:jc w:val="both"/>
        <w:rPr>
          <w:rFonts w:asciiTheme="minorHAnsi" w:eastAsia="Times New Roman" w:hAnsiTheme="minorHAnsi"/>
          <w:color w:val="666666"/>
          <w:sz w:val="24"/>
          <w:szCs w:val="24"/>
        </w:rPr>
      </w:pPr>
      <w:r>
        <w:rPr>
          <w:rFonts w:asciiTheme="minorHAnsi" w:eastAsia="Times New Roman" w:hAnsiTheme="minorHAnsi"/>
          <w:color w:val="666666"/>
          <w:sz w:val="24"/>
          <w:szCs w:val="24"/>
        </w:rPr>
        <w:t>P</w:t>
      </w:r>
      <w:r w:rsidR="00A935C9" w:rsidRPr="00A935C9">
        <w:rPr>
          <w:rFonts w:asciiTheme="minorHAnsi" w:eastAsia="Times New Roman" w:hAnsiTheme="minorHAnsi"/>
          <w:color w:val="666666"/>
          <w:sz w:val="24"/>
          <w:szCs w:val="24"/>
        </w:rPr>
        <w:t>riimta rekomendacija pasirašyti Vandentvarkos fondo finansavimo sutartį, skiriant 30 mln. eurų ES fondų lėšų.</w:t>
      </w:r>
      <w:r w:rsidR="00992565">
        <w:rPr>
          <w:rFonts w:asciiTheme="minorHAnsi" w:eastAsia="Times New Roman" w:hAnsiTheme="minorHAnsi"/>
          <w:color w:val="666666"/>
          <w:sz w:val="24"/>
          <w:szCs w:val="24"/>
        </w:rPr>
        <w:t xml:space="preserve"> </w:t>
      </w:r>
      <w:r w:rsidR="00992565" w:rsidRPr="00992565">
        <w:rPr>
          <w:rFonts w:asciiTheme="minorHAnsi" w:eastAsia="Times New Roman" w:hAnsiTheme="minorHAnsi"/>
          <w:color w:val="666666"/>
          <w:sz w:val="24"/>
          <w:szCs w:val="24"/>
        </w:rPr>
        <w:t>Vandentvarkos fondo tikslas – didinti geriamojo vandens tiekimo ir nuotekų tvarkymo prieinamumą ir gerinti jų kokybę</w:t>
      </w:r>
      <w:r w:rsidR="00EB1FB1">
        <w:rPr>
          <w:rFonts w:asciiTheme="minorHAnsi" w:eastAsia="Times New Roman" w:hAnsiTheme="minorHAnsi"/>
          <w:color w:val="666666"/>
          <w:sz w:val="24"/>
          <w:szCs w:val="24"/>
        </w:rPr>
        <w:t>,</w:t>
      </w:r>
      <w:r w:rsidR="00992565" w:rsidRPr="00992565">
        <w:rPr>
          <w:rFonts w:asciiTheme="minorHAnsi" w:eastAsia="Times New Roman" w:hAnsiTheme="minorHAnsi"/>
          <w:color w:val="666666"/>
          <w:sz w:val="24"/>
          <w:szCs w:val="24"/>
        </w:rPr>
        <w:t xml:space="preserve"> siekiant apsaugoti aplinką nuo nuotekų žalingo poveikio, didinti prie centralizuotų sistemų prijungtų vartotojų skaičių ir bendrą centralizuotų sistemų vartotojų skaičių, gerinti paslaugų kokybę ir efektyvumą.</w:t>
      </w:r>
      <w:r w:rsidR="00A935C9" w:rsidRPr="00A935C9">
        <w:rPr>
          <w:rFonts w:asciiTheme="minorHAnsi" w:eastAsia="Times New Roman" w:hAnsiTheme="minorHAnsi"/>
          <w:color w:val="666666"/>
          <w:sz w:val="24"/>
          <w:szCs w:val="24"/>
        </w:rPr>
        <w:t xml:space="preserve"> </w:t>
      </w:r>
    </w:p>
    <w:p w:rsidR="00251559" w:rsidRDefault="00251559" w:rsidP="001C6370">
      <w:pPr>
        <w:pStyle w:val="tekstas"/>
        <w:rPr>
          <w:b/>
        </w:rPr>
      </w:pPr>
    </w:p>
    <w:p w:rsidR="001C6370" w:rsidRPr="001C6370" w:rsidRDefault="001C6370" w:rsidP="001C6370">
      <w:pPr>
        <w:pStyle w:val="tekstas"/>
      </w:pPr>
      <w:r w:rsidRPr="001C6370">
        <w:rPr>
          <w:b/>
        </w:rPr>
        <w:t xml:space="preserve">Taip pat paminėtini </w:t>
      </w:r>
      <w:r w:rsidR="000954B9">
        <w:rPr>
          <w:b/>
        </w:rPr>
        <w:t xml:space="preserve">šie </w:t>
      </w:r>
      <w:r w:rsidRPr="001C6370">
        <w:rPr>
          <w:b/>
        </w:rPr>
        <w:t>svarbiausi 2018 m. pasiekimai</w:t>
      </w:r>
      <w:r>
        <w:t>:</w:t>
      </w:r>
    </w:p>
    <w:p w:rsidR="000954B9" w:rsidRDefault="001C6370" w:rsidP="00A51A87">
      <w:pPr>
        <w:pStyle w:val="tekstas"/>
        <w:numPr>
          <w:ilvl w:val="0"/>
          <w:numId w:val="3"/>
        </w:numPr>
      </w:pPr>
      <w:r>
        <w:t>Pasiektas proveržis Veiksmų programos įgyvendinime – išmokėta 67 proc. daugiau lėšų nei per 2017 m.</w:t>
      </w:r>
    </w:p>
    <w:p w:rsidR="001C6370" w:rsidRDefault="000954B9" w:rsidP="00A51A87">
      <w:pPr>
        <w:pStyle w:val="tekstas"/>
        <w:numPr>
          <w:ilvl w:val="0"/>
          <w:numId w:val="3"/>
        </w:numPr>
      </w:pPr>
      <w:r>
        <w:t>Į</w:t>
      </w:r>
      <w:r w:rsidR="001C6370">
        <w:t>vykdytas planas investuoti reformų srityse</w:t>
      </w:r>
      <w:r w:rsidR="00FC7409">
        <w:t xml:space="preserve"> (</w:t>
      </w:r>
      <w:r>
        <w:t xml:space="preserve">iš viso </w:t>
      </w:r>
      <w:r w:rsidR="00FC7409">
        <w:t>investuoti 182 mln. eurų)</w:t>
      </w:r>
      <w:r w:rsidR="001C6370">
        <w:t>.</w:t>
      </w:r>
    </w:p>
    <w:p w:rsidR="001C6370" w:rsidRDefault="00EB1FB1" w:rsidP="00EB1FB1">
      <w:pPr>
        <w:pStyle w:val="tekstas"/>
        <w:numPr>
          <w:ilvl w:val="0"/>
          <w:numId w:val="3"/>
        </w:numPr>
      </w:pPr>
      <w:r w:rsidRPr="00EB1FB1">
        <w:t>Visi prioritetai, išskyrus 7, įgijo teisę investuoti rezervo lėšas</w:t>
      </w:r>
      <w:r w:rsidR="001C6370">
        <w:t xml:space="preserve">.  </w:t>
      </w:r>
    </w:p>
    <w:p w:rsidR="001C6370" w:rsidRDefault="001C6370" w:rsidP="00A51A87">
      <w:pPr>
        <w:pStyle w:val="tekstas"/>
        <w:numPr>
          <w:ilvl w:val="0"/>
          <w:numId w:val="3"/>
        </w:numPr>
      </w:pPr>
      <w:r>
        <w:t xml:space="preserve">Uždarytos 2007–2013 m. Žmogiškųjų išteklių plėtros, Ekonomikos augimo, Sanglaudos skatinimo veiksmų programos ir atgauti likučiai (338 mln. eurų). </w:t>
      </w:r>
    </w:p>
    <w:p w:rsidR="001C6370" w:rsidRDefault="001C6370" w:rsidP="00A51A87">
      <w:pPr>
        <w:pStyle w:val="tekstas"/>
        <w:numPr>
          <w:ilvl w:val="0"/>
          <w:numId w:val="3"/>
        </w:numPr>
      </w:pPr>
      <w:r>
        <w:t>Priimtas Lietuvos Respublikos nacionalinių plėtros įstaigų (NPĮ) įstatymas, kuriuo reglamentuota NPĮ finansinė veikla, užtikrinanti ilgalaikių investicijų Lietuvoje skatinimą ir finansavimą. Vyriausybė pavedė vykdyti NPĮ veiklą trims finansų įstaigoms – UAB „Investicijų ir verslo garantijos“, UAB „Viešųjų investicijų plėtros agentūra“ ir UAB „Žemės ūkio paskolų garantijų fondas“.</w:t>
      </w:r>
    </w:p>
    <w:p w:rsidR="001C6370" w:rsidRDefault="001C6370" w:rsidP="00A51A87">
      <w:pPr>
        <w:pStyle w:val="tekstas"/>
        <w:numPr>
          <w:ilvl w:val="0"/>
          <w:numId w:val="3"/>
        </w:numPr>
      </w:pPr>
      <w:r>
        <w:t xml:space="preserve">Pritraukta </w:t>
      </w:r>
      <w:r w:rsidR="005A7E34">
        <w:t xml:space="preserve">358 </w:t>
      </w:r>
      <w:r>
        <w:t>mln. eurų privačių lėšų.</w:t>
      </w:r>
    </w:p>
    <w:p w:rsidR="001C6370" w:rsidRDefault="001C6370" w:rsidP="00A51A87">
      <w:pPr>
        <w:pStyle w:val="tekstas"/>
        <w:numPr>
          <w:ilvl w:val="0"/>
          <w:numId w:val="3"/>
        </w:numPr>
      </w:pPr>
      <w:r>
        <w:t>Paskelbtos Žaliosios obligacijos. Pritrauktos lėšos (68 mln. eurų per 3 metus) bus panaudotos žaliesiems projektams įgyvendinti – daugiabučių modernizavimui ir energetiniam efektyvumui didinti.</w:t>
      </w:r>
    </w:p>
    <w:p w:rsidR="00D66F1F" w:rsidRPr="001C6370" w:rsidRDefault="00FC7409" w:rsidP="00A51A87">
      <w:pPr>
        <w:pStyle w:val="tekstas"/>
        <w:numPr>
          <w:ilvl w:val="0"/>
          <w:numId w:val="3"/>
        </w:numPr>
      </w:pPr>
      <w:r>
        <w:t>ES fondų administravimo procesų</w:t>
      </w:r>
      <w:r w:rsidRPr="00FC7409">
        <w:t xml:space="preserve"> </w:t>
      </w:r>
      <w:r>
        <w:t>supaprastinimai lei</w:t>
      </w:r>
      <w:r w:rsidR="00392EF2">
        <w:t>do</w:t>
      </w:r>
      <w:r>
        <w:t xml:space="preserve"> sutaupyti</w:t>
      </w:r>
      <w:r w:rsidR="001C6370">
        <w:t xml:space="preserve"> 690 darbo dienų.</w:t>
      </w:r>
      <w:r w:rsidR="00D66F1F" w:rsidRPr="001C6370">
        <w:t xml:space="preserve"> </w:t>
      </w:r>
    </w:p>
    <w:p w:rsidR="001F3594" w:rsidRDefault="00BB4F7C" w:rsidP="001F3594">
      <w:pPr>
        <w:pStyle w:val="Antrat1"/>
      </w:pPr>
      <w:bookmarkStart w:id="8" w:name="_Toc512504075"/>
      <w:bookmarkStart w:id="9" w:name="_Toc1041280"/>
      <w:bookmarkEnd w:id="0"/>
      <w:bookmarkEnd w:id="8"/>
      <w:r>
        <w:t>Veiklos peržiūros rezultatai</w:t>
      </w:r>
      <w:bookmarkEnd w:id="9"/>
    </w:p>
    <w:p w:rsidR="00BB4F7C" w:rsidRDefault="00BB4F7C" w:rsidP="00BB4F7C">
      <w:pPr>
        <w:pStyle w:val="tekstas"/>
        <w:rPr>
          <w:lang w:eastAsia="lt-LT"/>
        </w:rPr>
      </w:pPr>
      <w:r>
        <w:rPr>
          <w:lang w:eastAsia="lt-LT"/>
        </w:rPr>
        <w:t>Veiklos peržiūros plane numatytas 2018 m. finansinių ir fizinių rodiklių tarpines reikšmes (t.y. būtiną pasiekti jų dalį) pasiekė daugelis veiksmų programos prioritetų. Finansinis rodiklis nepasiektas tik 7 prioriteto ERPF dalyje, kurią administruoja Socialinės apsaugos ir darbo, Vidaus reikalų</w:t>
      </w:r>
      <w:r w:rsidR="009517CE">
        <w:rPr>
          <w:lang w:eastAsia="lt-LT"/>
        </w:rPr>
        <w:t xml:space="preserve"> </w:t>
      </w:r>
      <w:r>
        <w:rPr>
          <w:lang w:eastAsia="lt-LT"/>
        </w:rPr>
        <w:t>bei Kultūros ministerij</w:t>
      </w:r>
      <w:r w:rsidR="009517CE">
        <w:rPr>
          <w:lang w:eastAsia="lt-LT"/>
        </w:rPr>
        <w:t>os</w:t>
      </w:r>
      <w:r>
        <w:rPr>
          <w:lang w:eastAsia="lt-LT"/>
        </w:rPr>
        <w:t xml:space="preserve">.  Šio prioriteto veiklos lėšų rezervas (25 mln. eurų) </w:t>
      </w:r>
      <w:r w:rsidR="009517CE">
        <w:rPr>
          <w:lang w:eastAsia="lt-LT"/>
        </w:rPr>
        <w:t>bus</w:t>
      </w:r>
      <w:r>
        <w:rPr>
          <w:lang w:eastAsia="lt-LT"/>
        </w:rPr>
        <w:t xml:space="preserve"> perskirstytas kitiems prioritetams, pasieku</w:t>
      </w:r>
      <w:r w:rsidR="00FC7409">
        <w:rPr>
          <w:lang w:eastAsia="lt-LT"/>
        </w:rPr>
        <w:t>siems 2018 m. tarpines reikšmes</w:t>
      </w:r>
      <w:r>
        <w:rPr>
          <w:lang w:eastAsia="lt-LT"/>
        </w:rPr>
        <w:t xml:space="preserve">. </w:t>
      </w:r>
    </w:p>
    <w:p w:rsidR="00BB4F7C" w:rsidRDefault="00BB4F7C" w:rsidP="00BB4F7C">
      <w:pPr>
        <w:pStyle w:val="tekstas"/>
        <w:rPr>
          <w:lang w:eastAsia="lt-LT"/>
        </w:rPr>
      </w:pPr>
      <w:r>
        <w:rPr>
          <w:lang w:eastAsia="lt-LT"/>
        </w:rPr>
        <w:lastRenderedPageBreak/>
        <w:t>Rodiklio nepasiekimą labiausiai lėmė lėtas didžiųjų miestų (Vilnius, Kaunas ir Klaipėda) plėtros projektų įgyvendinimas, užsitęsusios problemos dėl kompleksinių Energetikos ir Kultūros ministerijų investicijų į kultūros infrastruktūros objektus, teisminiai ginčai dėl viešųjų pirkimų.</w:t>
      </w:r>
    </w:p>
    <w:p w:rsidR="00E2232E" w:rsidRDefault="00E2232E" w:rsidP="00BB4F7C">
      <w:pPr>
        <w:pStyle w:val="Antrat"/>
        <w:keepNext/>
        <w:spacing w:after="0"/>
        <w:jc w:val="center"/>
        <w:rPr>
          <w:noProof/>
          <w:color w:val="365F91" w:themeColor="accent1" w:themeShade="BF"/>
          <w:sz w:val="22"/>
          <w:szCs w:val="22"/>
        </w:rPr>
      </w:pPr>
    </w:p>
    <w:p w:rsidR="00BB4F7C" w:rsidRDefault="00BB4F7C" w:rsidP="00BB4F7C">
      <w:pPr>
        <w:pStyle w:val="Antrat"/>
        <w:keepNext/>
        <w:spacing w:after="0"/>
        <w:jc w:val="center"/>
      </w:pPr>
      <w:r>
        <w:rPr>
          <w:noProof/>
          <w:color w:val="365F91" w:themeColor="accent1" w:themeShade="BF"/>
          <w:sz w:val="22"/>
          <w:szCs w:val="22"/>
        </w:rPr>
        <w:t>5 grafikas.</w:t>
      </w:r>
      <w:r w:rsidRPr="00BB4F7C">
        <w:rPr>
          <w:noProof/>
          <w:color w:val="365F91" w:themeColor="accent1" w:themeShade="BF"/>
          <w:sz w:val="22"/>
          <w:szCs w:val="22"/>
        </w:rPr>
        <w:t xml:space="preserve"> Veiklos lėšų rezervo pasiskirstymas pagal ministerijas</w:t>
      </w:r>
    </w:p>
    <w:p w:rsidR="00BB4F7C" w:rsidRPr="00BB4F7C" w:rsidRDefault="00D97FCC" w:rsidP="00BB4F7C">
      <w:pPr>
        <w:pStyle w:val="tekstas"/>
        <w:jc w:val="center"/>
        <w:rPr>
          <w:lang w:eastAsia="lt-LT"/>
        </w:rPr>
      </w:pPr>
      <w:r w:rsidRPr="00D97FCC">
        <w:rPr>
          <w:noProof/>
          <w:lang w:eastAsia="lt-LT"/>
        </w:rPr>
        <w:drawing>
          <wp:inline distT="0" distB="0" distL="0" distR="0" wp14:anchorId="67903B58" wp14:editId="23419EA6">
            <wp:extent cx="6120130" cy="3131243"/>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131243"/>
                    </a:xfrm>
                    <a:prstGeom prst="rect">
                      <a:avLst/>
                    </a:prstGeom>
                    <a:noFill/>
                    <a:ln>
                      <a:noFill/>
                    </a:ln>
                  </pic:spPr>
                </pic:pic>
              </a:graphicData>
            </a:graphic>
          </wp:inline>
        </w:drawing>
      </w:r>
    </w:p>
    <w:p w:rsidR="00F175BE" w:rsidRPr="00F175BE" w:rsidRDefault="00F175BE" w:rsidP="00F175BE">
      <w:pPr>
        <w:sectPr w:rsidR="00F175BE" w:rsidRPr="00F175BE" w:rsidSect="00D43DE4">
          <w:headerReference w:type="default" r:id="rId17"/>
          <w:footerReference w:type="default" r:id="rId18"/>
          <w:type w:val="continuous"/>
          <w:pgSz w:w="11906" w:h="16838"/>
          <w:pgMar w:top="1100" w:right="567" w:bottom="1134" w:left="1701" w:header="567" w:footer="567" w:gutter="0"/>
          <w:cols w:space="1296"/>
          <w:titlePg/>
          <w:docGrid w:linePitch="360"/>
        </w:sectPr>
      </w:pPr>
    </w:p>
    <w:p w:rsidR="009C63C5" w:rsidRDefault="00C86895" w:rsidP="00C86895">
      <w:pPr>
        <w:pStyle w:val="Antrat1"/>
      </w:pPr>
      <w:bookmarkStart w:id="10" w:name="_Toc508106024"/>
      <w:bookmarkStart w:id="11" w:name="_Toc1041281"/>
      <w:r>
        <w:lastRenderedPageBreak/>
        <w:t xml:space="preserve">Situacijos sektoriuose analizė ir </w:t>
      </w:r>
      <w:bookmarkEnd w:id="10"/>
      <w:r w:rsidR="00D7594B">
        <w:t>rekomendacijos</w:t>
      </w:r>
      <w:bookmarkEnd w:id="11"/>
    </w:p>
    <w:p w:rsidR="009517CE" w:rsidRDefault="00A935C9" w:rsidP="00D7594B">
      <w:pPr>
        <w:pStyle w:val="tekstas"/>
        <w:rPr>
          <w:lang w:eastAsia="lt-LT"/>
        </w:rPr>
      </w:pPr>
      <w:r w:rsidRPr="00A935C9">
        <w:rPr>
          <w:lang w:eastAsia="lt-LT"/>
        </w:rPr>
        <w:t>Ministerijos įgyvendino 60 proc. (12</w:t>
      </w:r>
      <w:r w:rsidR="00BB4F7C">
        <w:rPr>
          <w:lang w:eastAsia="lt-LT"/>
        </w:rPr>
        <w:t xml:space="preserve"> iš 20) III </w:t>
      </w:r>
      <w:proofErr w:type="spellStart"/>
      <w:r w:rsidR="00BB4F7C">
        <w:rPr>
          <w:lang w:eastAsia="lt-LT"/>
        </w:rPr>
        <w:t>ketv</w:t>
      </w:r>
      <w:proofErr w:type="spellEnd"/>
      <w:r w:rsidR="00BB4F7C">
        <w:rPr>
          <w:lang w:eastAsia="lt-LT"/>
        </w:rPr>
        <w:t xml:space="preserve">. ataskaitoje </w:t>
      </w:r>
      <w:r w:rsidR="00D7594B">
        <w:rPr>
          <w:lang w:eastAsia="lt-LT"/>
        </w:rPr>
        <w:t xml:space="preserve">Vyriausybei </w:t>
      </w:r>
      <w:r w:rsidR="00BB4F7C">
        <w:rPr>
          <w:lang w:eastAsia="lt-LT"/>
        </w:rPr>
        <w:t>Finansų ministerijos</w:t>
      </w:r>
      <w:r w:rsidRPr="00A935C9">
        <w:rPr>
          <w:lang w:eastAsia="lt-LT"/>
        </w:rPr>
        <w:t xml:space="preserve"> pateiktų rekomendacijų</w:t>
      </w:r>
      <w:r>
        <w:rPr>
          <w:lang w:eastAsia="lt-LT"/>
        </w:rPr>
        <w:t>.</w:t>
      </w:r>
      <w:r w:rsidR="00D7594B">
        <w:rPr>
          <w:lang w:eastAsia="lt-LT"/>
        </w:rPr>
        <w:t xml:space="preserve"> </w:t>
      </w:r>
    </w:p>
    <w:p w:rsidR="00A935C9" w:rsidRDefault="00D7594B" w:rsidP="00D7594B">
      <w:pPr>
        <w:pStyle w:val="tekstas"/>
        <w:rPr>
          <w:lang w:eastAsia="lt-LT"/>
        </w:rPr>
      </w:pPr>
      <w:r>
        <w:rPr>
          <w:lang w:eastAsia="lt-LT"/>
        </w:rPr>
        <w:t xml:space="preserve">Toliau šioje ataskaitos dalyje pateikiama kiekvieno prioriteto įgyvendinimo finansinė apžvalga, svarbiausios kliūtys, </w:t>
      </w:r>
      <w:r w:rsidR="005978B9">
        <w:rPr>
          <w:lang w:eastAsia="lt-LT"/>
        </w:rPr>
        <w:t>turinčios įtakos ES fondų investicijų konkrečiuose sektoriuose efektyvumui ir spartai</w:t>
      </w:r>
      <w:r>
        <w:rPr>
          <w:lang w:eastAsia="lt-LT"/>
        </w:rPr>
        <w:t>.</w:t>
      </w:r>
    </w:p>
    <w:p w:rsidR="00BF5CE0" w:rsidRDefault="00BF5CE0" w:rsidP="00D7594B">
      <w:pPr>
        <w:pStyle w:val="tekstas"/>
        <w:rPr>
          <w:lang w:eastAsia="lt-LT"/>
        </w:rPr>
      </w:pPr>
      <w:r>
        <w:rPr>
          <w:lang w:eastAsia="lt-LT"/>
        </w:rPr>
        <w:t>Atsižvelgiant į tai, kad pagal teisės aktus visos projektų sutartys turi būti pasirašytos iki</w:t>
      </w:r>
      <w:r w:rsidR="00492B03">
        <w:rPr>
          <w:lang w:eastAsia="lt-LT"/>
        </w:rPr>
        <w:t xml:space="preserve"> 2020 m. pabaigos, labai svarbu</w:t>
      </w:r>
      <w:r>
        <w:rPr>
          <w:lang w:eastAsia="lt-LT"/>
        </w:rPr>
        <w:t xml:space="preserve"> per 2019 m. suplanuoti (paskelbti kvietimus ir sudaryti projektų sąrašus) visas </w:t>
      </w:r>
      <w:r w:rsidR="004C19C0">
        <w:rPr>
          <w:lang w:eastAsia="lt-LT"/>
        </w:rPr>
        <w:t>likusias lėšas. Pažymėtina</w:t>
      </w:r>
      <w:r>
        <w:rPr>
          <w:lang w:eastAsia="lt-LT"/>
        </w:rPr>
        <w:t xml:space="preserve">, kad 2018 m. sausio 31 d. duomenimis nesuplanuotas likutis sudaro 18 proc. Lietuvai skirtų ES fondų lėšų. </w:t>
      </w:r>
    </w:p>
    <w:p w:rsidR="00BF5CE0" w:rsidRDefault="00BF5CE0" w:rsidP="00D7594B">
      <w:pPr>
        <w:pStyle w:val="tekstas"/>
        <w:rPr>
          <w:lang w:eastAsia="lt-LT"/>
        </w:rPr>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BF5CE0" w:rsidRPr="00CA6C8A" w:rsidTr="00F235FE">
        <w:tc>
          <w:tcPr>
            <w:tcW w:w="9638" w:type="dxa"/>
            <w:tcBorders>
              <w:top w:val="nil"/>
              <w:left w:val="nil"/>
              <w:bottom w:val="nil"/>
              <w:right w:val="nil"/>
            </w:tcBorders>
            <w:shd w:val="clear" w:color="auto" w:fill="D9D9D9" w:themeFill="background1" w:themeFillShade="D9"/>
          </w:tcPr>
          <w:p w:rsidR="00BF5CE0" w:rsidRDefault="00BF5CE0" w:rsidP="00BF5CE0">
            <w:pPr>
              <w:pStyle w:val="tekstas"/>
              <w:ind w:firstLine="0"/>
              <w:rPr>
                <w:b/>
                <w:color w:val="365F91" w:themeColor="accent1" w:themeShade="BF"/>
                <w:szCs w:val="20"/>
              </w:rPr>
            </w:pPr>
            <w:r w:rsidRPr="0098658F">
              <w:rPr>
                <w:b/>
                <w:color w:val="365F91" w:themeColor="accent1" w:themeShade="BF"/>
                <w:szCs w:val="20"/>
              </w:rPr>
              <w:t xml:space="preserve">Siūlymas </w:t>
            </w:r>
            <w:r>
              <w:rPr>
                <w:b/>
                <w:color w:val="365F91" w:themeColor="accent1" w:themeShade="BF"/>
                <w:szCs w:val="20"/>
              </w:rPr>
              <w:t>visoms ministerijoms:</w:t>
            </w:r>
          </w:p>
          <w:p w:rsidR="00BF5CE0" w:rsidRPr="00BF5CE0" w:rsidRDefault="00BF5CE0" w:rsidP="00BF5CE0">
            <w:pPr>
              <w:pStyle w:val="tekstas"/>
              <w:ind w:firstLine="0"/>
              <w:rPr>
                <w:b/>
                <w:color w:val="365F91" w:themeColor="accent1" w:themeShade="BF"/>
                <w:szCs w:val="20"/>
              </w:rPr>
            </w:pPr>
            <w:r>
              <w:rPr>
                <w:b/>
                <w:color w:val="365F91" w:themeColor="accent1" w:themeShade="BF"/>
                <w:szCs w:val="20"/>
              </w:rPr>
              <w:t xml:space="preserve">- </w:t>
            </w:r>
            <w:r w:rsidRPr="00BF5CE0">
              <w:rPr>
                <w:b/>
                <w:color w:val="365F91" w:themeColor="accent1" w:themeShade="BF"/>
                <w:szCs w:val="20"/>
              </w:rPr>
              <w:t>Siekti, kad per 2019 m. būtų suplanuotos visos likusios investicijos.</w:t>
            </w:r>
          </w:p>
        </w:tc>
      </w:tr>
    </w:tbl>
    <w:p w:rsidR="00BF5CE0" w:rsidRDefault="00BF5CE0" w:rsidP="00D7594B">
      <w:pPr>
        <w:pStyle w:val="tekstas"/>
        <w:rPr>
          <w:lang w:eastAsia="lt-LT"/>
        </w:rPr>
      </w:pPr>
    </w:p>
    <w:p w:rsidR="005612B3" w:rsidRDefault="005612B3" w:rsidP="005612B3">
      <w:pPr>
        <w:pStyle w:val="antrat3zz"/>
      </w:pPr>
      <w:bookmarkStart w:id="12" w:name="_Toc1041282"/>
      <w:r>
        <w:t xml:space="preserve">1 prioritetas. </w:t>
      </w:r>
      <w:r w:rsidRPr="001D3045">
        <w:t>Mokslinių tyrimų, eksperimentinės plėtros ir inovacijų skatinimas</w:t>
      </w:r>
      <w:bookmarkEnd w:id="12"/>
    </w:p>
    <w:p w:rsidR="0098658F" w:rsidRDefault="0098658F" w:rsidP="0098658F">
      <w:pPr>
        <w:pStyle w:val="tekstas"/>
      </w:pPr>
      <w:r>
        <w:t>1 prioriteto priemonių</w:t>
      </w:r>
      <w:r w:rsidR="00AB0DC8">
        <w:t xml:space="preserve"> (administruojamų Švietimo, mokslo ir sporto ministerijos bei Ekonomikos ir inovacijos ministerijos)</w:t>
      </w:r>
      <w:r>
        <w:t xml:space="preserve"> nesuplanuotos lėšos sudaro 17 proc. </w:t>
      </w:r>
      <w:r w:rsidR="005978B9">
        <w:t xml:space="preserve">Iki 2018 pab. </w:t>
      </w:r>
      <w:r>
        <w:t xml:space="preserve"> sutarčių </w:t>
      </w:r>
      <w:r w:rsidR="005978B9">
        <w:t>buvo</w:t>
      </w:r>
      <w:r>
        <w:t xml:space="preserve"> sudaryta 50 proc. lėšų sumai. Pagal išmokėtų lėšų statistiką atsiliekama nuo 2018 metų mokėjimo </w:t>
      </w:r>
      <w:r w:rsidR="00AB0DC8">
        <w:t>planų vykdymo ir yra išmokėta 67</w:t>
      </w:r>
      <w:r>
        <w:t xml:space="preserve"> proc. metiniame mokėjimo plane numatytų lėšų. </w:t>
      </w:r>
      <w:r w:rsidR="00AB0DC8">
        <w:t>Nuo periodo pradžios</w:t>
      </w:r>
      <w:r>
        <w:t xml:space="preserve"> yra išmokėta 14 proc. 1 prioriteto </w:t>
      </w:r>
      <w:r w:rsidR="00FE3AF6">
        <w:t>priemonėms numatytų lėšų. Tokį neženklų pasiekimą</w:t>
      </w:r>
      <w:r>
        <w:t xml:space="preserve"> nulėmė šio prioriteto priemonių lėtas įgyvendinimas programavimo laikotarpio p</w:t>
      </w:r>
      <w:r w:rsidR="00FE3AF6">
        <w:t xml:space="preserve">radžioje. </w:t>
      </w:r>
      <w:r w:rsidR="004E2941">
        <w:t>A</w:t>
      </w:r>
      <w:r>
        <w:t>tlikus pakeitimus (</w:t>
      </w:r>
      <w:r w:rsidRPr="002D48CC">
        <w:t xml:space="preserve">siekiant paskatinti mokslo ir verslo bendradarbiavimą buvo </w:t>
      </w:r>
      <w:r w:rsidR="004E2941" w:rsidRPr="002D48CC">
        <w:lastRenderedPageBreak/>
        <w:t>perskirst</w:t>
      </w:r>
      <w:r w:rsidR="004E2941">
        <w:t>ytos</w:t>
      </w:r>
      <w:r w:rsidR="004E2941" w:rsidRPr="002D48CC">
        <w:t xml:space="preserve"> </w:t>
      </w:r>
      <w:r w:rsidRPr="002D48CC">
        <w:t>lėšos iš viešosios MTEPI veiklos į privačią MTEPI veiklą</w:t>
      </w:r>
      <w:r>
        <w:t xml:space="preserve">) </w:t>
      </w:r>
      <w:r w:rsidR="00711BD6">
        <w:t xml:space="preserve">tikimasi, kad </w:t>
      </w:r>
      <w:r>
        <w:t xml:space="preserve">paskelbus kvietimus pagal naujas priemones 1 prioriteto priemonių įgyvendinimas </w:t>
      </w:r>
      <w:r w:rsidR="00711BD6">
        <w:t>suaktyvės</w:t>
      </w:r>
      <w:r>
        <w:t>.</w:t>
      </w:r>
      <w:r w:rsidR="00730061">
        <w:t xml:space="preserve"> </w:t>
      </w:r>
    </w:p>
    <w:p w:rsidR="0098658F" w:rsidRDefault="0098658F" w:rsidP="0098658F">
      <w:pPr>
        <w:pStyle w:val="tekstas"/>
      </w:pPr>
      <w:r w:rsidRPr="002D48CC">
        <w:t>Švietimo</w:t>
      </w:r>
      <w:r>
        <w:t xml:space="preserve">, mokslo ir sporto </w:t>
      </w:r>
      <w:r w:rsidR="00FE3AF6">
        <w:t>ministerija dar neįgyvendi</w:t>
      </w:r>
      <w:r w:rsidRPr="002D48CC">
        <w:t xml:space="preserve">no jai pateiktos </w:t>
      </w:r>
      <w:r w:rsidRPr="00FE3AF6">
        <w:rPr>
          <w:i/>
        </w:rPr>
        <w:t>rekomendacijos įtraukti Mokslo salos lankymą į ugdymo programas ir pasirašyti projekto finansavimo sutartį, kad bent dalis projekto lėšų būtų išmokėta iki 2018 m. pabaigos</w:t>
      </w:r>
      <w:r w:rsidRPr="002D48CC">
        <w:t>.</w:t>
      </w:r>
      <w:r w:rsidR="00FE3AF6">
        <w:t xml:space="preserve"> Pažymėtina tai, kad </w:t>
      </w:r>
      <w:r w:rsidR="005978B9">
        <w:t>metodinės pagalbos centras išvad</w:t>
      </w:r>
      <w:r w:rsidR="00676468">
        <w:t>oje</w:t>
      </w:r>
      <w:r w:rsidR="005978B9">
        <w:t xml:space="preserve"> dėl </w:t>
      </w:r>
      <w:r w:rsidR="00782986">
        <w:t>projekto socialinės ekonominės naudos</w:t>
      </w:r>
      <w:r w:rsidR="00676468">
        <w:t xml:space="preserve"> </w:t>
      </w:r>
      <w:r w:rsidR="00FE3AF6">
        <w:t>nustat</w:t>
      </w:r>
      <w:r w:rsidR="00676468">
        <w:t>ė</w:t>
      </w:r>
      <w:r w:rsidR="00FE3AF6">
        <w:t xml:space="preserve"> esmini</w:t>
      </w:r>
      <w:r w:rsidR="00676468">
        <w:t>ų</w:t>
      </w:r>
      <w:r>
        <w:t xml:space="preserve"> Mokslo sal</w:t>
      </w:r>
      <w:r w:rsidR="00FE3AF6">
        <w:t>os investicijų projekto trūkum</w:t>
      </w:r>
      <w:r w:rsidR="00676468">
        <w:t>ų</w:t>
      </w:r>
      <w:r w:rsidR="00782986">
        <w:t xml:space="preserve">. Todėl </w:t>
      </w:r>
      <w:r w:rsidR="00FE3AF6">
        <w:t xml:space="preserve">Švietimo, </w:t>
      </w:r>
      <w:r>
        <w:t>mokslo</w:t>
      </w:r>
      <w:r w:rsidR="00FE3AF6">
        <w:t xml:space="preserve"> ir sporto</w:t>
      </w:r>
      <w:r>
        <w:t xml:space="preserve"> ministerija turi nustatyti konkrečias sąlygas, mažinančias riziką dėl neefektyviai naudojamos infrastruktūros ir jos išlaikymo naštos valstybės biudžetui – visų pirma suformuluoti aiškų projekto tikslą, reikalavimus dėl objekto lankomumo bei gaunamų pajamų augimo ir kartu su įgyvendinančiąja institucija užtikrinti šių sąlygų laikymąsi.</w:t>
      </w:r>
    </w:p>
    <w:p w:rsidR="0098658F" w:rsidRDefault="0098658F" w:rsidP="0098658F">
      <w:pPr>
        <w:pStyle w:val="tekstas"/>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98658F" w:rsidRPr="00CA6C8A" w:rsidTr="005331E3">
        <w:tc>
          <w:tcPr>
            <w:tcW w:w="9638" w:type="dxa"/>
            <w:tcBorders>
              <w:top w:val="nil"/>
              <w:left w:val="nil"/>
              <w:bottom w:val="nil"/>
              <w:right w:val="nil"/>
            </w:tcBorders>
            <w:shd w:val="clear" w:color="auto" w:fill="D9D9D9" w:themeFill="background1" w:themeFillShade="D9"/>
          </w:tcPr>
          <w:p w:rsidR="0098658F" w:rsidRPr="0098658F" w:rsidRDefault="0098658F" w:rsidP="0098658F">
            <w:pPr>
              <w:pStyle w:val="tekstas"/>
              <w:ind w:firstLine="0"/>
              <w:rPr>
                <w:b/>
                <w:color w:val="365F91" w:themeColor="accent1" w:themeShade="BF"/>
                <w:szCs w:val="20"/>
              </w:rPr>
            </w:pPr>
            <w:r w:rsidRPr="0098658F">
              <w:rPr>
                <w:b/>
                <w:color w:val="365F91" w:themeColor="accent1" w:themeShade="BF"/>
                <w:szCs w:val="20"/>
              </w:rPr>
              <w:t>Siūlymas Švietimo, mokslo ir sporto ministerijai:</w:t>
            </w:r>
          </w:p>
          <w:p w:rsidR="0098658F" w:rsidRPr="00CA6C8A" w:rsidRDefault="0098658F" w:rsidP="0098658F">
            <w:pPr>
              <w:pStyle w:val="tekstas"/>
              <w:ind w:firstLine="0"/>
            </w:pPr>
            <w:r>
              <w:rPr>
                <w:b/>
                <w:color w:val="365F91" w:themeColor="accent1" w:themeShade="BF"/>
                <w:szCs w:val="20"/>
              </w:rPr>
              <w:t xml:space="preserve">- </w:t>
            </w:r>
            <w:r w:rsidRPr="0098658F">
              <w:rPr>
                <w:b/>
                <w:color w:val="365F91" w:themeColor="accent1" w:themeShade="BF"/>
                <w:szCs w:val="20"/>
              </w:rPr>
              <w:t xml:space="preserve">Iki </w:t>
            </w:r>
            <w:r w:rsidR="005978B9">
              <w:rPr>
                <w:b/>
                <w:color w:val="365F91" w:themeColor="accent1" w:themeShade="BF"/>
                <w:szCs w:val="20"/>
              </w:rPr>
              <w:t xml:space="preserve">2019 m. </w:t>
            </w:r>
            <w:r w:rsidRPr="0098658F">
              <w:rPr>
                <w:b/>
                <w:color w:val="365F91" w:themeColor="accent1" w:themeShade="BF"/>
                <w:szCs w:val="20"/>
              </w:rPr>
              <w:t xml:space="preserve">vasario </w:t>
            </w:r>
            <w:r w:rsidR="00AB21AE">
              <w:rPr>
                <w:b/>
                <w:color w:val="365F91" w:themeColor="accent1" w:themeShade="BF"/>
                <w:szCs w:val="20"/>
              </w:rPr>
              <w:t>28</w:t>
            </w:r>
            <w:r w:rsidRPr="0098658F">
              <w:rPr>
                <w:b/>
                <w:color w:val="365F91" w:themeColor="accent1" w:themeShade="BF"/>
                <w:szCs w:val="20"/>
              </w:rPr>
              <w:t xml:space="preserve"> d. projektų finansavimo sąlygų apraše nustatyti sąlygas, užtikrinančias efektyvų kuriamos infrastruktūros naudojimą ir atnaujinti Mokslo salos projekto įgyvendinimo grafiką.</w:t>
            </w:r>
            <w:r>
              <w:rPr>
                <w:b/>
              </w:rPr>
              <w:t xml:space="preserve">  </w:t>
            </w:r>
          </w:p>
        </w:tc>
      </w:tr>
    </w:tbl>
    <w:p w:rsidR="0098658F" w:rsidRDefault="0098658F" w:rsidP="0098658F">
      <w:pPr>
        <w:pStyle w:val="tekstas"/>
      </w:pPr>
    </w:p>
    <w:p w:rsidR="0098658F" w:rsidRDefault="0098658F" w:rsidP="0098658F">
      <w:pPr>
        <w:pStyle w:val="tekstas"/>
      </w:pPr>
      <w:r>
        <w:t xml:space="preserve">Ekonomikos ir inovacijų ministerija </w:t>
      </w:r>
      <w:r w:rsidR="00B95492">
        <w:t xml:space="preserve">pagal šį prioritetą </w:t>
      </w:r>
      <w:r>
        <w:t>administruoja priemonę ,,</w:t>
      </w:r>
      <w:r w:rsidR="00766DDA">
        <w:t>Intelektas. B</w:t>
      </w:r>
      <w:r w:rsidRPr="00217440">
        <w:t>endri mokslo–verslo projektai“</w:t>
      </w:r>
      <w:r>
        <w:t>, kuriai į</w:t>
      </w:r>
      <w:r w:rsidR="00766DDA">
        <w:t>gyvendinti skirta 174,2 mln. eurų</w:t>
      </w:r>
      <w:r>
        <w:t xml:space="preserve">, </w:t>
      </w:r>
      <w:r w:rsidR="00766DDA">
        <w:t>sutarčių sudaryta už 96 mln. eurų</w:t>
      </w:r>
      <w:r>
        <w:t xml:space="preserve"> dėl 190 projektų įgyvendinimo. Projektų įgyvendinimas dėl savo specifikos vėluoja (investicijo</w:t>
      </w:r>
      <w:r w:rsidR="00240753">
        <w:t>m</w:t>
      </w:r>
      <w:r>
        <w:t>s susijusio</w:t>
      </w:r>
      <w:r w:rsidR="00240753">
        <w:t>m</w:t>
      </w:r>
      <w:r>
        <w:t xml:space="preserve">s su MTEP įtakos turi sezoniškumas, klimatinės sąlygos ir kt., reikalinga įsigyti MTEP veikloms vykdyti specifinę įrangą ir priemones, sudėtingesnis pirkimų organizavimas), dėl to iškyla grėsmė, kad projektų įgyvendinimas užsitęs arba </w:t>
      </w:r>
      <w:r w:rsidR="00766DDA">
        <w:t xml:space="preserve">projektai </w:t>
      </w:r>
      <w:r>
        <w:t>bus įgyvendinti</w:t>
      </w:r>
      <w:r w:rsidR="002C1E96">
        <w:t xml:space="preserve"> mažesne apimtimi</w:t>
      </w:r>
      <w:r w:rsidR="008E4F5B">
        <w:t xml:space="preserve"> nei </w:t>
      </w:r>
      <w:r w:rsidR="00240753">
        <w:t>suplanuota</w:t>
      </w:r>
      <w:r>
        <w:t>.</w:t>
      </w:r>
      <w:r w:rsidRPr="00DA5B3B">
        <w:t xml:space="preserve"> </w:t>
      </w:r>
      <w:r>
        <w:t>Ekonomikos ir inovacijų ministerija yra identifikavusi apie 20 projektų, kurie yra ypatingai rizikingi dėl suplanuotų projektų veiklų įgyvendinimo vėlavimo</w:t>
      </w:r>
      <w:r w:rsidR="002C1E96">
        <w:t xml:space="preserve"> ir </w:t>
      </w:r>
      <w:r w:rsidR="004703CF">
        <w:t xml:space="preserve">jau </w:t>
      </w:r>
      <w:r w:rsidR="002C1E96">
        <w:t xml:space="preserve">2018 m. </w:t>
      </w:r>
      <w:r w:rsidR="00A32CB7">
        <w:t>organizavo susitikimus su šių projektų vykdytojais aptarti projektų įgyvendinimo sunkumus.</w:t>
      </w:r>
    </w:p>
    <w:p w:rsidR="0098658F" w:rsidRDefault="0098658F" w:rsidP="0098658F">
      <w:pPr>
        <w:pStyle w:val="tekstas"/>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98658F" w:rsidRPr="00CA6C8A" w:rsidTr="005331E3">
        <w:tc>
          <w:tcPr>
            <w:tcW w:w="9638" w:type="dxa"/>
            <w:tcBorders>
              <w:top w:val="nil"/>
              <w:left w:val="nil"/>
              <w:bottom w:val="nil"/>
              <w:right w:val="nil"/>
            </w:tcBorders>
            <w:shd w:val="clear" w:color="auto" w:fill="D9D9D9" w:themeFill="background1" w:themeFillShade="D9"/>
          </w:tcPr>
          <w:p w:rsidR="0098658F" w:rsidRPr="0098658F" w:rsidRDefault="0098658F" w:rsidP="0098658F">
            <w:pPr>
              <w:pStyle w:val="tekstas"/>
              <w:ind w:firstLine="0"/>
              <w:rPr>
                <w:b/>
                <w:color w:val="365F91" w:themeColor="accent1" w:themeShade="BF"/>
                <w:szCs w:val="20"/>
              </w:rPr>
            </w:pPr>
            <w:r w:rsidRPr="0098658F">
              <w:rPr>
                <w:b/>
                <w:color w:val="365F91" w:themeColor="accent1" w:themeShade="BF"/>
                <w:szCs w:val="20"/>
              </w:rPr>
              <w:t>Siūlymas Ekonomikos ir inovacijų ministerijai:</w:t>
            </w:r>
          </w:p>
          <w:p w:rsidR="0098658F" w:rsidRPr="00CA6C8A" w:rsidRDefault="0098658F" w:rsidP="00782986">
            <w:pPr>
              <w:pStyle w:val="tekstas"/>
              <w:ind w:firstLine="0"/>
            </w:pPr>
            <w:r>
              <w:rPr>
                <w:b/>
                <w:color w:val="365F91" w:themeColor="accent1" w:themeShade="BF"/>
                <w:szCs w:val="20"/>
              </w:rPr>
              <w:t xml:space="preserve">- </w:t>
            </w:r>
            <w:r w:rsidR="00766DDA">
              <w:rPr>
                <w:b/>
                <w:color w:val="365F91" w:themeColor="accent1" w:themeShade="BF"/>
                <w:szCs w:val="20"/>
              </w:rPr>
              <w:t>Iki 2019 m. kovo 31 d.</w:t>
            </w:r>
            <w:r w:rsidRPr="0098658F">
              <w:rPr>
                <w:b/>
                <w:color w:val="365F91" w:themeColor="accent1" w:themeShade="BF"/>
                <w:szCs w:val="20"/>
              </w:rPr>
              <w:t xml:space="preserve"> kartu su LVPA identifikuoti priemonės ,,Intelektas. bendri mokslo–verslo projektai“ antro ir trečio kvietimo rizikingus projektus</w:t>
            </w:r>
            <w:r w:rsidR="00782986">
              <w:rPr>
                <w:b/>
                <w:color w:val="365F91" w:themeColor="accent1" w:themeShade="BF"/>
                <w:szCs w:val="20"/>
              </w:rPr>
              <w:t>,</w:t>
            </w:r>
            <w:r w:rsidRPr="0098658F">
              <w:rPr>
                <w:b/>
                <w:color w:val="365F91" w:themeColor="accent1" w:themeShade="BF"/>
                <w:szCs w:val="20"/>
              </w:rPr>
              <w:t xml:space="preserve"> organizuoti susitikimus su šių projektų vykdytojais </w:t>
            </w:r>
            <w:r w:rsidR="00782986">
              <w:rPr>
                <w:b/>
                <w:color w:val="365F91" w:themeColor="accent1" w:themeShade="BF"/>
                <w:szCs w:val="20"/>
              </w:rPr>
              <w:t>bei identifikuoti ir aptarti rizikas bei galimas jų valdymo priemones</w:t>
            </w:r>
            <w:r w:rsidRPr="0098658F">
              <w:rPr>
                <w:b/>
                <w:color w:val="365F91" w:themeColor="accent1" w:themeShade="BF"/>
                <w:szCs w:val="20"/>
              </w:rPr>
              <w:t>.</w:t>
            </w:r>
          </w:p>
        </w:tc>
      </w:tr>
    </w:tbl>
    <w:p w:rsidR="00F6099D" w:rsidRPr="00C119A5" w:rsidRDefault="00F6099D" w:rsidP="00C119A5">
      <w:pPr>
        <w:pStyle w:val="antrat3zz"/>
      </w:pPr>
      <w:bookmarkStart w:id="13" w:name="_Toc512504078"/>
      <w:bookmarkStart w:id="14" w:name="_Toc1041283"/>
      <w:r w:rsidRPr="00C119A5">
        <w:t>2 prioritetas. Informacinės visuomenės skatinimas</w:t>
      </w:r>
      <w:bookmarkEnd w:id="13"/>
      <w:bookmarkEnd w:id="14"/>
    </w:p>
    <w:p w:rsidR="00B95492" w:rsidRDefault="00BC2501" w:rsidP="00766DDA">
      <w:pPr>
        <w:pStyle w:val="tekstas"/>
        <w:rPr>
          <w:rFonts w:eastAsiaTheme="minorHAnsi"/>
        </w:rPr>
      </w:pPr>
      <w:r>
        <w:rPr>
          <w:rFonts w:eastAsiaTheme="minorHAnsi"/>
        </w:rPr>
        <w:t xml:space="preserve">2 prioritete </w:t>
      </w:r>
      <w:r w:rsidR="00B257A2">
        <w:rPr>
          <w:rFonts w:eastAsiaTheme="minorHAnsi"/>
        </w:rPr>
        <w:t xml:space="preserve">jau </w:t>
      </w:r>
      <w:r>
        <w:rPr>
          <w:rFonts w:eastAsiaTheme="minorHAnsi"/>
        </w:rPr>
        <w:t>yra suplanuoti 88 proc. prioritetui skirtų lėšų. Taip pat labai ženklus pasirašytų sutarčių rodiklis – 86 proc</w:t>
      </w:r>
      <w:r w:rsidR="002239B8">
        <w:rPr>
          <w:rFonts w:eastAsiaTheme="minorHAnsi"/>
        </w:rPr>
        <w:t>.,</w:t>
      </w:r>
      <w:r>
        <w:rPr>
          <w:rFonts w:eastAsiaTheme="minorHAnsi"/>
        </w:rPr>
        <w:t xml:space="preserve"> 2018 m. metinis sudarytų sutarčių planas buvo viršytas daugiau nei 2 kartus, taip pat viršytas metinis išmokėjimų planas (112 proc.). Šios Susisiekimo ministeri</w:t>
      </w:r>
      <w:r w:rsidR="008E4F5B">
        <w:rPr>
          <w:rFonts w:eastAsiaTheme="minorHAnsi"/>
        </w:rPr>
        <w:t>jos pastangos leido pasiekti 2</w:t>
      </w:r>
      <w:r>
        <w:rPr>
          <w:rFonts w:eastAsiaTheme="minorHAnsi"/>
        </w:rPr>
        <w:t xml:space="preserve"> prioriteto finansinį veiklos peržiūros rodiklį, kuris buvo laikomas labai rizikingu.</w:t>
      </w:r>
      <w:r w:rsidR="00B257A2">
        <w:rPr>
          <w:rFonts w:eastAsiaTheme="minorHAnsi"/>
        </w:rPr>
        <w:t xml:space="preserve"> Tačiau išmokėtų lėšų suma atsilieka nuo bendro visų prioritetų vidurkio ir sudaro tik 12 proc. Tai lėmė vėlavę</w:t>
      </w:r>
      <w:r w:rsidR="00B257A2" w:rsidRPr="00B257A2">
        <w:rPr>
          <w:rFonts w:eastAsiaTheme="minorHAnsi"/>
        </w:rPr>
        <w:t xml:space="preserve"> sprendimai dėl valstybės informacinių išteklių infrastruktūros konsolidavimo.</w:t>
      </w:r>
    </w:p>
    <w:p w:rsidR="00AA2174" w:rsidRPr="00766DDA" w:rsidRDefault="00BC2501" w:rsidP="00766DDA">
      <w:pPr>
        <w:pStyle w:val="tekstas"/>
        <w:rPr>
          <w:rFonts w:eastAsiaTheme="minorHAnsi"/>
        </w:rPr>
      </w:pPr>
      <w:r>
        <w:rPr>
          <w:rFonts w:eastAsiaTheme="minorHAnsi"/>
        </w:rPr>
        <w:t>Pažymėtin</w:t>
      </w:r>
      <w:r w:rsidR="00483EAA" w:rsidRPr="00483EAA">
        <w:rPr>
          <w:rFonts w:eastAsiaTheme="minorHAnsi"/>
        </w:rPr>
        <w:t>os</w:t>
      </w:r>
      <w:r>
        <w:rPr>
          <w:rFonts w:eastAsiaTheme="minorHAnsi"/>
        </w:rPr>
        <w:t xml:space="preserve"> kelios sritys, kurios ypatingai svarbios sklandžiam 2 prioriteto priemonių įgyvendinimui</w:t>
      </w:r>
      <w:r w:rsidR="00483EAA">
        <w:rPr>
          <w:rFonts w:eastAsiaTheme="minorHAnsi"/>
        </w:rPr>
        <w:t xml:space="preserve"> – </w:t>
      </w:r>
      <w:r w:rsidR="00463377">
        <w:rPr>
          <w:rFonts w:eastAsiaTheme="minorHAnsi"/>
        </w:rPr>
        <w:t>laiku sukurtas</w:t>
      </w:r>
      <w:r w:rsidR="00AA2174" w:rsidRPr="00766DDA">
        <w:rPr>
          <w:rFonts w:eastAsiaTheme="minorHAnsi"/>
        </w:rPr>
        <w:t xml:space="preserve"> </w:t>
      </w:r>
      <w:r w:rsidR="00AA2174" w:rsidRPr="00766DDA">
        <w:t>elektroninių ryšių tinkl</w:t>
      </w:r>
      <w:r w:rsidR="00463377">
        <w:t>as</w:t>
      </w:r>
      <w:r w:rsidR="00AA2174" w:rsidRPr="00766DDA">
        <w:t xml:space="preserve"> su kompleksinėmis kibernetinio saugumo priemonėmis, </w:t>
      </w:r>
      <w:r w:rsidR="00483EAA" w:rsidRPr="00766DDA">
        <w:t>grei</w:t>
      </w:r>
      <w:r w:rsidR="00483EAA">
        <w:t>tesnis</w:t>
      </w:r>
      <w:r w:rsidR="00483EAA" w:rsidRPr="00766DDA">
        <w:t xml:space="preserve"> </w:t>
      </w:r>
      <w:r w:rsidR="00AA2174" w:rsidRPr="00766DDA">
        <w:t xml:space="preserve">vis </w:t>
      </w:r>
      <w:r w:rsidR="00483EAA" w:rsidRPr="00766DDA">
        <w:t>didėjan</w:t>
      </w:r>
      <w:r w:rsidR="00483EAA">
        <w:t>čio</w:t>
      </w:r>
      <w:r w:rsidR="00483EAA" w:rsidRPr="00766DDA">
        <w:t xml:space="preserve"> </w:t>
      </w:r>
      <w:r w:rsidR="00AA2174" w:rsidRPr="00766DDA">
        <w:t>e. sveikatos sistemos duomenų augimo klausim</w:t>
      </w:r>
      <w:r w:rsidR="00483EAA">
        <w:t>o sprendimas</w:t>
      </w:r>
      <w:r w:rsidR="00AA2174" w:rsidRPr="00766DDA">
        <w:t xml:space="preserve"> atliekant duomenų o</w:t>
      </w:r>
      <w:r w:rsidR="00A51A87">
        <w:t>ptimizavim</w:t>
      </w:r>
      <w:r w:rsidR="00CA520A">
        <w:t>ą</w:t>
      </w:r>
      <w:r w:rsidR="00A51A87">
        <w:t>,</w:t>
      </w:r>
      <w:r w:rsidR="00AA2174" w:rsidRPr="00766DDA">
        <w:t xml:space="preserve"> </w:t>
      </w:r>
      <w:r w:rsidR="00B257A2">
        <w:t xml:space="preserve">taip pat </w:t>
      </w:r>
      <w:r w:rsidR="00AA2174" w:rsidRPr="00766DDA">
        <w:t>operatyv</w:t>
      </w:r>
      <w:r w:rsidR="00483EAA">
        <w:t>us</w:t>
      </w:r>
      <w:r w:rsidR="00AA2174" w:rsidRPr="00766DDA">
        <w:t xml:space="preserve"> </w:t>
      </w:r>
      <w:r w:rsidR="00483EAA">
        <w:t>klausimų</w:t>
      </w:r>
      <w:r w:rsidR="00AA2174" w:rsidRPr="00766DDA">
        <w:t xml:space="preserve">, </w:t>
      </w:r>
      <w:r w:rsidR="00483EAA" w:rsidRPr="00766DDA">
        <w:t>kylanči</w:t>
      </w:r>
      <w:r w:rsidR="00483EAA">
        <w:t>ų</w:t>
      </w:r>
      <w:r w:rsidR="00483EAA" w:rsidRPr="00766DDA">
        <w:t xml:space="preserve"> </w:t>
      </w:r>
      <w:r w:rsidR="00AA2174" w:rsidRPr="00766DDA">
        <w:t>įgyvendinant projektus, susijusius su valstybės informacinių išteklių konsolidavimu</w:t>
      </w:r>
      <w:r w:rsidR="00483EAA">
        <w:t>, sprendimas.</w:t>
      </w:r>
      <w:r w:rsidR="00AA2174" w:rsidRPr="00766DDA">
        <w:rPr>
          <w:rFonts w:eastAsiaTheme="minorHAnsi"/>
        </w:rPr>
        <w:t xml:space="preserve"> </w:t>
      </w:r>
      <w:r w:rsidR="00591D54">
        <w:rPr>
          <w:rFonts w:eastAsiaTheme="minorHAnsi"/>
        </w:rPr>
        <w:t xml:space="preserve">Taip pat svarbu </w:t>
      </w:r>
      <w:r w:rsidR="00DF3748">
        <w:rPr>
          <w:rFonts w:eastAsiaTheme="minorHAnsi"/>
        </w:rPr>
        <w:t>Susisiekimo ministerijai</w:t>
      </w:r>
      <w:r w:rsidR="00591D54">
        <w:rPr>
          <w:rFonts w:eastAsiaTheme="minorHAnsi"/>
        </w:rPr>
        <w:t xml:space="preserve"> 2019 m. baigti suplanuoti 2 prioriteto projektus</w:t>
      </w:r>
      <w:r w:rsidR="00501FE5">
        <w:rPr>
          <w:rFonts w:eastAsiaTheme="minorHAnsi"/>
        </w:rPr>
        <w:t>, o dėl finansuotinų projektų apsispręsti bendradarbiaujant su Ekonomikos ir inovacijų ministerija.</w:t>
      </w:r>
    </w:p>
    <w:p w:rsidR="00AA2174" w:rsidRPr="00766DDA" w:rsidRDefault="00B257A2" w:rsidP="00766DDA">
      <w:pPr>
        <w:pStyle w:val="tekstas"/>
        <w:rPr>
          <w:rFonts w:eastAsiaTheme="minorHAnsi"/>
        </w:rPr>
      </w:pPr>
      <w:r>
        <w:rPr>
          <w:rFonts w:eastAsiaTheme="minorHAnsi"/>
        </w:rPr>
        <w:t>P</w:t>
      </w:r>
      <w:r w:rsidR="00BC2501">
        <w:rPr>
          <w:rFonts w:eastAsiaTheme="minorHAnsi"/>
        </w:rPr>
        <w:t xml:space="preserve">aminėtina, kad nėra </w:t>
      </w:r>
      <w:r w:rsidR="00AA2174" w:rsidRPr="00766DDA">
        <w:rPr>
          <w:rFonts w:eastAsiaTheme="minorHAnsi"/>
        </w:rPr>
        <w:t xml:space="preserve">įgyvendinta </w:t>
      </w:r>
      <w:r w:rsidR="00A51A87">
        <w:rPr>
          <w:rFonts w:eastAsiaTheme="minorHAnsi"/>
        </w:rPr>
        <w:t xml:space="preserve">Susisiekimo ministerijai skirta </w:t>
      </w:r>
      <w:r w:rsidR="00AA2174" w:rsidRPr="00766DDA">
        <w:rPr>
          <w:rFonts w:eastAsiaTheme="minorHAnsi"/>
        </w:rPr>
        <w:t xml:space="preserve">rekomendacija </w:t>
      </w:r>
      <w:r w:rsidR="00AA2174" w:rsidRPr="00A51A87">
        <w:rPr>
          <w:rFonts w:eastAsiaTheme="minorHAnsi"/>
          <w:i/>
        </w:rPr>
        <w:t xml:space="preserve">iki 2018 m. gruodžio 31 d. pradėti finansuoti e. sveikatos paslaugų 1-ojo etapo projektus (pirmąjį etapą sudaro </w:t>
      </w:r>
      <w:r w:rsidR="00AA2174" w:rsidRPr="00A51A87">
        <w:rPr>
          <w:rFonts w:eastAsiaTheme="minorHAnsi"/>
          <w:i/>
        </w:rPr>
        <w:lastRenderedPageBreak/>
        <w:t>du projektai)</w:t>
      </w:r>
      <w:r w:rsidR="00AA2174" w:rsidRPr="00766DDA">
        <w:rPr>
          <w:rFonts w:eastAsiaTheme="minorHAnsi"/>
        </w:rPr>
        <w:t xml:space="preserve">. </w:t>
      </w:r>
      <w:r w:rsidR="00AA2174" w:rsidRPr="00766DDA">
        <w:t>U</w:t>
      </w:r>
      <w:r w:rsidR="00AA2174" w:rsidRPr="00766DDA">
        <w:rPr>
          <w:rFonts w:eastAsiaTheme="minorHAnsi"/>
        </w:rPr>
        <w:t>žsitęsus investicinio projekto parengimui, Sveikatos apsaugos ministerija pirmojo p</w:t>
      </w:r>
      <w:r w:rsidR="00A51A87">
        <w:rPr>
          <w:rFonts w:eastAsiaTheme="minorHAnsi"/>
        </w:rPr>
        <w:t>rojekto, kurio vertė 3,85 mln. e</w:t>
      </w:r>
      <w:r w:rsidR="00AA2174" w:rsidRPr="00766DDA">
        <w:rPr>
          <w:rFonts w:eastAsiaTheme="minorHAnsi"/>
        </w:rPr>
        <w:t>ur</w:t>
      </w:r>
      <w:r w:rsidR="00A51A87">
        <w:rPr>
          <w:rFonts w:eastAsiaTheme="minorHAnsi"/>
        </w:rPr>
        <w:t>ų</w:t>
      </w:r>
      <w:r w:rsidR="00AA2174" w:rsidRPr="00766DDA">
        <w:rPr>
          <w:rFonts w:eastAsiaTheme="minorHAnsi"/>
        </w:rPr>
        <w:t>, valstybės projekto aprašymą bei investicijų projektą Susisiekimo ministerijos vertinimui planuoja pat</w:t>
      </w:r>
      <w:r w:rsidR="008E4F5B">
        <w:rPr>
          <w:rFonts w:eastAsiaTheme="minorHAnsi"/>
        </w:rPr>
        <w:t xml:space="preserve">eikti iki 2019 m. birželio </w:t>
      </w:r>
      <w:r w:rsidR="00AA2174" w:rsidRPr="00766DDA">
        <w:rPr>
          <w:rFonts w:eastAsiaTheme="minorHAnsi"/>
        </w:rPr>
        <w:t>1</w:t>
      </w:r>
      <w:r w:rsidR="00B3593E">
        <w:rPr>
          <w:rFonts w:eastAsiaTheme="minorHAnsi"/>
        </w:rPr>
        <w:t>4</w:t>
      </w:r>
      <w:r w:rsidR="00AA2174" w:rsidRPr="00766DDA">
        <w:rPr>
          <w:rFonts w:eastAsiaTheme="minorHAnsi"/>
        </w:rPr>
        <w:t xml:space="preserve"> d., antrojo </w:t>
      </w:r>
      <w:r w:rsidR="00A51A87">
        <w:rPr>
          <w:rFonts w:eastAsiaTheme="minorHAnsi"/>
        </w:rPr>
        <w:t>projekto, kurio vertė 1 mln. eurų</w:t>
      </w:r>
      <w:r w:rsidR="00AA2174" w:rsidRPr="00766DDA">
        <w:rPr>
          <w:rFonts w:eastAsiaTheme="minorHAnsi"/>
        </w:rPr>
        <w:t xml:space="preserve"> – 2019 m. </w:t>
      </w:r>
      <w:r w:rsidR="00B3593E">
        <w:rPr>
          <w:rFonts w:eastAsiaTheme="minorHAnsi"/>
        </w:rPr>
        <w:t>gruodžio 20 d</w:t>
      </w:r>
      <w:r w:rsidR="00AA2174" w:rsidRPr="00766DDA">
        <w:rPr>
          <w:rFonts w:eastAsiaTheme="minorHAnsi"/>
        </w:rPr>
        <w:t xml:space="preserve">. Atsižvelgiant į tai, kad planuojamas pirmasis e. sveikatos projektas ypatingai svarbus </w:t>
      </w:r>
      <w:r w:rsidR="00AA2174" w:rsidRPr="00766DDA">
        <w:t>Elektroninės sveikatos paslaugų ir bendradarbiavimo infrastruktūros informacinės sistemos</w:t>
      </w:r>
      <w:r w:rsidR="00AA2174" w:rsidRPr="00766DDA">
        <w:rPr>
          <w:rFonts w:eastAsiaTheme="minorHAnsi"/>
        </w:rPr>
        <w:t xml:space="preserve"> duomenų bazės pertvarkymui ir sistemos optimizavimui, taip pat funkcionalumų tobulinimui, svarbu užtikrinti, kad investicijų projektas vertinimui būtų pateiktas laiku. </w:t>
      </w:r>
    </w:p>
    <w:p w:rsidR="00AA2174" w:rsidRPr="00766DDA" w:rsidRDefault="00BC2501" w:rsidP="00766DDA">
      <w:pPr>
        <w:pStyle w:val="tekstas"/>
      </w:pPr>
      <w:r>
        <w:rPr>
          <w:rFonts w:eastAsiaTheme="minorHAnsi"/>
        </w:rPr>
        <w:t>Be to,</w:t>
      </w:r>
      <w:r w:rsidR="00AA2174" w:rsidRPr="00766DDA">
        <w:rPr>
          <w:rFonts w:eastAsiaTheme="minorHAnsi"/>
        </w:rPr>
        <w:t xml:space="preserve"> neįgyvendinta Ekonomikos ir inovacijų ministerijai </w:t>
      </w:r>
      <w:r w:rsidR="00AA2174" w:rsidRPr="00766DDA">
        <w:t xml:space="preserve">skirta </w:t>
      </w:r>
      <w:r w:rsidR="00AA2174" w:rsidRPr="00A51A87">
        <w:rPr>
          <w:i/>
        </w:rPr>
        <w:t xml:space="preserve">rekomendacija iki 2018 m. lapkričio 30 d. sudaryti Priežiūros komitetą, kuris vykdytų Informacinės visuomenės plėtros komiteto (toliau – IVPK) projektų, finansuojamų iš veiksmų programos 2 ir 10 prioritetų ir susijusių su valstybės informacinių išteklių konsolidavimu, priežiūrą (į komiteto sudėtį įtraukiant Susisiekimo, Vidaus reikalų, Krašto apsaugos ministerijų, Europos socialinio fondo, </w:t>
      </w:r>
      <w:proofErr w:type="spellStart"/>
      <w:r w:rsidR="00AA2174" w:rsidRPr="00A51A87">
        <w:rPr>
          <w:i/>
        </w:rPr>
        <w:t>VšĮ</w:t>
      </w:r>
      <w:proofErr w:type="spellEnd"/>
      <w:r w:rsidR="00AA2174" w:rsidRPr="00A51A87">
        <w:rPr>
          <w:i/>
        </w:rPr>
        <w:t xml:space="preserve"> Centrinės projektų valdymo agentūrų atstovus)</w:t>
      </w:r>
      <w:r w:rsidR="00AA2174" w:rsidRPr="00766DDA">
        <w:t xml:space="preserve">. </w:t>
      </w:r>
      <w:r w:rsidR="00B257A2">
        <w:t>Finansų ministerijos nuomone, s</w:t>
      </w:r>
      <w:r w:rsidR="00AA2174" w:rsidRPr="00766DDA">
        <w:t>iekiant</w:t>
      </w:r>
      <w:r w:rsidR="00463377">
        <w:t xml:space="preserve"> laiku</w:t>
      </w:r>
      <w:r w:rsidR="00AA2174" w:rsidRPr="00766DDA">
        <w:t xml:space="preserve"> priimti sprendimus, susijusius su valstybės informacinių išteklių konsolidavimu, Priežiūros komiteto sudarymas ir reguliarūs susitikimai sprendžiant aktualius klausimus, yra būtini. </w:t>
      </w:r>
    </w:p>
    <w:p w:rsidR="00AA2174" w:rsidRPr="00766DDA" w:rsidRDefault="00AA2174" w:rsidP="00766DDA">
      <w:pPr>
        <w:pStyle w:val="tekstas"/>
      </w:pPr>
      <w:r w:rsidRPr="00766DDA">
        <w:t xml:space="preserve">Vadovaujantis Vyriausybės 2018 m. balandžio 18 d. posėdžio protokolo Nr. 17, 19 klausimo 3.2 punktu, iki 2019 m. gruodžio 31 d. turi būti parengtos eksploatuoti patalpos Kaune, kurios bus skirtos valstybės duomenų centrui įkurti. Vykdant IVPK projektą „Valstybės </w:t>
      </w:r>
      <w:proofErr w:type="spellStart"/>
      <w:r w:rsidRPr="00766DDA">
        <w:t>debesijos</w:t>
      </w:r>
      <w:proofErr w:type="spellEnd"/>
      <w:r w:rsidRPr="00766DDA">
        <w:t xml:space="preserve"> paslaugų teikimo infrastruktūros sukūrimas“, jau 2019 m. rugpjūčio mėn. numatoma įsigyti įrangą, kuri turės būti talpinama valstybiniuose duomenų centruose. Tačiau duomenų centras Kaune nėra parengtas eksploatavimui, nėra priimti kiti sprendimai, kur gali būti talpinama įranga. </w:t>
      </w:r>
      <w:r w:rsidRPr="00766DDA">
        <w:rPr>
          <w:rFonts w:eastAsiaTheme="minorHAnsi"/>
        </w:rPr>
        <w:t xml:space="preserve"> </w:t>
      </w:r>
      <w:r w:rsidR="00B26776">
        <w:rPr>
          <w:rFonts w:eastAsiaTheme="minorHAnsi"/>
        </w:rPr>
        <w:t>S</w:t>
      </w:r>
      <w:r w:rsidR="00B26776" w:rsidRPr="00766DDA">
        <w:rPr>
          <w:rFonts w:eastAsiaTheme="minorHAnsi"/>
        </w:rPr>
        <w:t xml:space="preserve">iekiant suvaldyti kylančias rizikas </w:t>
      </w:r>
      <w:r w:rsidRPr="00766DDA">
        <w:rPr>
          <w:rFonts w:eastAsiaTheme="minorHAnsi"/>
        </w:rPr>
        <w:t xml:space="preserve">Ekonomikos ir inovacijų ministerija </w:t>
      </w:r>
      <w:r w:rsidR="00B26776">
        <w:rPr>
          <w:rFonts w:eastAsiaTheme="minorHAnsi"/>
        </w:rPr>
        <w:t xml:space="preserve">turėtų </w:t>
      </w:r>
      <w:r w:rsidRPr="00766DDA">
        <w:rPr>
          <w:rFonts w:eastAsiaTheme="minorHAnsi"/>
        </w:rPr>
        <w:t>priimti atitinkamus sprendimus.</w:t>
      </w:r>
    </w:p>
    <w:p w:rsidR="00A26202" w:rsidRPr="00144C56" w:rsidRDefault="00A26202" w:rsidP="00A26202">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eastAsiaTheme="minorHAnsi"/>
          <w:color w:val="000000"/>
          <w:szCs w:val="24"/>
        </w:rPr>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A26202" w:rsidTr="00E35145">
        <w:tc>
          <w:tcPr>
            <w:tcW w:w="9638" w:type="dxa"/>
            <w:tcBorders>
              <w:top w:val="nil"/>
              <w:left w:val="nil"/>
              <w:bottom w:val="nil"/>
              <w:right w:val="nil"/>
            </w:tcBorders>
            <w:shd w:val="clear" w:color="auto" w:fill="D9D9D9" w:themeFill="background1" w:themeFillShade="D9"/>
          </w:tcPr>
          <w:p w:rsidR="00AA2174" w:rsidRPr="00A51A87" w:rsidRDefault="00AA2174" w:rsidP="00AA2174">
            <w:pPr>
              <w:contextualSpacing/>
              <w:jc w:val="both"/>
              <w:rPr>
                <w:rFonts w:asciiTheme="minorHAnsi" w:hAnsiTheme="minorHAnsi"/>
                <w:b/>
                <w:color w:val="365F91" w:themeColor="accent1" w:themeShade="BF"/>
              </w:rPr>
            </w:pPr>
            <w:r w:rsidRPr="00A51A87">
              <w:rPr>
                <w:rFonts w:asciiTheme="minorHAnsi" w:hAnsiTheme="minorHAnsi"/>
                <w:b/>
                <w:color w:val="365F91" w:themeColor="accent1" w:themeShade="BF"/>
              </w:rPr>
              <w:t>Siūlymas Sveikatos apsaugos ministerijai:</w:t>
            </w:r>
          </w:p>
          <w:p w:rsidR="00AA2174" w:rsidRPr="00A51A87" w:rsidRDefault="00A51A87" w:rsidP="00A51A87">
            <w:pPr>
              <w:jc w:val="both"/>
              <w:rPr>
                <w:rFonts w:asciiTheme="minorHAnsi" w:hAnsiTheme="minorHAnsi"/>
                <w:b/>
                <w:color w:val="365F91" w:themeColor="accent1" w:themeShade="BF"/>
              </w:rPr>
            </w:pPr>
            <w:r>
              <w:rPr>
                <w:rFonts w:asciiTheme="minorHAnsi" w:hAnsiTheme="minorHAnsi"/>
                <w:b/>
                <w:color w:val="365F91" w:themeColor="accent1" w:themeShade="BF"/>
              </w:rPr>
              <w:t>- I</w:t>
            </w:r>
            <w:r w:rsidR="00AA2174" w:rsidRPr="00A51A87">
              <w:rPr>
                <w:rFonts w:asciiTheme="minorHAnsi" w:hAnsiTheme="minorHAnsi"/>
                <w:b/>
                <w:color w:val="365F91" w:themeColor="accent1" w:themeShade="BF"/>
              </w:rPr>
              <w:t xml:space="preserve">ki </w:t>
            </w:r>
            <w:r>
              <w:rPr>
                <w:rFonts w:asciiTheme="minorHAnsi" w:hAnsiTheme="minorHAnsi"/>
                <w:b/>
                <w:color w:val="365F91" w:themeColor="accent1" w:themeShade="BF"/>
              </w:rPr>
              <w:t xml:space="preserve">2019 m. </w:t>
            </w:r>
            <w:r w:rsidR="00AA2174" w:rsidRPr="00A51A87">
              <w:rPr>
                <w:rFonts w:asciiTheme="minorHAnsi" w:hAnsiTheme="minorHAnsi"/>
                <w:b/>
                <w:color w:val="365F91" w:themeColor="accent1" w:themeShade="BF"/>
              </w:rPr>
              <w:t>birželio 1</w:t>
            </w:r>
            <w:r w:rsidR="00B3593E">
              <w:rPr>
                <w:rFonts w:asciiTheme="minorHAnsi" w:hAnsiTheme="minorHAnsi"/>
                <w:b/>
                <w:color w:val="365F91" w:themeColor="accent1" w:themeShade="BF"/>
              </w:rPr>
              <w:t>4</w:t>
            </w:r>
            <w:r w:rsidR="00AA2174" w:rsidRPr="00A51A87">
              <w:rPr>
                <w:rFonts w:asciiTheme="minorHAnsi" w:hAnsiTheme="minorHAnsi"/>
                <w:b/>
                <w:color w:val="365F91" w:themeColor="accent1" w:themeShade="BF"/>
              </w:rPr>
              <w:t xml:space="preserve"> d. Susisiekimo ministerijos vertinimui pateikti </w:t>
            </w:r>
            <w:r w:rsidR="00B3593E">
              <w:rPr>
                <w:rFonts w:asciiTheme="minorHAnsi" w:hAnsiTheme="minorHAnsi"/>
                <w:b/>
                <w:color w:val="365F91" w:themeColor="accent1" w:themeShade="BF"/>
              </w:rPr>
              <w:t xml:space="preserve">1-ąjį </w:t>
            </w:r>
            <w:r w:rsidR="00AA2174" w:rsidRPr="00A51A87">
              <w:rPr>
                <w:rFonts w:asciiTheme="minorHAnsi" w:hAnsiTheme="minorHAnsi"/>
                <w:b/>
                <w:color w:val="365F91" w:themeColor="accent1" w:themeShade="BF"/>
              </w:rPr>
              <w:t>e. sveikatos valstybės projekto aprašymą bei investicijų p</w:t>
            </w:r>
            <w:r>
              <w:rPr>
                <w:rFonts w:asciiTheme="minorHAnsi" w:hAnsiTheme="minorHAnsi"/>
                <w:b/>
                <w:color w:val="365F91" w:themeColor="accent1" w:themeShade="BF"/>
              </w:rPr>
              <w:t>rojektą, kurio vertė 3,85 mln. e</w:t>
            </w:r>
            <w:r w:rsidR="00AA2174" w:rsidRPr="00A51A87">
              <w:rPr>
                <w:rFonts w:asciiTheme="minorHAnsi" w:hAnsiTheme="minorHAnsi"/>
                <w:b/>
                <w:color w:val="365F91" w:themeColor="accent1" w:themeShade="BF"/>
              </w:rPr>
              <w:t>ur</w:t>
            </w:r>
            <w:r>
              <w:rPr>
                <w:rFonts w:asciiTheme="minorHAnsi" w:hAnsiTheme="minorHAnsi"/>
                <w:b/>
                <w:color w:val="365F91" w:themeColor="accent1" w:themeShade="BF"/>
              </w:rPr>
              <w:t>ų</w:t>
            </w:r>
            <w:r w:rsidR="00AA2174" w:rsidRPr="00A51A87">
              <w:rPr>
                <w:rFonts w:asciiTheme="minorHAnsi" w:hAnsiTheme="minorHAnsi"/>
                <w:b/>
                <w:color w:val="365F91" w:themeColor="accent1" w:themeShade="BF"/>
              </w:rPr>
              <w:t>.</w:t>
            </w:r>
          </w:p>
          <w:p w:rsidR="00AD2DDC" w:rsidRDefault="00AD2DDC" w:rsidP="00AA2174">
            <w:pPr>
              <w:jc w:val="both"/>
              <w:rPr>
                <w:rFonts w:asciiTheme="minorHAnsi" w:hAnsiTheme="minorHAnsi"/>
                <w:b/>
                <w:color w:val="365F91" w:themeColor="accent1" w:themeShade="BF"/>
              </w:rPr>
            </w:pPr>
          </w:p>
          <w:p w:rsidR="00AA2174" w:rsidRPr="00A51A87" w:rsidRDefault="00AA2174" w:rsidP="00AA2174">
            <w:pPr>
              <w:jc w:val="both"/>
              <w:rPr>
                <w:rFonts w:asciiTheme="minorHAnsi" w:hAnsiTheme="minorHAnsi"/>
                <w:b/>
                <w:color w:val="365F91" w:themeColor="accent1" w:themeShade="BF"/>
              </w:rPr>
            </w:pPr>
            <w:r w:rsidRPr="00A51A87">
              <w:rPr>
                <w:rFonts w:asciiTheme="minorHAnsi" w:hAnsiTheme="minorHAnsi"/>
                <w:b/>
                <w:color w:val="365F91" w:themeColor="accent1" w:themeShade="BF"/>
              </w:rPr>
              <w:t>Siūlymas Susisiekimo ministerijai:</w:t>
            </w:r>
          </w:p>
          <w:p w:rsidR="00B656C2" w:rsidRDefault="00F922C5" w:rsidP="00A51A87">
            <w:pPr>
              <w:jc w:val="both"/>
              <w:rPr>
                <w:rFonts w:asciiTheme="minorHAnsi" w:hAnsiTheme="minorHAnsi"/>
                <w:b/>
                <w:color w:val="365F91" w:themeColor="accent1" w:themeShade="BF"/>
              </w:rPr>
            </w:pPr>
            <w:r>
              <w:rPr>
                <w:rFonts w:asciiTheme="minorHAnsi" w:hAnsiTheme="minorHAnsi"/>
                <w:b/>
                <w:color w:val="365F91" w:themeColor="accent1" w:themeShade="BF"/>
              </w:rPr>
              <w:t>-</w:t>
            </w:r>
            <w:r>
              <w:rPr>
                <w:rFonts w:asciiTheme="minorHAnsi" w:eastAsiaTheme="minorHAnsi" w:hAnsiTheme="minorHAnsi" w:cstheme="minorHAnsi"/>
                <w:b/>
                <w:bCs/>
                <w:color w:val="365F91" w:themeColor="accent1" w:themeShade="BF"/>
                <w:szCs w:val="24"/>
              </w:rPr>
              <w:t xml:space="preserve"> I</w:t>
            </w:r>
            <w:r w:rsidR="00B656C2" w:rsidRPr="00097564">
              <w:rPr>
                <w:rFonts w:asciiTheme="minorHAnsi" w:eastAsiaTheme="minorHAnsi" w:hAnsiTheme="minorHAnsi" w:cstheme="minorHAnsi"/>
                <w:b/>
                <w:bCs/>
                <w:color w:val="365F91" w:themeColor="accent1" w:themeShade="BF"/>
                <w:szCs w:val="24"/>
              </w:rPr>
              <w:t xml:space="preserve">ki 2019 m. kovo 31 d. </w:t>
            </w:r>
            <w:r w:rsidR="00B656C2">
              <w:rPr>
                <w:rFonts w:asciiTheme="minorHAnsi" w:eastAsiaTheme="minorHAnsi" w:hAnsiTheme="minorHAnsi" w:cstheme="minorHAnsi"/>
                <w:b/>
                <w:bCs/>
                <w:color w:val="365F91" w:themeColor="accent1" w:themeShade="BF"/>
                <w:szCs w:val="24"/>
              </w:rPr>
              <w:t xml:space="preserve">bendradarbiaujant su Ekonomikos ir inovacijų ministerija Finansų ministerijai pateikti informaciją apie planuojamus finansuoti projektus </w:t>
            </w:r>
            <w:r w:rsidR="00B656C2" w:rsidRPr="00097564">
              <w:rPr>
                <w:rFonts w:asciiTheme="minorHAnsi" w:eastAsiaTheme="minorHAnsi" w:hAnsiTheme="minorHAnsi" w:cstheme="minorHAnsi"/>
                <w:b/>
                <w:bCs/>
                <w:color w:val="365F91" w:themeColor="accent1" w:themeShade="BF"/>
                <w:szCs w:val="24"/>
              </w:rPr>
              <w:t xml:space="preserve">siekiant efektyviai panaudoti </w:t>
            </w:r>
            <w:r w:rsidR="00B656C2">
              <w:rPr>
                <w:rFonts w:asciiTheme="minorHAnsi" w:eastAsiaTheme="minorHAnsi" w:hAnsiTheme="minorHAnsi" w:cstheme="minorHAnsi"/>
                <w:b/>
                <w:bCs/>
                <w:color w:val="365F91" w:themeColor="accent1" w:themeShade="BF"/>
                <w:szCs w:val="24"/>
              </w:rPr>
              <w:t xml:space="preserve">nesuplanuotas ir veiklos </w:t>
            </w:r>
            <w:r w:rsidR="000F7AA4">
              <w:rPr>
                <w:rFonts w:asciiTheme="minorHAnsi" w:eastAsiaTheme="minorHAnsi" w:hAnsiTheme="minorHAnsi" w:cstheme="minorHAnsi"/>
                <w:b/>
                <w:bCs/>
                <w:color w:val="365F91" w:themeColor="accent1" w:themeShade="BF"/>
                <w:szCs w:val="24"/>
              </w:rPr>
              <w:t xml:space="preserve">lėšų </w:t>
            </w:r>
            <w:r w:rsidR="00B656C2">
              <w:rPr>
                <w:rFonts w:asciiTheme="minorHAnsi" w:eastAsiaTheme="minorHAnsi" w:hAnsiTheme="minorHAnsi" w:cstheme="minorHAnsi"/>
                <w:b/>
                <w:bCs/>
                <w:color w:val="365F91" w:themeColor="accent1" w:themeShade="BF"/>
                <w:szCs w:val="24"/>
              </w:rPr>
              <w:t>rezerv</w:t>
            </w:r>
            <w:r w:rsidR="000F7AA4">
              <w:rPr>
                <w:rFonts w:asciiTheme="minorHAnsi" w:eastAsiaTheme="minorHAnsi" w:hAnsiTheme="minorHAnsi" w:cstheme="minorHAnsi"/>
                <w:b/>
                <w:bCs/>
                <w:color w:val="365F91" w:themeColor="accent1" w:themeShade="BF"/>
                <w:szCs w:val="24"/>
              </w:rPr>
              <w:t>ą</w:t>
            </w:r>
            <w:r w:rsidR="00B656C2">
              <w:rPr>
                <w:rFonts w:asciiTheme="minorHAnsi" w:eastAsiaTheme="minorHAnsi" w:hAnsiTheme="minorHAnsi" w:cstheme="minorHAnsi"/>
                <w:b/>
                <w:bCs/>
                <w:color w:val="365F91" w:themeColor="accent1" w:themeShade="BF"/>
                <w:szCs w:val="24"/>
              </w:rPr>
              <w:t>;</w:t>
            </w:r>
          </w:p>
          <w:p w:rsidR="008E4F5B" w:rsidRDefault="00A51A87" w:rsidP="00AA2174">
            <w:pPr>
              <w:jc w:val="both"/>
              <w:rPr>
                <w:rFonts w:asciiTheme="minorHAnsi" w:hAnsiTheme="minorHAnsi"/>
                <w:b/>
                <w:color w:val="365F91" w:themeColor="accent1" w:themeShade="BF"/>
              </w:rPr>
            </w:pPr>
            <w:r>
              <w:rPr>
                <w:rFonts w:asciiTheme="minorHAnsi" w:hAnsiTheme="minorHAnsi"/>
                <w:b/>
                <w:color w:val="365F91" w:themeColor="accent1" w:themeShade="BF"/>
              </w:rPr>
              <w:t>- I</w:t>
            </w:r>
            <w:r w:rsidR="00AA2174" w:rsidRPr="00A51A87">
              <w:rPr>
                <w:rFonts w:asciiTheme="minorHAnsi" w:hAnsiTheme="minorHAnsi"/>
                <w:b/>
                <w:color w:val="365F91" w:themeColor="accent1" w:themeShade="BF"/>
              </w:rPr>
              <w:t xml:space="preserve">ki </w:t>
            </w:r>
            <w:r>
              <w:rPr>
                <w:rFonts w:asciiTheme="minorHAnsi" w:hAnsiTheme="minorHAnsi"/>
                <w:b/>
                <w:color w:val="365F91" w:themeColor="accent1" w:themeShade="BF"/>
              </w:rPr>
              <w:t xml:space="preserve">2019 m. </w:t>
            </w:r>
            <w:r w:rsidR="00B3593E">
              <w:rPr>
                <w:rFonts w:asciiTheme="minorHAnsi" w:hAnsiTheme="minorHAnsi"/>
                <w:b/>
                <w:color w:val="365F91" w:themeColor="accent1" w:themeShade="BF"/>
              </w:rPr>
              <w:t>rugpjūčio</w:t>
            </w:r>
            <w:r w:rsidR="00B3593E" w:rsidRPr="00A51A87">
              <w:rPr>
                <w:rFonts w:asciiTheme="minorHAnsi" w:hAnsiTheme="minorHAnsi"/>
                <w:b/>
                <w:color w:val="365F91" w:themeColor="accent1" w:themeShade="BF"/>
              </w:rPr>
              <w:t xml:space="preserve"> </w:t>
            </w:r>
            <w:r w:rsidR="00AA2174" w:rsidRPr="00A51A87">
              <w:rPr>
                <w:rFonts w:asciiTheme="minorHAnsi" w:hAnsiTheme="minorHAnsi"/>
                <w:b/>
                <w:color w:val="365F91" w:themeColor="accent1" w:themeShade="BF"/>
              </w:rPr>
              <w:t>1</w:t>
            </w:r>
            <w:r w:rsidR="00B3593E">
              <w:rPr>
                <w:rFonts w:asciiTheme="minorHAnsi" w:hAnsiTheme="minorHAnsi"/>
                <w:b/>
                <w:color w:val="365F91" w:themeColor="accent1" w:themeShade="BF"/>
              </w:rPr>
              <w:t>6</w:t>
            </w:r>
            <w:r w:rsidR="00AA2174" w:rsidRPr="00A51A87">
              <w:rPr>
                <w:rFonts w:asciiTheme="minorHAnsi" w:hAnsiTheme="minorHAnsi"/>
                <w:b/>
                <w:color w:val="365F91" w:themeColor="accent1" w:themeShade="BF"/>
              </w:rPr>
              <w:t xml:space="preserve"> d. įtraukti </w:t>
            </w:r>
            <w:r w:rsidR="00B3593E">
              <w:rPr>
                <w:rFonts w:asciiTheme="minorHAnsi" w:hAnsiTheme="minorHAnsi"/>
                <w:b/>
                <w:color w:val="365F91" w:themeColor="accent1" w:themeShade="BF"/>
              </w:rPr>
              <w:t xml:space="preserve">1-ąjį </w:t>
            </w:r>
            <w:r w:rsidR="00AA2174" w:rsidRPr="00A51A87">
              <w:rPr>
                <w:rFonts w:asciiTheme="minorHAnsi" w:hAnsiTheme="minorHAnsi"/>
                <w:b/>
                <w:color w:val="365F91" w:themeColor="accent1" w:themeShade="BF"/>
              </w:rPr>
              <w:t>e. sveikatos p</w:t>
            </w:r>
            <w:r>
              <w:rPr>
                <w:rFonts w:asciiTheme="minorHAnsi" w:hAnsiTheme="minorHAnsi"/>
                <w:b/>
                <w:color w:val="365F91" w:themeColor="accent1" w:themeShade="BF"/>
              </w:rPr>
              <w:t>rojektą, kurio vertė 3,85 mln. e</w:t>
            </w:r>
            <w:r w:rsidR="00AA2174" w:rsidRPr="00A51A87">
              <w:rPr>
                <w:rFonts w:asciiTheme="minorHAnsi" w:hAnsiTheme="minorHAnsi"/>
                <w:b/>
                <w:color w:val="365F91" w:themeColor="accent1" w:themeShade="BF"/>
              </w:rPr>
              <w:t>ur</w:t>
            </w:r>
            <w:r>
              <w:rPr>
                <w:rFonts w:asciiTheme="minorHAnsi" w:hAnsiTheme="minorHAnsi"/>
                <w:b/>
                <w:color w:val="365F91" w:themeColor="accent1" w:themeShade="BF"/>
              </w:rPr>
              <w:t>ų</w:t>
            </w:r>
            <w:r w:rsidR="00AA2174" w:rsidRPr="00A51A87">
              <w:rPr>
                <w:rFonts w:asciiTheme="minorHAnsi" w:hAnsiTheme="minorHAnsi"/>
                <w:b/>
                <w:color w:val="365F91" w:themeColor="accent1" w:themeShade="BF"/>
              </w:rPr>
              <w:t>, į valstybės projektų sąrašą</w:t>
            </w:r>
            <w:r w:rsidR="00B656C2">
              <w:rPr>
                <w:rFonts w:asciiTheme="minorHAnsi" w:hAnsiTheme="minorHAnsi"/>
                <w:b/>
                <w:color w:val="365F91" w:themeColor="accent1" w:themeShade="BF"/>
              </w:rPr>
              <w:t>.</w:t>
            </w:r>
            <w:r w:rsidR="00F922C5">
              <w:rPr>
                <w:rFonts w:asciiTheme="minorHAnsi" w:hAnsiTheme="minorHAnsi"/>
                <w:b/>
                <w:color w:val="365F91" w:themeColor="accent1" w:themeShade="BF"/>
              </w:rPr>
              <w:t xml:space="preserve"> </w:t>
            </w:r>
          </w:p>
          <w:p w:rsidR="008E4F5B" w:rsidRDefault="008E4F5B" w:rsidP="00AA2174">
            <w:pPr>
              <w:jc w:val="both"/>
              <w:rPr>
                <w:rFonts w:asciiTheme="minorHAnsi" w:hAnsiTheme="minorHAnsi"/>
                <w:b/>
                <w:color w:val="365F91" w:themeColor="accent1" w:themeShade="BF"/>
              </w:rPr>
            </w:pPr>
          </w:p>
          <w:p w:rsidR="00AA2174" w:rsidRPr="00A51A87" w:rsidRDefault="00AA2174" w:rsidP="00AA2174">
            <w:pPr>
              <w:jc w:val="both"/>
              <w:rPr>
                <w:rFonts w:asciiTheme="minorHAnsi" w:hAnsiTheme="minorHAnsi"/>
                <w:b/>
                <w:color w:val="365F91" w:themeColor="accent1" w:themeShade="BF"/>
              </w:rPr>
            </w:pPr>
            <w:r w:rsidRPr="00A51A87">
              <w:rPr>
                <w:rFonts w:asciiTheme="minorHAnsi" w:hAnsiTheme="minorHAnsi"/>
                <w:b/>
                <w:color w:val="365F91" w:themeColor="accent1" w:themeShade="BF"/>
              </w:rPr>
              <w:t xml:space="preserve">Siūlymas Ekonomikos ir inovacijų ministerijai: </w:t>
            </w:r>
          </w:p>
          <w:p w:rsidR="002E4FFD" w:rsidRDefault="00A51A87" w:rsidP="00A51A87">
            <w:pPr>
              <w:jc w:val="both"/>
              <w:rPr>
                <w:rFonts w:asciiTheme="minorHAnsi" w:hAnsiTheme="minorHAnsi"/>
                <w:b/>
                <w:color w:val="365F91" w:themeColor="accent1" w:themeShade="BF"/>
              </w:rPr>
            </w:pPr>
            <w:r>
              <w:rPr>
                <w:rFonts w:asciiTheme="minorHAnsi" w:hAnsiTheme="minorHAnsi"/>
                <w:b/>
                <w:color w:val="365F91" w:themeColor="accent1" w:themeShade="BF"/>
              </w:rPr>
              <w:t>- I</w:t>
            </w:r>
            <w:r w:rsidR="00AA2174" w:rsidRPr="00A51A87">
              <w:rPr>
                <w:rFonts w:asciiTheme="minorHAnsi" w:hAnsiTheme="minorHAnsi"/>
                <w:b/>
                <w:color w:val="365F91" w:themeColor="accent1" w:themeShade="BF"/>
              </w:rPr>
              <w:t xml:space="preserve">ki </w:t>
            </w:r>
            <w:r>
              <w:rPr>
                <w:rFonts w:asciiTheme="minorHAnsi" w:hAnsiTheme="minorHAnsi"/>
                <w:b/>
                <w:color w:val="365F91" w:themeColor="accent1" w:themeShade="BF"/>
              </w:rPr>
              <w:t xml:space="preserve">2019 m. </w:t>
            </w:r>
            <w:r w:rsidR="00AA2174" w:rsidRPr="00A51A87">
              <w:rPr>
                <w:rFonts w:asciiTheme="minorHAnsi" w:hAnsiTheme="minorHAnsi"/>
                <w:b/>
                <w:color w:val="365F91" w:themeColor="accent1" w:themeShade="BF"/>
              </w:rPr>
              <w:t>vasario 28 d. priimti sprendimus dėl įsigytos įrangos, skirtos 2-am duomenų centrui, talpinimo, taip pat imtis atitinkamų veiksmų, kad artimiausiu metu būtų parengtos eksploatavimui patalpos Kaune arba pasiūlyti Lietuvos Respublikos Vyriausybei alternatyvius sprendimus</w:t>
            </w:r>
            <w:r w:rsidR="002E4FFD">
              <w:rPr>
                <w:rFonts w:asciiTheme="minorHAnsi" w:hAnsiTheme="minorHAnsi"/>
                <w:b/>
                <w:color w:val="365F91" w:themeColor="accent1" w:themeShade="BF"/>
              </w:rPr>
              <w:t>;</w:t>
            </w:r>
          </w:p>
          <w:p w:rsidR="00494658" w:rsidRPr="00A51A87" w:rsidRDefault="002E4FFD" w:rsidP="00FC3DC8">
            <w:pPr>
              <w:jc w:val="both"/>
              <w:rPr>
                <w:rFonts w:asciiTheme="minorHAnsi" w:hAnsiTheme="minorHAnsi"/>
                <w:color w:val="365F91" w:themeColor="accent1" w:themeShade="BF"/>
              </w:rPr>
            </w:pPr>
            <w:r>
              <w:rPr>
                <w:rFonts w:asciiTheme="minorHAnsi" w:hAnsiTheme="minorHAnsi"/>
                <w:b/>
                <w:color w:val="365F91" w:themeColor="accent1" w:themeShade="BF"/>
              </w:rPr>
              <w:t>- Bendradarbiauti su Susisiekimo ministerija apsisprendžiant dėl finansuotinų 2 prioriteto projektų</w:t>
            </w:r>
            <w:r w:rsidR="00FC3DC8">
              <w:rPr>
                <w:rFonts w:asciiTheme="minorHAnsi" w:hAnsiTheme="minorHAnsi"/>
                <w:b/>
                <w:color w:val="365F91" w:themeColor="accent1" w:themeShade="BF"/>
              </w:rPr>
              <w:t>.</w:t>
            </w:r>
          </w:p>
        </w:tc>
      </w:tr>
    </w:tbl>
    <w:p w:rsidR="00B15E2F" w:rsidRDefault="00B15E2F" w:rsidP="00F6099D">
      <w:pPr>
        <w:pStyle w:val="antrat3zz"/>
      </w:pPr>
      <w:bookmarkStart w:id="15" w:name="_Toc1041284"/>
      <w:bookmarkStart w:id="16" w:name="_Toc512504080"/>
      <w:r>
        <w:t>3 prioritetas. Smulkiojo ir vidutinio verslo konkurencingumo skatinimas</w:t>
      </w:r>
      <w:bookmarkEnd w:id="15"/>
    </w:p>
    <w:p w:rsidR="00B80ACF" w:rsidRDefault="002D6E41" w:rsidP="002D6E41">
      <w:pPr>
        <w:pStyle w:val="tekstas"/>
      </w:pPr>
      <w:r w:rsidRPr="002D6E41">
        <w:t xml:space="preserve">Ekonomikos ir inovacijų ministerija sėkmingai investuoja 3 prioritete numatytas ES fondų lėšas. </w:t>
      </w:r>
      <w:r w:rsidR="00B80ACF">
        <w:t xml:space="preserve">Suplanuotos beveik visos lėšos (96 proc.), pasirašytos sutartys dėl 67 proc. prioriteto lėšų, išmokėti 32 proc. lėšų. Metiniai sutarčių ir išmokėjimų planai pasiekti. </w:t>
      </w:r>
    </w:p>
    <w:p w:rsidR="002D6E41" w:rsidRDefault="00EC4CF6" w:rsidP="002D6E41">
      <w:pPr>
        <w:pStyle w:val="tekstas"/>
      </w:pPr>
      <w:r>
        <w:lastRenderedPageBreak/>
        <w:t>P</w:t>
      </w:r>
      <w:r w:rsidR="002D6E41" w:rsidRPr="002D6E41">
        <w:t xml:space="preserve">agal </w:t>
      </w:r>
      <w:proofErr w:type="spellStart"/>
      <w:r w:rsidR="002D6E41" w:rsidRPr="002D6E41">
        <w:t>s</w:t>
      </w:r>
      <w:r>
        <w:t>ubsidines</w:t>
      </w:r>
      <w:proofErr w:type="spellEnd"/>
      <w:r>
        <w:t xml:space="preserve"> priemones yra sudaryta</w:t>
      </w:r>
      <w:r w:rsidR="002D6E41" w:rsidRPr="002D6E41">
        <w:t xml:space="preserve"> sutarčių daugiau nei už 2</w:t>
      </w:r>
      <w:r w:rsidR="002D6E41">
        <w:t>50 mln. eurų. 2018 m. lapkričio–</w:t>
      </w:r>
      <w:r w:rsidR="002D6E41" w:rsidRPr="002D6E41">
        <w:t>gruodžio mėnesiais paskelbti 4 MVĮ skirti kvietimai teikti paraiškas už daugiau nei 6</w:t>
      </w:r>
      <w:r w:rsidR="00B70D15">
        <w:t>2</w:t>
      </w:r>
      <w:r w:rsidR="002D6E41" w:rsidRPr="002D6E41">
        <w:t xml:space="preserve"> mln. eurų.</w:t>
      </w:r>
    </w:p>
    <w:p w:rsidR="009C3C22" w:rsidRDefault="00FA6691" w:rsidP="00F6099D">
      <w:pPr>
        <w:pStyle w:val="antrat3zz"/>
      </w:pPr>
      <w:bookmarkStart w:id="17" w:name="_Toc1041285"/>
      <w:r>
        <w:t>4 prioritetas. Energijos efektyvumo ir atsinaujinančių išteklių energijos gamybos ir naudojimo skatinimas</w:t>
      </w:r>
      <w:bookmarkEnd w:id="16"/>
      <w:bookmarkEnd w:id="17"/>
    </w:p>
    <w:p w:rsidR="00807BF5" w:rsidRPr="00EC4CF6" w:rsidRDefault="00EC4CF6" w:rsidP="00EC4CF6">
      <w:pPr>
        <w:pStyle w:val="tekstas"/>
      </w:pPr>
      <w:r>
        <w:t xml:space="preserve">85 proc. 4 prioriteto lėšų jau suplanuoti, 77 proc. sumai sudarytos sutartys ir 39 proc. išmokėti. </w:t>
      </w:r>
      <w:r w:rsidR="007F1446">
        <w:t>2018 m. s</w:t>
      </w:r>
      <w:r>
        <w:t xml:space="preserve">utarčių ir išmokėjimų planai įvykdyti atitinkamai 63 proc. ir 57 proc. </w:t>
      </w:r>
    </w:p>
    <w:p w:rsidR="00E67366" w:rsidRPr="008B6DBE" w:rsidRDefault="00EC4CF6" w:rsidP="008B6DBE">
      <w:pPr>
        <w:pStyle w:val="tekstas"/>
      </w:pPr>
      <w:r>
        <w:t>Nors bendri skaičiai nerodo ženklaus atsilikimo, lyginant su kitais prioriteta</w:t>
      </w:r>
      <w:r w:rsidR="001930E9">
        <w:t>i</w:t>
      </w:r>
      <w:r>
        <w:t>s, pažymėtina tai, kad Energetikos ministerij</w:t>
      </w:r>
      <w:r w:rsidR="001930E9">
        <w:t>a</w:t>
      </w:r>
      <w:r>
        <w:t xml:space="preserve"> 4 prioriteto ERPF lėšų 2018 m. sutarčių sudarymo ir išmokėjim</w:t>
      </w:r>
      <w:r w:rsidR="00E67366">
        <w:t>o planų neįvykdė.</w:t>
      </w:r>
      <w:r>
        <w:t xml:space="preserve"> </w:t>
      </w:r>
      <w:r w:rsidR="00E67366">
        <w:t>Tokią situaciją lėmė</w:t>
      </w:r>
      <w:r w:rsidR="00926A1D">
        <w:t>:</w:t>
      </w:r>
      <w:r w:rsidR="00457F1A">
        <w:t xml:space="preserve"> užtrukęs nekokybiškų projektinių pasiūlymų vertinimas (didžioji dalis buvo atmesta), kurie buvo </w:t>
      </w:r>
      <w:r w:rsidR="00457F1A" w:rsidRPr="008B6DBE">
        <w:t>teikiami pagal priemonę „Valstybei nuosavybės teise priklausančių pastatų atnaujinimas“, todėl vėlavo vals</w:t>
      </w:r>
      <w:r w:rsidR="00926A1D" w:rsidRPr="008B6DBE">
        <w:t>tybės projektų sąrašo sudarymas;</w:t>
      </w:r>
      <w:r w:rsidR="003A2FE7" w:rsidRPr="008B6DBE">
        <w:t xml:space="preserve"> dėl naujai LR Seimo priimtos Nacionalinės energetinės nepriklausomybės strategijos, Energetikos ministerijai teko papildomai keisti projektų atrankos kriterijus ir projektų finansavimo sąlygų aprašą, kas lėmė vėlesnį kvietimo teikti paraiškas paskelbimą.</w:t>
      </w:r>
    </w:p>
    <w:p w:rsidR="00715BBF" w:rsidRDefault="00715BBF" w:rsidP="00715BBF">
      <w:pPr>
        <w:pStyle w:val="tekstas"/>
      </w:pPr>
      <w:r>
        <w:t xml:space="preserve">Pagal 4 prioriteto (ERPF) Energetikos ministerijos administruojamą priemonę </w:t>
      </w:r>
      <w:r w:rsidRPr="007876D5">
        <w:t>„Valstybei nuosavybės teise prikl</w:t>
      </w:r>
      <w:r>
        <w:t xml:space="preserve">ausančių pastatų atnaujinimas“ patvirtintas valstybės projektų sąrašas </w:t>
      </w:r>
      <w:r w:rsidR="00A51DA9">
        <w:t xml:space="preserve">tik </w:t>
      </w:r>
      <w:r w:rsidR="0084135A">
        <w:t>4,4</w:t>
      </w:r>
      <w:r w:rsidRPr="007876D5">
        <w:t xml:space="preserve"> mln. eurų sumai</w:t>
      </w:r>
      <w:r w:rsidR="00A51DA9">
        <w:t>, tačiau</w:t>
      </w:r>
      <w:r w:rsidRPr="007876D5">
        <w:t xml:space="preserve"> </w:t>
      </w:r>
      <w:r w:rsidR="00926A1D">
        <w:t xml:space="preserve">Energetikos ministerija planuoja </w:t>
      </w:r>
      <w:r>
        <w:t>šios priemonės</w:t>
      </w:r>
      <w:r w:rsidR="00926A1D">
        <w:t xml:space="preserve"> </w:t>
      </w:r>
      <w:r w:rsidR="00676468">
        <w:t xml:space="preserve">lėšas </w:t>
      </w:r>
      <w:r>
        <w:t xml:space="preserve">perkelti į </w:t>
      </w:r>
      <w:r w:rsidR="00926A1D">
        <w:t xml:space="preserve">tęstinės projektų atrankos </w:t>
      </w:r>
      <w:r>
        <w:t>priemonę</w:t>
      </w:r>
      <w:r w:rsidR="00926A1D">
        <w:t xml:space="preserve"> </w:t>
      </w:r>
      <w:r w:rsidRPr="007876D5">
        <w:t>„Valstybei nuosavybės teise priklau</w:t>
      </w:r>
      <w:r>
        <w:t>sančių pastatų atnaujinimas II“</w:t>
      </w:r>
      <w:r w:rsidR="00926A1D">
        <w:t xml:space="preserve">, kur </w:t>
      </w:r>
      <w:r w:rsidR="00543A5B">
        <w:t>paraiškos bus teikiamos nuolat iki 2020 m. pabaigos</w:t>
      </w:r>
      <w:r>
        <w:t>.</w:t>
      </w:r>
      <w:r w:rsidRPr="00AA0042">
        <w:t xml:space="preserve"> </w:t>
      </w:r>
      <w:r>
        <w:t xml:space="preserve">  </w:t>
      </w:r>
    </w:p>
    <w:p w:rsidR="00A51DA9" w:rsidRDefault="00A51DA9" w:rsidP="00A51DA9">
      <w:pPr>
        <w:pStyle w:val="tekstas"/>
      </w:pPr>
      <w:r>
        <w:t xml:space="preserve">Svarbu pažymėti, kad ši </w:t>
      </w:r>
      <w:r w:rsidRPr="00862EE8">
        <w:t xml:space="preserve">2018 m. </w:t>
      </w:r>
      <w:r>
        <w:t>parengta grąžinamosios subsidijos būdu finansuojama priemonė įgyvendinama kartu su finansine priemone. Toks kompleksinis finansavimas sukurtas, siekiant paskatinti viešųjų pastatų valdytojus dalyvauti pastatų atnaujinimo programoje. Be to</w:t>
      </w:r>
      <w:r w:rsidRPr="00862EE8">
        <w:t xml:space="preserve"> </w:t>
      </w:r>
      <w:r>
        <w:t xml:space="preserve">Energetikos ministerijos iniciatyva patikslinta Viešųjų pastatų atnaujinimo programa, kuria </w:t>
      </w:r>
      <w:r w:rsidRPr="00862EE8">
        <w:t>ministerij</w:t>
      </w:r>
      <w:r>
        <w:t>o</w:t>
      </w:r>
      <w:r w:rsidRPr="00862EE8">
        <w:t>s įpareigo</w:t>
      </w:r>
      <w:r>
        <w:t xml:space="preserve">tos </w:t>
      </w:r>
      <w:r w:rsidRPr="00862EE8">
        <w:t>suinventorizuoti jų</w:t>
      </w:r>
      <w:r>
        <w:t xml:space="preserve"> </w:t>
      </w:r>
      <w:r w:rsidRPr="00862EE8">
        <w:t>valdom</w:t>
      </w:r>
      <w:r>
        <w:t>us</w:t>
      </w:r>
      <w:r w:rsidRPr="00862EE8">
        <w:t xml:space="preserve"> pastat</w:t>
      </w:r>
      <w:r>
        <w:t>us</w:t>
      </w:r>
      <w:r w:rsidRPr="00862EE8">
        <w:t xml:space="preserve"> ir pateikti sprendimus dėl planuojamų atnaujinti pas</w:t>
      </w:r>
      <w:r>
        <w:t>tatų plotų. Tačiau V</w:t>
      </w:r>
      <w:r w:rsidRPr="00862EE8">
        <w:t xml:space="preserve">iešųjų pastatų </w:t>
      </w:r>
      <w:r>
        <w:t xml:space="preserve">energetinio efektyvumo didinimo programos (įgyvendinimo pradžia – 2015 m. vasaris) įgyvendinimas išlieka lėtas. Yra rizika neįgyvendinti Direktyvos 2012/27/EU reikalavimo iki 2020 m. renovuoti 3 proc. centrinės valdžios pastatų ir gauti baudą už įsipareigojimų nevykdymą. Atsižvelgiant į tai, 2019 m. Energetikos ministerijai būtina imtis papildomų priemonių, kad būtų užtikrintas projektų srautas ir būtų sparčiai teikiamos paraiškos VIPA dėl projektų finansavimo pagal Energijos efektyvumo didinimo fondą. </w:t>
      </w:r>
    </w:p>
    <w:p w:rsidR="00715BBF" w:rsidRDefault="00715BBF" w:rsidP="00715BBF">
      <w:pPr>
        <w:pStyle w:val="tekstas"/>
      </w:pPr>
      <w:r w:rsidRPr="00AA0042">
        <w:t>Energetikos ministerija</w:t>
      </w:r>
      <w:r>
        <w:t xml:space="preserve"> peržiūrėjo</w:t>
      </w:r>
      <w:r w:rsidRPr="00AA0042">
        <w:t xml:space="preserve"> 4 prioriteto </w:t>
      </w:r>
      <w:proofErr w:type="spellStart"/>
      <w:r w:rsidRPr="007E21B7">
        <w:rPr>
          <w:i/>
        </w:rPr>
        <w:t>SaF</w:t>
      </w:r>
      <w:proofErr w:type="spellEnd"/>
      <w:r w:rsidRPr="00AA0042">
        <w:t xml:space="preserve"> </w:t>
      </w:r>
      <w:r>
        <w:t xml:space="preserve">lėšomis įgyvendinamas priemones: </w:t>
      </w:r>
      <w:r w:rsidRPr="00AA0042">
        <w:t>d</w:t>
      </w:r>
      <w:r>
        <w:t xml:space="preserve">alį nesuplanuotų lėšų perskirstė tarp ministerijos priemonių bei dalį skyrė </w:t>
      </w:r>
      <w:r w:rsidRPr="00AA0042">
        <w:t>pagal 5 prioritetą Aplinkos ministerijos planuojamam įgyvendinti Maišiagalos radioaktyviųjų atliekų saugyklos projektui</w:t>
      </w:r>
      <w:r w:rsidR="00A51DA9">
        <w:t xml:space="preserve"> ir Susisiekimo ministerijai</w:t>
      </w:r>
      <w:r w:rsidRPr="00AA0042">
        <w:t xml:space="preserve">. </w:t>
      </w:r>
      <w:r>
        <w:t>Tačiau išlieka rizika, k</w:t>
      </w:r>
      <w:r w:rsidRPr="00851FCB">
        <w:t>ad vėlu</w:t>
      </w:r>
      <w:r>
        <w:t xml:space="preserve">os investicijos į biokuro panaudojimo ir nedidelės galios biokuro </w:t>
      </w:r>
      <w:proofErr w:type="spellStart"/>
      <w:r>
        <w:t>kogeneracijos</w:t>
      </w:r>
      <w:proofErr w:type="spellEnd"/>
      <w:r>
        <w:t xml:space="preserve"> skatinimą bei biokurą naudojančių šilumos gamybos įrenginių keitimą, kadangi šias investicijas įgyvendinančios konkursinės priemonės </w:t>
      </w:r>
      <w:r w:rsidR="00D20F75">
        <w:t>nesulaukė pareiškėjų susidomėjimo</w:t>
      </w:r>
      <w:r>
        <w:t>, pateikta paraiškų už mažesnę sumą nei skelbti kvietimai. Todėl Energetikos ministerijai svarbu peržiūrėti priemonių finansavimo sąlygas, jas tikslinti arba perskirstyti lėšas tarp priemonių.</w:t>
      </w:r>
    </w:p>
    <w:p w:rsidR="00715BBF" w:rsidRDefault="00715BBF" w:rsidP="00715BBF">
      <w:pPr>
        <w:pStyle w:val="tekstas"/>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100C9D" w:rsidTr="00494658">
        <w:trPr>
          <w:trHeight w:val="567"/>
        </w:trPr>
        <w:tc>
          <w:tcPr>
            <w:tcW w:w="9638" w:type="dxa"/>
            <w:tcBorders>
              <w:top w:val="nil"/>
              <w:left w:val="nil"/>
              <w:bottom w:val="nil"/>
              <w:right w:val="nil"/>
            </w:tcBorders>
            <w:shd w:val="clear" w:color="auto" w:fill="D9D9D9" w:themeFill="background1" w:themeFillShade="D9"/>
          </w:tcPr>
          <w:p w:rsidR="00715BBF" w:rsidRPr="00E434E9" w:rsidRDefault="00715BBF" w:rsidP="00715BBF">
            <w:pPr>
              <w:rPr>
                <w:rFonts w:ascii="Calibri" w:hAnsi="Calibri"/>
                <w:b/>
                <w:color w:val="365F91" w:themeColor="accent1" w:themeShade="BF"/>
                <w:szCs w:val="24"/>
              </w:rPr>
            </w:pPr>
            <w:r>
              <w:rPr>
                <w:rFonts w:ascii="Calibri" w:hAnsi="Calibri"/>
                <w:b/>
                <w:color w:val="365F91" w:themeColor="accent1" w:themeShade="BF"/>
                <w:szCs w:val="24"/>
              </w:rPr>
              <w:t>Siūlymas Energetikos ministerijai</w:t>
            </w:r>
            <w:r w:rsidRPr="00E434E9">
              <w:rPr>
                <w:rFonts w:ascii="Calibri" w:hAnsi="Calibri"/>
                <w:b/>
                <w:color w:val="365F91" w:themeColor="accent1" w:themeShade="BF"/>
                <w:szCs w:val="24"/>
              </w:rPr>
              <w:t>:</w:t>
            </w:r>
          </w:p>
          <w:p w:rsidR="00715BBF" w:rsidRDefault="00715BBF" w:rsidP="00715BBF">
            <w:pPr>
              <w:jc w:val="both"/>
              <w:rPr>
                <w:rFonts w:asciiTheme="minorHAnsi" w:hAnsiTheme="minorHAnsi"/>
                <w:b/>
                <w:color w:val="365F91" w:themeColor="accent1" w:themeShade="BF"/>
              </w:rPr>
            </w:pPr>
            <w:r>
              <w:rPr>
                <w:rFonts w:asciiTheme="minorHAnsi" w:hAnsiTheme="minorHAnsi"/>
                <w:b/>
                <w:color w:val="365F91" w:themeColor="accent1" w:themeShade="BF"/>
              </w:rPr>
              <w:t xml:space="preserve">- Iki 2019 m. </w:t>
            </w:r>
            <w:r w:rsidR="00D20F75">
              <w:rPr>
                <w:rFonts w:asciiTheme="minorHAnsi" w:hAnsiTheme="minorHAnsi"/>
                <w:b/>
                <w:color w:val="365F91" w:themeColor="accent1" w:themeShade="BF"/>
              </w:rPr>
              <w:t xml:space="preserve">kovo </w:t>
            </w:r>
            <w:r w:rsidR="00AD2DDC">
              <w:rPr>
                <w:rFonts w:asciiTheme="minorHAnsi" w:hAnsiTheme="minorHAnsi"/>
                <w:b/>
                <w:color w:val="365F91" w:themeColor="accent1" w:themeShade="BF"/>
              </w:rPr>
              <w:t>31</w:t>
            </w:r>
            <w:r>
              <w:rPr>
                <w:rFonts w:asciiTheme="minorHAnsi" w:hAnsiTheme="minorHAnsi"/>
                <w:b/>
                <w:color w:val="365F91" w:themeColor="accent1" w:themeShade="BF"/>
              </w:rPr>
              <w:t xml:space="preserve"> d.</w:t>
            </w:r>
            <w:r w:rsidRPr="00100C9D">
              <w:rPr>
                <w:rFonts w:asciiTheme="minorHAnsi" w:hAnsiTheme="minorHAnsi"/>
                <w:b/>
                <w:color w:val="365F91" w:themeColor="accent1" w:themeShade="BF"/>
              </w:rPr>
              <w:t xml:space="preserve"> </w:t>
            </w:r>
            <w:r>
              <w:rPr>
                <w:rFonts w:asciiTheme="minorHAnsi" w:hAnsiTheme="minorHAnsi"/>
                <w:b/>
                <w:color w:val="365F91" w:themeColor="accent1" w:themeShade="BF"/>
              </w:rPr>
              <w:t xml:space="preserve">perkelti priemonės </w:t>
            </w:r>
            <w:r w:rsidRPr="008D794E">
              <w:rPr>
                <w:rFonts w:asciiTheme="minorHAnsi" w:hAnsiTheme="minorHAnsi"/>
                <w:b/>
                <w:color w:val="365F91" w:themeColor="accent1" w:themeShade="BF"/>
              </w:rPr>
              <w:t>„Valstybei nuosavybės teise priklausančių pastatų atnaujinimas“</w:t>
            </w:r>
            <w:r>
              <w:rPr>
                <w:rFonts w:asciiTheme="minorHAnsi" w:hAnsiTheme="minorHAnsi"/>
                <w:b/>
                <w:color w:val="365F91" w:themeColor="accent1" w:themeShade="BF"/>
              </w:rPr>
              <w:t xml:space="preserve"> likusią lėšų sumą į </w:t>
            </w:r>
            <w:r w:rsidR="00543A5B">
              <w:rPr>
                <w:rFonts w:asciiTheme="minorHAnsi" w:hAnsiTheme="minorHAnsi"/>
                <w:b/>
                <w:color w:val="365F91" w:themeColor="accent1" w:themeShade="BF"/>
              </w:rPr>
              <w:t xml:space="preserve">tęstinės projektų atrankos </w:t>
            </w:r>
            <w:r>
              <w:rPr>
                <w:rFonts w:asciiTheme="minorHAnsi" w:hAnsiTheme="minorHAnsi"/>
                <w:b/>
                <w:color w:val="365F91" w:themeColor="accent1" w:themeShade="BF"/>
              </w:rPr>
              <w:t xml:space="preserve">priemonę </w:t>
            </w:r>
            <w:r w:rsidRPr="00100C9D">
              <w:rPr>
                <w:rFonts w:asciiTheme="minorHAnsi" w:hAnsiTheme="minorHAnsi"/>
                <w:b/>
                <w:color w:val="365F91" w:themeColor="accent1" w:themeShade="BF"/>
              </w:rPr>
              <w:t>„Valstybei nuosavybės teise priklausančių pastatų atnaujinimas</w:t>
            </w:r>
            <w:r>
              <w:rPr>
                <w:rFonts w:asciiTheme="minorHAnsi" w:hAnsiTheme="minorHAnsi"/>
                <w:b/>
                <w:color w:val="365F91" w:themeColor="accent1" w:themeShade="BF"/>
              </w:rPr>
              <w:t xml:space="preserve"> II“</w:t>
            </w:r>
            <w:r w:rsidR="00543A5B">
              <w:rPr>
                <w:rFonts w:asciiTheme="minorHAnsi" w:hAnsiTheme="minorHAnsi"/>
                <w:b/>
                <w:color w:val="365F91" w:themeColor="accent1" w:themeShade="BF"/>
              </w:rPr>
              <w:t xml:space="preserve"> arba perskirstyti kitoms veikloms</w:t>
            </w:r>
            <w:r w:rsidRPr="00100C9D">
              <w:rPr>
                <w:rFonts w:asciiTheme="minorHAnsi" w:hAnsiTheme="minorHAnsi"/>
                <w:b/>
                <w:color w:val="365F91" w:themeColor="accent1" w:themeShade="BF"/>
              </w:rPr>
              <w:t xml:space="preserve">. </w:t>
            </w:r>
          </w:p>
          <w:p w:rsidR="00100C9D" w:rsidRDefault="00715BBF" w:rsidP="00D20F75">
            <w:pPr>
              <w:jc w:val="both"/>
              <w:rPr>
                <w:rFonts w:asciiTheme="minorHAnsi" w:hAnsiTheme="minorHAnsi"/>
                <w:b/>
                <w:color w:val="365F91" w:themeColor="accent1" w:themeShade="BF"/>
              </w:rPr>
            </w:pPr>
            <w:r>
              <w:rPr>
                <w:rFonts w:asciiTheme="minorHAnsi" w:hAnsiTheme="minorHAnsi"/>
                <w:b/>
                <w:color w:val="365F91" w:themeColor="accent1" w:themeShade="BF"/>
              </w:rPr>
              <w:t xml:space="preserve">- Iki 2019 m. </w:t>
            </w:r>
            <w:r w:rsidR="00A51DA9">
              <w:rPr>
                <w:rFonts w:asciiTheme="minorHAnsi" w:hAnsiTheme="minorHAnsi"/>
                <w:b/>
                <w:color w:val="365F91" w:themeColor="accent1" w:themeShade="BF"/>
              </w:rPr>
              <w:t>liepos</w:t>
            </w:r>
            <w:r>
              <w:rPr>
                <w:rFonts w:asciiTheme="minorHAnsi" w:hAnsiTheme="minorHAnsi"/>
                <w:b/>
                <w:color w:val="365F91" w:themeColor="accent1" w:themeShade="BF"/>
              </w:rPr>
              <w:t xml:space="preserve"> 3</w:t>
            </w:r>
            <w:r w:rsidR="00AD2DDC">
              <w:rPr>
                <w:rFonts w:asciiTheme="minorHAnsi" w:hAnsiTheme="minorHAnsi"/>
                <w:b/>
                <w:color w:val="365F91" w:themeColor="accent1" w:themeShade="BF"/>
              </w:rPr>
              <w:t>1</w:t>
            </w:r>
            <w:r>
              <w:rPr>
                <w:rFonts w:asciiTheme="minorHAnsi" w:hAnsiTheme="minorHAnsi"/>
                <w:b/>
                <w:color w:val="365F91" w:themeColor="accent1" w:themeShade="BF"/>
              </w:rPr>
              <w:t xml:space="preserve"> d. peržiūrėti </w:t>
            </w:r>
            <w:r w:rsidRPr="00976E22">
              <w:rPr>
                <w:rFonts w:asciiTheme="minorHAnsi" w:hAnsiTheme="minorHAnsi"/>
                <w:b/>
                <w:color w:val="365F91" w:themeColor="accent1" w:themeShade="BF"/>
              </w:rPr>
              <w:t>biokuro panaudojimo ir nedidelės galios</w:t>
            </w:r>
            <w:r>
              <w:rPr>
                <w:rFonts w:asciiTheme="minorHAnsi" w:hAnsiTheme="minorHAnsi"/>
                <w:b/>
                <w:color w:val="365F91" w:themeColor="accent1" w:themeShade="BF"/>
              </w:rPr>
              <w:t xml:space="preserve"> biokuro </w:t>
            </w:r>
            <w:proofErr w:type="spellStart"/>
            <w:r>
              <w:rPr>
                <w:rFonts w:asciiTheme="minorHAnsi" w:hAnsiTheme="minorHAnsi"/>
                <w:b/>
                <w:color w:val="365F91" w:themeColor="accent1" w:themeShade="BF"/>
              </w:rPr>
              <w:lastRenderedPageBreak/>
              <w:t>kogeneracijos</w:t>
            </w:r>
            <w:proofErr w:type="spellEnd"/>
            <w:r>
              <w:rPr>
                <w:rFonts w:asciiTheme="minorHAnsi" w:hAnsiTheme="minorHAnsi"/>
                <w:b/>
                <w:color w:val="365F91" w:themeColor="accent1" w:themeShade="BF"/>
              </w:rPr>
              <w:t xml:space="preserve"> skatinimo</w:t>
            </w:r>
            <w:r w:rsidRPr="00976E22">
              <w:rPr>
                <w:rFonts w:asciiTheme="minorHAnsi" w:hAnsiTheme="minorHAnsi"/>
                <w:b/>
                <w:color w:val="365F91" w:themeColor="accent1" w:themeShade="BF"/>
              </w:rPr>
              <w:t xml:space="preserve"> bei biokurą naudojančių š</w:t>
            </w:r>
            <w:r>
              <w:rPr>
                <w:rFonts w:asciiTheme="minorHAnsi" w:hAnsiTheme="minorHAnsi"/>
                <w:b/>
                <w:color w:val="365F91" w:themeColor="accent1" w:themeShade="BF"/>
              </w:rPr>
              <w:t>ilumos gamybos įrenginių keitimo</w:t>
            </w:r>
            <w:r w:rsidRPr="00976E22">
              <w:rPr>
                <w:rFonts w:asciiTheme="minorHAnsi" w:hAnsiTheme="minorHAnsi"/>
                <w:b/>
                <w:color w:val="365F91" w:themeColor="accent1" w:themeShade="BF"/>
              </w:rPr>
              <w:t xml:space="preserve"> </w:t>
            </w:r>
            <w:r>
              <w:rPr>
                <w:rFonts w:asciiTheme="minorHAnsi" w:hAnsiTheme="minorHAnsi"/>
                <w:b/>
                <w:color w:val="365F91" w:themeColor="accent1" w:themeShade="BF"/>
              </w:rPr>
              <w:t xml:space="preserve">konkursines priemones, jei reikia tikslinti finansavimo sąlygas arba </w:t>
            </w:r>
            <w:r w:rsidRPr="00976E22">
              <w:rPr>
                <w:rFonts w:asciiTheme="minorHAnsi" w:hAnsiTheme="minorHAnsi"/>
                <w:b/>
                <w:color w:val="365F91" w:themeColor="accent1" w:themeShade="BF"/>
              </w:rPr>
              <w:t>perskirstyti lėšas tarp priemonių</w:t>
            </w:r>
            <w:r>
              <w:rPr>
                <w:rFonts w:asciiTheme="minorHAnsi" w:hAnsiTheme="minorHAnsi"/>
                <w:b/>
                <w:color w:val="365F91" w:themeColor="accent1" w:themeShade="BF"/>
              </w:rPr>
              <w:t>.</w:t>
            </w:r>
          </w:p>
          <w:p w:rsidR="001726AE" w:rsidRDefault="001726AE" w:rsidP="00D20F75">
            <w:pPr>
              <w:jc w:val="both"/>
              <w:rPr>
                <w:rFonts w:asciiTheme="minorHAnsi" w:hAnsiTheme="minorHAnsi"/>
                <w:b/>
                <w:color w:val="365F91" w:themeColor="accent1" w:themeShade="BF"/>
              </w:rPr>
            </w:pPr>
            <w:r>
              <w:rPr>
                <w:rFonts w:asciiTheme="minorHAnsi" w:hAnsiTheme="minorHAnsi"/>
                <w:b/>
                <w:color w:val="365F91" w:themeColor="accent1" w:themeShade="BF"/>
              </w:rPr>
              <w:t xml:space="preserve">- </w:t>
            </w:r>
            <w:r w:rsidRPr="001726AE">
              <w:rPr>
                <w:rFonts w:asciiTheme="minorHAnsi" w:hAnsiTheme="minorHAnsi"/>
                <w:b/>
                <w:color w:val="365F91" w:themeColor="accent1" w:themeShade="BF"/>
              </w:rPr>
              <w:t xml:space="preserve">Kas ketvirtį atsiskaityti </w:t>
            </w:r>
            <w:r>
              <w:rPr>
                <w:rFonts w:asciiTheme="minorHAnsi" w:hAnsiTheme="minorHAnsi"/>
                <w:b/>
                <w:color w:val="365F91" w:themeColor="accent1" w:themeShade="BF"/>
              </w:rPr>
              <w:t>Vyriausybei</w:t>
            </w:r>
            <w:r w:rsidRPr="001726AE">
              <w:rPr>
                <w:rFonts w:asciiTheme="minorHAnsi" w:hAnsiTheme="minorHAnsi"/>
                <w:b/>
                <w:color w:val="365F91" w:themeColor="accent1" w:themeShade="BF"/>
              </w:rPr>
              <w:t xml:space="preserve"> dėl Viešųjų pastatų energetinio efektyvumo didinimo programos įgyvendinimo pažangos.</w:t>
            </w:r>
          </w:p>
          <w:p w:rsidR="001726AE" w:rsidRPr="000930DD" w:rsidRDefault="001726AE" w:rsidP="001726AE">
            <w:pPr>
              <w:jc w:val="both"/>
              <w:rPr>
                <w:rFonts w:asciiTheme="minorHAnsi" w:hAnsiTheme="minorHAnsi"/>
                <w:b/>
                <w:color w:val="365F91" w:themeColor="accent1" w:themeShade="BF"/>
              </w:rPr>
            </w:pPr>
            <w:r>
              <w:rPr>
                <w:rFonts w:asciiTheme="minorHAnsi" w:hAnsiTheme="minorHAnsi"/>
                <w:b/>
                <w:color w:val="365F91" w:themeColor="accent1" w:themeShade="BF"/>
              </w:rPr>
              <w:t>- V</w:t>
            </w:r>
            <w:r w:rsidRPr="001726AE">
              <w:rPr>
                <w:rFonts w:asciiTheme="minorHAnsi" w:hAnsiTheme="minorHAnsi"/>
                <w:b/>
                <w:color w:val="365F91" w:themeColor="accent1" w:themeShade="BF"/>
              </w:rPr>
              <w:t xml:space="preserve">ykdyti stebėseną ir įvertinus įpareigojimų įgyvendinimą dėl </w:t>
            </w:r>
            <w:r>
              <w:rPr>
                <w:rFonts w:asciiTheme="minorHAnsi" w:hAnsiTheme="minorHAnsi"/>
                <w:b/>
                <w:color w:val="365F91" w:themeColor="accent1" w:themeShade="BF"/>
              </w:rPr>
              <w:t>V</w:t>
            </w:r>
            <w:r w:rsidRPr="001726AE">
              <w:rPr>
                <w:rFonts w:asciiTheme="minorHAnsi" w:hAnsiTheme="minorHAnsi"/>
                <w:b/>
                <w:color w:val="365F91" w:themeColor="accent1" w:themeShade="BF"/>
              </w:rPr>
              <w:t xml:space="preserve">iešųjų pastatų energetinio efektyvumo didinimo programos įgyvendinimo teikti išvadas </w:t>
            </w:r>
            <w:r>
              <w:rPr>
                <w:rFonts w:asciiTheme="minorHAnsi" w:hAnsiTheme="minorHAnsi"/>
                <w:b/>
                <w:color w:val="365F91" w:themeColor="accent1" w:themeShade="BF"/>
              </w:rPr>
              <w:t>Finansų ministerijai</w:t>
            </w:r>
            <w:r w:rsidRPr="001726AE">
              <w:rPr>
                <w:rFonts w:asciiTheme="minorHAnsi" w:hAnsiTheme="minorHAnsi"/>
                <w:b/>
                <w:color w:val="365F91" w:themeColor="accent1" w:themeShade="BF"/>
              </w:rPr>
              <w:t>, pateikiant informaciją apie metinius ministerijų įsipareigojimus bei jų vykdymą/nevykdymą</w:t>
            </w:r>
            <w:r>
              <w:rPr>
                <w:rStyle w:val="Puslapioinaosnuoroda"/>
                <w:rFonts w:asciiTheme="minorHAnsi" w:hAnsiTheme="minorHAnsi"/>
                <w:b/>
                <w:color w:val="365F91" w:themeColor="accent1" w:themeShade="BF"/>
              </w:rPr>
              <w:footnoteReference w:id="2"/>
            </w:r>
            <w:r w:rsidR="005F3538">
              <w:rPr>
                <w:rFonts w:asciiTheme="minorHAnsi" w:hAnsiTheme="minorHAnsi"/>
                <w:b/>
                <w:color w:val="365F91" w:themeColor="accent1" w:themeShade="BF"/>
              </w:rPr>
              <w:t>.</w:t>
            </w:r>
          </w:p>
        </w:tc>
      </w:tr>
    </w:tbl>
    <w:p w:rsidR="00EA6128" w:rsidRDefault="0025111E" w:rsidP="0025111E">
      <w:pPr>
        <w:pStyle w:val="antrat3zz"/>
      </w:pPr>
      <w:bookmarkStart w:id="18" w:name="_Toc512504081"/>
      <w:bookmarkStart w:id="19" w:name="_Toc1041286"/>
      <w:r>
        <w:lastRenderedPageBreak/>
        <w:t>5 prioritetas. Aplinkosauga, gamtos išteklių darnus naudojimas ir prisitaikymas prie klimato kaitos</w:t>
      </w:r>
      <w:bookmarkEnd w:id="18"/>
      <w:bookmarkEnd w:id="19"/>
    </w:p>
    <w:p w:rsidR="00E67366" w:rsidRPr="00E67366" w:rsidRDefault="006F780E" w:rsidP="00E67366">
      <w:pPr>
        <w:pStyle w:val="tekstas"/>
      </w:pPr>
      <w:bookmarkStart w:id="20" w:name="_Toc512504083"/>
      <w:r>
        <w:t xml:space="preserve">Iki 2018 m. pab. </w:t>
      </w:r>
      <w:r w:rsidR="00E67366">
        <w:t>82 proc. 5</w:t>
      </w:r>
      <w:r w:rsidR="00E67366" w:rsidRPr="00E67366">
        <w:t xml:space="preserve"> pr</w:t>
      </w:r>
      <w:r w:rsidR="00E67366">
        <w:t>ioriteto lėšų jau suplanuot</w:t>
      </w:r>
      <w:r>
        <w:t>os</w:t>
      </w:r>
      <w:r w:rsidR="00E67366">
        <w:t>, 70</w:t>
      </w:r>
      <w:r w:rsidR="00E67366" w:rsidRPr="00E67366">
        <w:t xml:space="preserve"> proc</w:t>
      </w:r>
      <w:r w:rsidR="00E67366">
        <w:t>. sumai sudarytos sutartys ir 26</w:t>
      </w:r>
      <w:r w:rsidR="007F1446">
        <w:t xml:space="preserve"> proc.</w:t>
      </w:r>
      <w:r w:rsidR="007308A8">
        <w:t xml:space="preserve"> lėšų</w:t>
      </w:r>
      <w:r w:rsidR="007F1446">
        <w:t xml:space="preserve"> išmokėti. 2018 m. s</w:t>
      </w:r>
      <w:r w:rsidR="00E67366" w:rsidRPr="00E67366">
        <w:t>utarčių ir išmokėjimų planai įvy</w:t>
      </w:r>
      <w:r w:rsidR="00E67366">
        <w:t>kdyti atitinkamai 63 proc. ir 66</w:t>
      </w:r>
      <w:r w:rsidR="00E67366" w:rsidRPr="00E67366">
        <w:t xml:space="preserve"> proc.</w:t>
      </w:r>
    </w:p>
    <w:p w:rsidR="00885C39" w:rsidRDefault="008B54B0" w:rsidP="000635ED">
      <w:pPr>
        <w:pStyle w:val="tekstas"/>
      </w:pPr>
      <w:r w:rsidRPr="00271AD1">
        <w:t xml:space="preserve">Kultūros ministerija jau įgyvendina visas priemones, kuriomis siekiama padidinti kultūros paveldo aktualumą, lankomumą ir žinomumą. ES investicijų lėšų panaudojimas kultūros sektoriuje iki 2018 m. pabaigos buvo nepakankamas ir </w:t>
      </w:r>
      <w:r>
        <w:t xml:space="preserve">dėl to buvo kilusi reali rizika nepasiekti </w:t>
      </w:r>
      <w:r w:rsidRPr="00271AD1">
        <w:t>viso 5 prioriteto finansi</w:t>
      </w:r>
      <w:r w:rsidR="00885C39">
        <w:t>nio veiklos peržiūros rodiklio, tačiau r</w:t>
      </w:r>
      <w:r>
        <w:t>odiklio minimali reikšm</w:t>
      </w:r>
      <w:r w:rsidR="000165E2">
        <w:t>ė buvo pasiekta metų pabaigoje</w:t>
      </w:r>
      <w:r>
        <w:t>.</w:t>
      </w:r>
    </w:p>
    <w:p w:rsidR="008B54B0" w:rsidRDefault="008B54B0" w:rsidP="000635ED">
      <w:pPr>
        <w:pStyle w:val="tekstas"/>
      </w:pPr>
      <w:r>
        <w:t xml:space="preserve"> L</w:t>
      </w:r>
      <w:r w:rsidRPr="00271AD1">
        <w:t>ė</w:t>
      </w:r>
      <w:r w:rsidR="006F780E">
        <w:t>tus</w:t>
      </w:r>
      <w:r w:rsidRPr="00271AD1">
        <w:t xml:space="preserve"> lėšų panaudojim</w:t>
      </w:r>
      <w:r w:rsidR="006F780E">
        <w:t>o tempus</w:t>
      </w:r>
      <w:r w:rsidRPr="00271AD1">
        <w:t xml:space="preserve"> lėmė </w:t>
      </w:r>
      <w:r w:rsidR="00AE1715">
        <w:t xml:space="preserve">ilgas </w:t>
      </w:r>
      <w:r>
        <w:t xml:space="preserve">valstybės projektų </w:t>
      </w:r>
      <w:r w:rsidR="00AE1715">
        <w:t xml:space="preserve">pasirengimo įgyvendinti veiklas laikotarpis </w:t>
      </w:r>
      <w:r w:rsidRPr="00271AD1">
        <w:t xml:space="preserve">(paveldo tyrimai, </w:t>
      </w:r>
      <w:r w:rsidR="00AE1715">
        <w:t xml:space="preserve">užsitęsęs </w:t>
      </w:r>
      <w:r w:rsidRPr="00271AD1">
        <w:t>projektavimas, teismai, projektų pabrangimas</w:t>
      </w:r>
      <w:r>
        <w:t xml:space="preserve"> po projektavimo ir viešųjų pirkimų</w:t>
      </w:r>
      <w:r w:rsidRPr="00271AD1">
        <w:t>)</w:t>
      </w:r>
      <w:r>
        <w:t>,</w:t>
      </w:r>
      <w:r w:rsidRPr="00271AD1">
        <w:t xml:space="preserve"> dažnai nukeliami </w:t>
      </w:r>
      <w:r>
        <w:t xml:space="preserve">regionų projektų </w:t>
      </w:r>
      <w:r w:rsidRPr="00271AD1">
        <w:t>paraiškų pateikimo terminai</w:t>
      </w:r>
      <w:r>
        <w:t xml:space="preserve">. </w:t>
      </w:r>
      <w:r w:rsidRPr="00271AD1">
        <w:t xml:space="preserve">Konkursinė kultūros paveldo priemonė turėjo būti įgyvendinama kartu su kultūros paveldo finansine priemone, tačiau finansiniams tarpininkams (bankams) kultūros paveldo sektorius pasirodė per daug rizikingas ir sutartis su atrinktu banku AB „Šiaulių bankas“ buvo pasirašyta tik 2018 m. gruodžio mėn. </w:t>
      </w:r>
      <w:r w:rsidR="00A80B97" w:rsidRPr="00A80B97">
        <w:t>Konkursinė kultūros paveldo priemonė buvo pradėta vykdyti be finansinės priemonės, tačiau dėl taik</w:t>
      </w:r>
      <w:r w:rsidR="00AE1715">
        <w:t>omų</w:t>
      </w:r>
      <w:r w:rsidR="00A80B97" w:rsidRPr="00A80B97">
        <w:t xml:space="preserve"> apribojimų nesulaukė planuoto susidomėjimo ir kokybiškų paraiškų, todėl projektams liko nepaskirta apie 19,7 mln. eurų ES lėšų (iš šiai pr</w:t>
      </w:r>
      <w:r w:rsidR="00A80B97">
        <w:t>iemonei skirtų 29,4 mln. eurų)</w:t>
      </w:r>
      <w:r w:rsidRPr="00271AD1">
        <w:t xml:space="preserve">. </w:t>
      </w:r>
    </w:p>
    <w:p w:rsidR="008B54B0" w:rsidRDefault="008B54B0" w:rsidP="000635ED">
      <w:pPr>
        <w:pStyle w:val="tekstas"/>
      </w:pPr>
      <w:r w:rsidRPr="00271AD1">
        <w:t>Kultūros ministerija</w:t>
      </w:r>
      <w:r>
        <w:t>,</w:t>
      </w:r>
      <w:r w:rsidRPr="00271AD1">
        <w:t xml:space="preserve"> įvertin</w:t>
      </w:r>
      <w:r>
        <w:t>usi</w:t>
      </w:r>
      <w:r w:rsidRPr="00271AD1">
        <w:t xml:space="preserve"> </w:t>
      </w:r>
      <w:r>
        <w:t xml:space="preserve">po pasibaigusių </w:t>
      </w:r>
      <w:r w:rsidRPr="00271AD1">
        <w:t xml:space="preserve">kvietimų </w:t>
      </w:r>
      <w:r>
        <w:t>likusias</w:t>
      </w:r>
      <w:r w:rsidRPr="00271AD1">
        <w:t xml:space="preserve"> lėšas</w:t>
      </w:r>
      <w:r>
        <w:t>,</w:t>
      </w:r>
      <w:r w:rsidRPr="00271AD1">
        <w:t xml:space="preserve"> </w:t>
      </w:r>
      <w:r>
        <w:t>lėšų rezervą ir rengiamą veiksmų programos pakeitimą (</w:t>
      </w:r>
      <w:r w:rsidRPr="00271AD1">
        <w:t xml:space="preserve">Kultūros ministerijai </w:t>
      </w:r>
      <w:r>
        <w:t>5 prioritete skirtos ES lėšos</w:t>
      </w:r>
      <w:r w:rsidRPr="00271AD1">
        <w:t xml:space="preserve"> </w:t>
      </w:r>
      <w:r>
        <w:t xml:space="preserve">mažinamos </w:t>
      </w:r>
      <w:r w:rsidRPr="00271AD1">
        <w:t>6,1</w:t>
      </w:r>
      <w:r>
        <w:t xml:space="preserve"> mln. eurų), taip pat lėšų poreikį kitiems projektams, artimiausiu metu </w:t>
      </w:r>
      <w:r w:rsidRPr="00271AD1">
        <w:t>turi priimti sprendim</w:t>
      </w:r>
      <w:r>
        <w:t>us</w:t>
      </w:r>
      <w:r w:rsidRPr="00271AD1">
        <w:t xml:space="preserve"> dėl </w:t>
      </w:r>
      <w:r>
        <w:t>nesuplanuotų</w:t>
      </w:r>
      <w:r w:rsidRPr="00271AD1">
        <w:t xml:space="preserve"> ES lėšų perskirstymo ir taip paspartinti kitų projektų įgyvendinimą. </w:t>
      </w:r>
      <w:r>
        <w:t>Taip pat būtina įvertinti šiuo metu planuojamų ar įgyvendinamų projektų riziką ir laiku imtis priemonių, kad projektai galėtų būti laiku įgyvendinti.</w:t>
      </w:r>
    </w:p>
    <w:p w:rsidR="008B54B0" w:rsidRPr="00BA3E9D" w:rsidRDefault="008B54B0" w:rsidP="008B54B0">
      <w:pPr>
        <w:pStyle w:val="tekstas"/>
        <w:rPr>
          <w:b/>
        </w:rPr>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8B54B0" w:rsidTr="005331E3">
        <w:trPr>
          <w:trHeight w:val="422"/>
        </w:trPr>
        <w:tc>
          <w:tcPr>
            <w:tcW w:w="9638" w:type="dxa"/>
            <w:tcBorders>
              <w:top w:val="nil"/>
              <w:left w:val="nil"/>
              <w:bottom w:val="nil"/>
              <w:right w:val="nil"/>
            </w:tcBorders>
            <w:shd w:val="clear" w:color="auto" w:fill="D9D9D9" w:themeFill="background1" w:themeFillShade="D9"/>
          </w:tcPr>
          <w:p w:rsidR="008B54B0" w:rsidRDefault="008B54B0" w:rsidP="005331E3">
            <w:pPr>
              <w:jc w:val="both"/>
              <w:rPr>
                <w:rFonts w:asciiTheme="minorHAnsi" w:hAnsiTheme="minorHAnsi"/>
                <w:b/>
                <w:color w:val="365F91" w:themeColor="accent1" w:themeShade="BF"/>
              </w:rPr>
            </w:pPr>
            <w:r>
              <w:rPr>
                <w:rFonts w:asciiTheme="minorHAnsi" w:hAnsiTheme="minorHAnsi"/>
                <w:b/>
                <w:color w:val="365F91" w:themeColor="accent1" w:themeShade="BF"/>
              </w:rPr>
              <w:t>Siūlymas Kultūros ministerijai:</w:t>
            </w:r>
          </w:p>
          <w:p w:rsidR="004F5EEC" w:rsidRPr="00885C39" w:rsidRDefault="004F5EEC" w:rsidP="004F5EEC">
            <w:pPr>
              <w:pStyle w:val="Sraopastraipa"/>
              <w:tabs>
                <w:tab w:val="left" w:pos="142"/>
              </w:tabs>
              <w:spacing w:after="0" w:line="240" w:lineRule="auto"/>
              <w:ind w:left="0"/>
              <w:jc w:val="both"/>
              <w:rPr>
                <w:rFonts w:asciiTheme="minorHAnsi" w:eastAsia="Times New Roman" w:hAnsiTheme="minorHAnsi"/>
                <w:b/>
                <w:color w:val="365F91" w:themeColor="accent1" w:themeShade="BF"/>
                <w:sz w:val="24"/>
                <w:szCs w:val="20"/>
              </w:rPr>
            </w:pPr>
            <w:r w:rsidRPr="004F5EEC">
              <w:rPr>
                <w:color w:val="365F91" w:themeColor="accent1" w:themeShade="BF"/>
                <w:szCs w:val="24"/>
              </w:rPr>
              <w:t xml:space="preserve">- </w:t>
            </w:r>
            <w:r w:rsidRPr="00885C39">
              <w:rPr>
                <w:rFonts w:asciiTheme="minorHAnsi" w:eastAsia="Times New Roman" w:hAnsiTheme="minorHAnsi"/>
                <w:b/>
                <w:color w:val="365F91" w:themeColor="accent1" w:themeShade="BF"/>
                <w:sz w:val="24"/>
                <w:szCs w:val="20"/>
              </w:rPr>
              <w:t xml:space="preserve">Iki 2019 m. vasario </w:t>
            </w:r>
            <w:r w:rsidR="00EF14F1">
              <w:rPr>
                <w:rFonts w:asciiTheme="minorHAnsi" w:eastAsia="Times New Roman" w:hAnsiTheme="minorHAnsi"/>
                <w:b/>
                <w:color w:val="365F91" w:themeColor="accent1" w:themeShade="BF"/>
                <w:sz w:val="24"/>
                <w:szCs w:val="20"/>
              </w:rPr>
              <w:t>28</w:t>
            </w:r>
            <w:r w:rsidRPr="00885C39">
              <w:rPr>
                <w:rFonts w:asciiTheme="minorHAnsi" w:eastAsia="Times New Roman" w:hAnsiTheme="minorHAnsi"/>
                <w:b/>
                <w:color w:val="365F91" w:themeColor="accent1" w:themeShade="BF"/>
                <w:sz w:val="24"/>
                <w:szCs w:val="20"/>
              </w:rPr>
              <w:t xml:space="preserve"> d. pateikti Finansų ministerijai informaciją apie planuojamą lėšų perskirstymą tarp 5 prioriteto priemonių, taip pat planuojamų ir įgyvendinamų projektų rizikas bei priemones joms valdyti.</w:t>
            </w:r>
          </w:p>
          <w:p w:rsidR="004F5EEC" w:rsidRPr="00494658" w:rsidRDefault="004F5EEC" w:rsidP="005331E3">
            <w:pPr>
              <w:jc w:val="both"/>
              <w:rPr>
                <w:rFonts w:asciiTheme="minorHAnsi" w:hAnsiTheme="minorHAnsi"/>
                <w:b/>
                <w:color w:val="365F91" w:themeColor="accent1" w:themeShade="BF"/>
              </w:rPr>
            </w:pPr>
            <w:r w:rsidRPr="00885C39">
              <w:rPr>
                <w:rFonts w:asciiTheme="minorHAnsi" w:hAnsiTheme="minorHAnsi"/>
                <w:b/>
                <w:color w:val="365F91" w:themeColor="accent1" w:themeShade="BF"/>
              </w:rPr>
              <w:t xml:space="preserve">- Iki 2019 m. </w:t>
            </w:r>
            <w:r w:rsidR="00D0123C">
              <w:rPr>
                <w:rFonts w:asciiTheme="minorHAnsi" w:hAnsiTheme="minorHAnsi"/>
                <w:b/>
                <w:color w:val="365F91" w:themeColor="accent1" w:themeShade="BF"/>
              </w:rPr>
              <w:t>kovo 31</w:t>
            </w:r>
            <w:r w:rsidRPr="00885C39">
              <w:rPr>
                <w:rFonts w:asciiTheme="minorHAnsi" w:hAnsiTheme="minorHAnsi"/>
                <w:b/>
                <w:color w:val="365F91" w:themeColor="accent1" w:themeShade="BF"/>
              </w:rPr>
              <w:t xml:space="preserve"> d. pateikti Finansų ministerijai derinti 5 priorit</w:t>
            </w:r>
            <w:r w:rsidR="005712AB">
              <w:rPr>
                <w:rFonts w:asciiTheme="minorHAnsi" w:hAnsiTheme="minorHAnsi"/>
                <w:b/>
                <w:color w:val="365F91" w:themeColor="accent1" w:themeShade="BF"/>
              </w:rPr>
              <w:t>eto priemonių įgyvendinimo planų, kuriais planuojama paskirstyti/ perskirstyti nesuplanuotas lėšas,</w:t>
            </w:r>
            <w:r w:rsidRPr="00885C39">
              <w:rPr>
                <w:rFonts w:asciiTheme="minorHAnsi" w:hAnsiTheme="minorHAnsi"/>
                <w:b/>
                <w:color w:val="365F91" w:themeColor="accent1" w:themeShade="BF"/>
              </w:rPr>
              <w:t xml:space="preserve"> keitimo projektą.</w:t>
            </w:r>
          </w:p>
        </w:tc>
      </w:tr>
    </w:tbl>
    <w:p w:rsidR="00C20A70" w:rsidRDefault="00C20A70" w:rsidP="00C20A70">
      <w:pPr>
        <w:jc w:val="both"/>
      </w:pPr>
    </w:p>
    <w:p w:rsidR="007331CA" w:rsidRDefault="002D32F2" w:rsidP="00107F5E">
      <w:pPr>
        <w:pStyle w:val="tekstas"/>
      </w:pPr>
      <w:r>
        <w:lastRenderedPageBreak/>
        <w:t>Aplinkos ministerij</w:t>
      </w:r>
      <w:r w:rsidR="007331CA">
        <w:t>os pavaldžios įstaigos,</w:t>
      </w:r>
      <w:r>
        <w:t xml:space="preserve"> įgyvendindam</w:t>
      </w:r>
      <w:r w:rsidR="007331CA">
        <w:t>os</w:t>
      </w:r>
      <w:r>
        <w:t xml:space="preserve"> saugomų teritorijų tvarkymo ir pritaikymo lankymui</w:t>
      </w:r>
      <w:r w:rsidR="007331CA">
        <w:t>, visuomenės informavimo apie aplinką ir aplinkosauginių</w:t>
      </w:r>
      <w:proofErr w:type="gramStart"/>
      <w:r w:rsidR="007331CA">
        <w:t>-</w:t>
      </w:r>
      <w:proofErr w:type="gramEnd"/>
      <w:r w:rsidR="007331CA">
        <w:t>rekreacinių objektų tvarkymo</w:t>
      </w:r>
      <w:r>
        <w:t xml:space="preserve"> projektus</w:t>
      </w:r>
      <w:r w:rsidR="00E67366">
        <w:t>,</w:t>
      </w:r>
      <w:r>
        <w:t xml:space="preserve"> siekia keisti visuomenės mąstymą, ugdyti atsakingą vartojimo kultūrą, didinti kultūros ir gamtos paveldo aktualumą, lankomumą, visuomenės aplinkosauginį sąmoningumą ir informuotumą apie aplinką.  Lėtas šių projektų įgyvendinimas 2018 m. neigiamai veikė viso 5 prioriteto Europos regioninės plėtros fondo lėšų finansinius rodiklius. Tokį projektų įgyvendinimo tempą sąlygojo nepakankami žmogiškieji ištekliai A</w:t>
      </w:r>
      <w:r w:rsidRPr="009F46AC">
        <w:t>plinkos min</w:t>
      </w:r>
      <w:r>
        <w:t>isterijai pavaldžio</w:t>
      </w:r>
      <w:r w:rsidR="007331CA">
        <w:t>j</w:t>
      </w:r>
      <w:r>
        <w:t>e įstaigo</w:t>
      </w:r>
      <w:r w:rsidR="007331CA">
        <w:t>j</w:t>
      </w:r>
      <w:r>
        <w:t>e (Valstybinėje saugomų teritorijų tarnyboje</w:t>
      </w:r>
      <w:r w:rsidR="007331CA">
        <w:t>) ir užsitęsę ar neįvykę viešieji pirkimai</w:t>
      </w:r>
      <w:r>
        <w:t>.</w:t>
      </w:r>
      <w:r w:rsidRPr="009F46AC">
        <w:t xml:space="preserve"> </w:t>
      </w:r>
      <w:r>
        <w:t>Siekiant suplanuotų finansinių rodiklių buvo spartinamas projektų įgyvendinimas, atsisakyta dalies pirkimų, spartinamos pirkimų procedūros (juos atliekant per CPO</w:t>
      </w:r>
      <w:r w:rsidR="00B54326">
        <w:t xml:space="preserve"> ir kt.</w:t>
      </w:r>
      <w:r>
        <w:t xml:space="preserve">). </w:t>
      </w:r>
    </w:p>
    <w:p w:rsidR="002D32F2" w:rsidRDefault="0016457F" w:rsidP="00107F5E">
      <w:pPr>
        <w:pStyle w:val="tekstas"/>
      </w:pPr>
      <w:r>
        <w:t>Ž</w:t>
      </w:r>
      <w:r w:rsidR="007331CA">
        <w:t>mogiškųjų išteklių trūkumas kitoje Aplinkos ministerijai pavaldžioje institucijoje – Aplinkos apsaugos agentūroje</w:t>
      </w:r>
      <w:r w:rsidR="00987CC0">
        <w:t>, veikia</w:t>
      </w:r>
      <w:r>
        <w:t xml:space="preserve"> </w:t>
      </w:r>
      <w:r w:rsidR="00987CC0">
        <w:t>jų įgyvendinamus ir planuojamus</w:t>
      </w:r>
      <w:r w:rsidR="007331CA">
        <w:t xml:space="preserve"> įgyvendinti </w:t>
      </w:r>
      <w:r w:rsidR="007331CA" w:rsidRPr="00C34513">
        <w:t>vandens išteklių valdymo ir vandens telkinių būklės gerinimo projektus</w:t>
      </w:r>
      <w:r>
        <w:t xml:space="preserve">. </w:t>
      </w:r>
      <w:r w:rsidR="002D32F2">
        <w:t>Š</w:t>
      </w:r>
      <w:r w:rsidR="002D32F2" w:rsidRPr="000B2BAD">
        <w:t>iuo metu įgyvendinamų projektų vėlavimo dėl projektų pareiškėjų ir (ar) partnerių žmogiškųjų resursų trūkumo</w:t>
      </w:r>
      <w:r w:rsidR="002D32F2">
        <w:t xml:space="preserve"> </w:t>
      </w:r>
      <w:r w:rsidR="002D32F2" w:rsidRPr="000B2BAD">
        <w:t xml:space="preserve">nėra, tačiau </w:t>
      </w:r>
      <w:r w:rsidR="002D32F2">
        <w:t xml:space="preserve">suplanuotos darbų apimtys ir </w:t>
      </w:r>
      <w:r w:rsidR="002D32F2" w:rsidRPr="000B2BAD">
        <w:t xml:space="preserve">dėl nekonkurencingo atlygio dažna personalo kaita </w:t>
      </w:r>
      <w:r w:rsidR="00B54326">
        <w:t xml:space="preserve">daro neigiamą poveikį </w:t>
      </w:r>
      <w:r w:rsidR="002D32F2" w:rsidRPr="000B2BAD">
        <w:t xml:space="preserve">pateikiamų dokumentų </w:t>
      </w:r>
      <w:proofErr w:type="gramStart"/>
      <w:r w:rsidR="002D32F2" w:rsidRPr="000B2BAD">
        <w:t>(</w:t>
      </w:r>
      <w:proofErr w:type="gramEnd"/>
      <w:r w:rsidR="002D32F2" w:rsidRPr="000B2BAD">
        <w:t>viešųjų pirkimų, para</w:t>
      </w:r>
      <w:r w:rsidR="002D32F2">
        <w:t>iškų, mokėjimo prašymų) kokyb</w:t>
      </w:r>
      <w:r w:rsidR="007331CA">
        <w:t>ei</w:t>
      </w:r>
      <w:r w:rsidR="002D32F2">
        <w:t xml:space="preserve"> ir atlikimo termin</w:t>
      </w:r>
      <w:r w:rsidR="007331CA">
        <w:t>ams</w:t>
      </w:r>
      <w:r w:rsidR="002D32F2">
        <w:t xml:space="preserve">. </w:t>
      </w:r>
    </w:p>
    <w:p w:rsidR="002D32F2" w:rsidRDefault="002D32F2" w:rsidP="002D32F2">
      <w:pPr>
        <w:jc w:val="both"/>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2D32F2" w:rsidTr="005331E3">
        <w:trPr>
          <w:trHeight w:val="422"/>
        </w:trPr>
        <w:tc>
          <w:tcPr>
            <w:tcW w:w="9638" w:type="dxa"/>
            <w:tcBorders>
              <w:top w:val="nil"/>
              <w:left w:val="nil"/>
              <w:bottom w:val="nil"/>
              <w:right w:val="nil"/>
            </w:tcBorders>
            <w:shd w:val="clear" w:color="auto" w:fill="D9D9D9" w:themeFill="background1" w:themeFillShade="D9"/>
          </w:tcPr>
          <w:p w:rsidR="002D32F2" w:rsidRDefault="002D32F2" w:rsidP="005331E3">
            <w:pPr>
              <w:jc w:val="both"/>
              <w:rPr>
                <w:rFonts w:asciiTheme="minorHAnsi" w:hAnsiTheme="minorHAnsi"/>
                <w:b/>
                <w:color w:val="365F91" w:themeColor="accent1" w:themeShade="BF"/>
              </w:rPr>
            </w:pPr>
            <w:r>
              <w:rPr>
                <w:rFonts w:asciiTheme="minorHAnsi" w:hAnsiTheme="minorHAnsi"/>
                <w:b/>
                <w:color w:val="365F91" w:themeColor="accent1" w:themeShade="BF"/>
              </w:rPr>
              <w:t>Siūlymas Aplinkos ministerijai:</w:t>
            </w:r>
          </w:p>
          <w:p w:rsidR="00107F5E" w:rsidRPr="00494658" w:rsidRDefault="00107F5E" w:rsidP="00B54326">
            <w:pPr>
              <w:jc w:val="both"/>
              <w:rPr>
                <w:rFonts w:asciiTheme="minorHAnsi" w:hAnsiTheme="minorHAnsi"/>
                <w:b/>
                <w:color w:val="365F91" w:themeColor="accent1" w:themeShade="BF"/>
              </w:rPr>
            </w:pPr>
            <w:r>
              <w:rPr>
                <w:rFonts w:asciiTheme="minorHAnsi" w:hAnsiTheme="minorHAnsi"/>
                <w:b/>
                <w:color w:val="365F91" w:themeColor="accent1" w:themeShade="BF"/>
              </w:rPr>
              <w:t xml:space="preserve">- </w:t>
            </w:r>
            <w:r w:rsidRPr="00107F5E">
              <w:rPr>
                <w:rFonts w:asciiTheme="minorHAnsi" w:hAnsiTheme="minorHAnsi"/>
                <w:b/>
                <w:color w:val="365F91" w:themeColor="accent1" w:themeShade="BF"/>
              </w:rPr>
              <w:t>Pakartotinai įvertinti ir užtikrinti pakankam</w:t>
            </w:r>
            <w:r w:rsidR="00B54326">
              <w:rPr>
                <w:rFonts w:asciiTheme="minorHAnsi" w:hAnsiTheme="minorHAnsi"/>
                <w:b/>
                <w:color w:val="365F91" w:themeColor="accent1" w:themeShade="BF"/>
              </w:rPr>
              <w:t xml:space="preserve">us žmogiškuosius išteklius ir </w:t>
            </w:r>
            <w:r w:rsidRPr="00107F5E">
              <w:rPr>
                <w:rFonts w:asciiTheme="minorHAnsi" w:hAnsiTheme="minorHAnsi"/>
                <w:b/>
                <w:color w:val="365F91" w:themeColor="accent1" w:themeShade="BF"/>
              </w:rPr>
              <w:t>kompetencij</w:t>
            </w:r>
            <w:r w:rsidR="00B54326">
              <w:rPr>
                <w:rFonts w:asciiTheme="minorHAnsi" w:hAnsiTheme="minorHAnsi"/>
                <w:b/>
                <w:color w:val="365F91" w:themeColor="accent1" w:themeShade="BF"/>
              </w:rPr>
              <w:t>ą</w:t>
            </w:r>
            <w:r w:rsidRPr="00107F5E">
              <w:rPr>
                <w:rFonts w:asciiTheme="minorHAnsi" w:hAnsiTheme="minorHAnsi"/>
                <w:b/>
                <w:color w:val="365F91" w:themeColor="accent1" w:themeShade="BF"/>
              </w:rPr>
              <w:t xml:space="preserve"> Aplinkos ministerijai pavaldžiose įstaigose</w:t>
            </w:r>
            <w:r>
              <w:rPr>
                <w:rFonts w:asciiTheme="minorHAnsi" w:hAnsiTheme="minorHAnsi"/>
                <w:b/>
                <w:color w:val="365F91" w:themeColor="accent1" w:themeShade="BF"/>
              </w:rPr>
              <w:t>.</w:t>
            </w:r>
          </w:p>
        </w:tc>
      </w:tr>
    </w:tbl>
    <w:p w:rsidR="002D32F2" w:rsidRDefault="002D32F2" w:rsidP="002D32F2">
      <w:pPr>
        <w:pStyle w:val="Lentelsturinys"/>
        <w:jc w:val="both"/>
        <w:rPr>
          <w:rFonts w:cs="Times New Roman"/>
        </w:rPr>
      </w:pPr>
    </w:p>
    <w:p w:rsidR="00107F5E" w:rsidRDefault="00391611" w:rsidP="00107F5E">
      <w:pPr>
        <w:pStyle w:val="tekstas"/>
      </w:pPr>
      <w:r>
        <w:t xml:space="preserve">Aplinkos ministerija iki šiol neįgyvendino jai teiktos </w:t>
      </w:r>
      <w:r w:rsidRPr="00987CC0">
        <w:rPr>
          <w:i/>
        </w:rPr>
        <w:t>rekomendacijos iki 2018 m. lapkričio 30 d. pateikti Finansų ministerijai kompleksinį veiksmų planą sektoriaus problemoms spręsti</w:t>
      </w:r>
      <w:r>
        <w:t>.</w:t>
      </w:r>
      <w:r w:rsidRPr="00391611">
        <w:t xml:space="preserve"> </w:t>
      </w:r>
      <w:r w:rsidR="00254CA7">
        <w:t xml:space="preserve">Tuo tarpu rizika dėl pažeidimo nuotekų tvarkymo srityje dar padidėjo - </w:t>
      </w:r>
      <w:r>
        <w:t xml:space="preserve">2019 m. sausio 24 d. Europos Komisija pateikė pagrįstą nuomonę, kad Lietuva nevykdo </w:t>
      </w:r>
      <w:r w:rsidR="002D32F2" w:rsidRPr="00A42637">
        <w:t xml:space="preserve">Direktyvos 91/271/EEB dėl miesto nuotekų valymo reikalavimo padengti 98 proc. taršos aglomeracijų centralizuotais nuotekų tinklais, </w:t>
      </w:r>
      <w:r>
        <w:t xml:space="preserve">dėl ko </w:t>
      </w:r>
      <w:r w:rsidR="002D32F2" w:rsidRPr="00A42637">
        <w:t>Lietuvai gali būti skirta bauda.</w:t>
      </w:r>
      <w:r w:rsidR="002D32F2" w:rsidRPr="00107F5E">
        <w:t xml:space="preserve"> </w:t>
      </w:r>
    </w:p>
    <w:p w:rsidR="00107F5E" w:rsidRDefault="002D32F2" w:rsidP="00107F5E">
      <w:pPr>
        <w:pStyle w:val="tekstas"/>
        <w:rPr>
          <w:rFonts w:eastAsiaTheme="minorHAnsi"/>
        </w:rPr>
      </w:pPr>
      <w:r w:rsidRPr="00107F5E">
        <w:t xml:space="preserve">Įvertinus ankstesnio finansavimo laikotarpio vandentvarkos sektoriaus </w:t>
      </w:r>
      <w:r w:rsidR="00107F5E">
        <w:t>į</w:t>
      </w:r>
      <w:r w:rsidRPr="00107F5E">
        <w:t xml:space="preserve">gyvendinimo problemas bei atlikus </w:t>
      </w:r>
      <w:r w:rsidRPr="00107F5E">
        <w:rPr>
          <w:rFonts w:eastAsiaTheme="minorHAnsi"/>
        </w:rPr>
        <w:t>Vandentvarkos sektoriaus finansinių priemonių išankstinį vertinimą,</w:t>
      </w:r>
      <w:r w:rsidRPr="00107F5E">
        <w:t xml:space="preserve"> taip pat siekiant efektyvaus 2014–2020 metų laikotarpio lėšų investavimo, nustatytas poreikis keisti vandentvarkos sektoriaus projektų finansavimo tvarką ir </w:t>
      </w:r>
      <w:r w:rsidRPr="00107F5E">
        <w:rPr>
          <w:rFonts w:eastAsiaTheme="minorHAnsi"/>
        </w:rPr>
        <w:t xml:space="preserve">finansuoti geriamojo vandens </w:t>
      </w:r>
      <w:r w:rsidR="007331CA">
        <w:rPr>
          <w:rFonts w:eastAsiaTheme="minorHAnsi"/>
        </w:rPr>
        <w:t xml:space="preserve">tiekimo </w:t>
      </w:r>
      <w:r w:rsidRPr="00107F5E">
        <w:rPr>
          <w:rFonts w:eastAsiaTheme="minorHAnsi"/>
        </w:rPr>
        <w:t xml:space="preserve">ir nuotekų </w:t>
      </w:r>
      <w:r w:rsidR="007331CA">
        <w:rPr>
          <w:rFonts w:eastAsiaTheme="minorHAnsi"/>
        </w:rPr>
        <w:t xml:space="preserve">tvarkymo </w:t>
      </w:r>
      <w:r w:rsidRPr="00107F5E">
        <w:rPr>
          <w:rFonts w:eastAsiaTheme="minorHAnsi"/>
        </w:rPr>
        <w:t xml:space="preserve">tinklų plėtrą derinant </w:t>
      </w:r>
      <w:r w:rsidR="00A574B3" w:rsidRPr="00107F5E">
        <w:rPr>
          <w:rFonts w:eastAsiaTheme="minorHAnsi"/>
        </w:rPr>
        <w:t xml:space="preserve">finansinės priemonės </w:t>
      </w:r>
      <w:r w:rsidR="00A574B3">
        <w:rPr>
          <w:rFonts w:eastAsiaTheme="minorHAnsi"/>
        </w:rPr>
        <w:t xml:space="preserve">ir </w:t>
      </w:r>
      <w:r w:rsidRPr="00107F5E">
        <w:rPr>
          <w:rFonts w:eastAsiaTheme="minorHAnsi"/>
        </w:rPr>
        <w:t>grąžinamosios subsidijos finansavimo būdus, taip skatinant būsimus pareiškėjus naudotis Vandentvarkos fondo teikiamomis pas</w:t>
      </w:r>
      <w:r w:rsidR="00391611">
        <w:rPr>
          <w:rFonts w:eastAsiaTheme="minorHAnsi"/>
        </w:rPr>
        <w:t>kolomis</w:t>
      </w:r>
      <w:r w:rsidRPr="00107F5E">
        <w:rPr>
          <w:rFonts w:eastAsiaTheme="minorHAnsi"/>
        </w:rPr>
        <w:t xml:space="preserve">. </w:t>
      </w:r>
      <w:r w:rsidR="007331CA" w:rsidRPr="00ED7208">
        <w:t xml:space="preserve">Siekiant įgyvendinti </w:t>
      </w:r>
      <w:r w:rsidR="007331CA" w:rsidRPr="00ED7208">
        <w:rPr>
          <w:rFonts w:eastAsia="Lucida Sans Unicode"/>
        </w:rPr>
        <w:t>Direktyvos 91/271/EEB reikalavimus</w:t>
      </w:r>
      <w:r w:rsidR="007331CA">
        <w:rPr>
          <w:rFonts w:eastAsia="Lucida Sans Unicode"/>
        </w:rPr>
        <w:t xml:space="preserve">, grąžinamosios subsidijos </w:t>
      </w:r>
      <w:r w:rsidR="007331CA">
        <w:t xml:space="preserve">priemone remiama tik </w:t>
      </w:r>
      <w:r w:rsidR="007331CA" w:rsidRPr="00ED7208">
        <w:t>centralizuotųjų nuo</w:t>
      </w:r>
      <w:r w:rsidR="007331CA">
        <w:t xml:space="preserve">tekų surinkimo sistemų įrengimo </w:t>
      </w:r>
      <w:r w:rsidR="007331CA" w:rsidRPr="00ED7208">
        <w:t>ir (arba) n</w:t>
      </w:r>
      <w:r w:rsidR="007331CA">
        <w:t>uotekų išleidimo tinklų tiesimo</w:t>
      </w:r>
      <w:r w:rsidR="007331CA" w:rsidRPr="00ED7208">
        <w:t xml:space="preserve"> (vartotojui nuosavybės teise priklausančio ar kitaip valdomo ir (arba) naudojamo turto ribose)</w:t>
      </w:r>
      <w:r w:rsidR="007331CA">
        <w:t xml:space="preserve"> veikla, taip užtikrinant maksimalų gyventojų prijungimą.</w:t>
      </w:r>
    </w:p>
    <w:p w:rsidR="00144DA5" w:rsidRDefault="002D32F2" w:rsidP="00107F5E">
      <w:pPr>
        <w:pStyle w:val="tekstas"/>
        <w:rPr>
          <w:rFonts w:eastAsiaTheme="minorHAnsi"/>
        </w:rPr>
      </w:pPr>
      <w:r w:rsidRPr="00107F5E">
        <w:rPr>
          <w:rFonts w:eastAsiaTheme="minorHAnsi"/>
        </w:rPr>
        <w:t xml:space="preserve">2018 m. gruodžio 21 d. Priemonės projektų atrankos komitetas priėmė sprendimą teikti rekomendaciją Aplinkos ir Finansų ministerijoms pasirašyti su VIPA Vandentvarkos fondo steigimo ir finansavimo sutartį. </w:t>
      </w:r>
      <w:r w:rsidR="00630DBA">
        <w:rPr>
          <w:rFonts w:eastAsiaTheme="minorHAnsi"/>
        </w:rPr>
        <w:t>Sutart</w:t>
      </w:r>
      <w:r w:rsidR="00082902">
        <w:rPr>
          <w:rFonts w:eastAsiaTheme="minorHAnsi"/>
        </w:rPr>
        <w:t>is pasir</w:t>
      </w:r>
      <w:r w:rsidR="00CD1393">
        <w:rPr>
          <w:rFonts w:eastAsiaTheme="minorHAnsi"/>
        </w:rPr>
        <w:t>a</w:t>
      </w:r>
      <w:r w:rsidR="00082902">
        <w:rPr>
          <w:rFonts w:eastAsiaTheme="minorHAnsi"/>
        </w:rPr>
        <w:t xml:space="preserve">šyta 2019 m. vasario 1 d. </w:t>
      </w:r>
      <w:r w:rsidR="00391611" w:rsidRPr="00391611">
        <w:rPr>
          <w:rFonts w:eastAsiaTheme="minorHAnsi"/>
        </w:rPr>
        <w:t xml:space="preserve"> </w:t>
      </w:r>
      <w:r w:rsidR="00391611" w:rsidRPr="00107F5E">
        <w:rPr>
          <w:rFonts w:eastAsiaTheme="minorHAnsi"/>
        </w:rPr>
        <w:t xml:space="preserve">Siekiant lėšų administravimo efektyvumo ir mažinant administracinę naštą pareiškėjams, grąžinamosios subsidijos administravimą </w:t>
      </w:r>
      <w:r w:rsidR="00391611">
        <w:rPr>
          <w:rFonts w:eastAsiaTheme="minorHAnsi"/>
        </w:rPr>
        <w:t xml:space="preserve">taip pat </w:t>
      </w:r>
      <w:r w:rsidR="00391611" w:rsidRPr="00107F5E">
        <w:rPr>
          <w:rFonts w:eastAsiaTheme="minorHAnsi"/>
        </w:rPr>
        <w:t>numatoma priskirti</w:t>
      </w:r>
      <w:r w:rsidR="00391611">
        <w:rPr>
          <w:rFonts w:eastAsiaTheme="minorHAnsi"/>
        </w:rPr>
        <w:t xml:space="preserve"> VIPA</w:t>
      </w:r>
      <w:r w:rsidR="00391611" w:rsidRPr="00107F5E">
        <w:rPr>
          <w:rFonts w:eastAsiaTheme="minorHAnsi"/>
        </w:rPr>
        <w:t xml:space="preserve">. </w:t>
      </w:r>
      <w:r w:rsidRPr="00107F5E">
        <w:rPr>
          <w:rFonts w:eastAsiaTheme="minorHAnsi"/>
        </w:rPr>
        <w:t>Derinant finansinę priemonę ir grąžinamosios subsidijos finansavimo būdą, planuojama skelbti bendrą kvietimą pareiškėjams, taip užtikrinant „vieno langelio principą“ vertinant paraiškas ir vykdant įgyvendinamų projektų stebėseną ir priežiūrą.</w:t>
      </w:r>
    </w:p>
    <w:p w:rsidR="002D32F2" w:rsidRPr="00107F5E" w:rsidRDefault="002D32F2" w:rsidP="00107F5E">
      <w:pPr>
        <w:pStyle w:val="tekstas"/>
        <w:rPr>
          <w:rFonts w:eastAsiaTheme="minorHAnsi"/>
        </w:rPr>
      </w:pPr>
      <w:r w:rsidRPr="00107F5E">
        <w:rPr>
          <w:rFonts w:eastAsiaTheme="minorHAnsi"/>
        </w:rPr>
        <w:t xml:space="preserve">Atsižvelgiant į tai, kad visos sutartys priemonę įgyvendinant grąžinamosios subsidijos būdu turi būti pasirašytos iki 2020 m. gruodžio 31 d., itin svarbu kuo skubiau parengti su grąžinamosios subsidijos priemonės įgyvendinimu susijusius dokumentus (priemonių įgyvendinimo planą, </w:t>
      </w:r>
      <w:r w:rsidRPr="00107F5E">
        <w:rPr>
          <w:rFonts w:eastAsiaTheme="minorHAnsi"/>
        </w:rPr>
        <w:lastRenderedPageBreak/>
        <w:t xml:space="preserve">projektų atrankos kriterijus, projektų finansavimo sąlygų aprašą ir kt.). </w:t>
      </w:r>
      <w:r w:rsidR="00D20F75">
        <w:rPr>
          <w:rFonts w:eastAsiaTheme="minorHAnsi"/>
        </w:rPr>
        <w:t xml:space="preserve">Taip yra parengtas veiksmų planas dėl grąžinamosios subsidijos dokumentų parengimo. </w:t>
      </w:r>
      <w:r w:rsidRPr="00107F5E">
        <w:rPr>
          <w:rFonts w:eastAsiaTheme="minorHAnsi"/>
        </w:rPr>
        <w:t xml:space="preserve">Pagal VIPA Investavimo strategijoje pateiktą finansinės priemonės veiklų įgyvendinimo grafiką, tvarkos aprašas ir kt. dokumentai pareiškėjams turi būti parengti iki kovo 1 d., kad kvietimą paraiškoms teikti būtų galima paskelbti jau šių metų balandžio mėn. Nuo minėtų veiksmų atlikimo </w:t>
      </w:r>
      <w:r w:rsidR="00D20F75">
        <w:rPr>
          <w:rFonts w:eastAsiaTheme="minorHAnsi"/>
        </w:rPr>
        <w:t xml:space="preserve">laiku </w:t>
      </w:r>
      <w:r w:rsidRPr="00107F5E">
        <w:rPr>
          <w:rFonts w:eastAsiaTheme="minorHAnsi"/>
        </w:rPr>
        <w:t>tiesiogiai priklauso Vandentvarkos fondo valdytojo galimybės pasiekti nustatytus ambicingus finansinės priemonės įgyvendinimo plane įtvirtintus rodiklius</w:t>
      </w:r>
      <w:r w:rsidR="001E1ECD">
        <w:rPr>
          <w:rFonts w:eastAsiaTheme="minorHAnsi"/>
        </w:rPr>
        <w:t>, kurie prisidės prie minėtos Direktyvos įgyvendinimo</w:t>
      </w:r>
      <w:r w:rsidRPr="00107F5E">
        <w:rPr>
          <w:rFonts w:eastAsiaTheme="minorHAnsi"/>
        </w:rPr>
        <w:t>.</w:t>
      </w:r>
    </w:p>
    <w:p w:rsidR="002D32F2" w:rsidRDefault="002D32F2" w:rsidP="002D32F2">
      <w:pPr>
        <w:autoSpaceDE w:val="0"/>
        <w:autoSpaceDN w:val="0"/>
        <w:adjustRightInd w:val="0"/>
        <w:ind w:firstLine="709"/>
        <w:jc w:val="both"/>
        <w:rPr>
          <w:rFonts w:eastAsiaTheme="minorHAnsi"/>
          <w:color w:val="000000"/>
          <w:szCs w:val="24"/>
        </w:rPr>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2D32F2" w:rsidTr="005331E3">
        <w:trPr>
          <w:trHeight w:val="422"/>
        </w:trPr>
        <w:tc>
          <w:tcPr>
            <w:tcW w:w="9638" w:type="dxa"/>
            <w:tcBorders>
              <w:top w:val="nil"/>
              <w:left w:val="nil"/>
              <w:bottom w:val="nil"/>
              <w:right w:val="nil"/>
            </w:tcBorders>
            <w:shd w:val="clear" w:color="auto" w:fill="D9D9D9" w:themeFill="background1" w:themeFillShade="D9"/>
          </w:tcPr>
          <w:p w:rsidR="002D32F2" w:rsidRDefault="002D32F2" w:rsidP="005331E3">
            <w:pPr>
              <w:jc w:val="both"/>
              <w:rPr>
                <w:rFonts w:asciiTheme="minorHAnsi" w:hAnsiTheme="minorHAnsi"/>
                <w:b/>
                <w:color w:val="365F91" w:themeColor="accent1" w:themeShade="BF"/>
              </w:rPr>
            </w:pPr>
            <w:r>
              <w:rPr>
                <w:rFonts w:asciiTheme="minorHAnsi" w:hAnsiTheme="minorHAnsi"/>
                <w:b/>
                <w:color w:val="365F91" w:themeColor="accent1" w:themeShade="BF"/>
              </w:rPr>
              <w:t>Siūlymas Aplinkos ministerijai:</w:t>
            </w:r>
          </w:p>
          <w:p w:rsidR="00144DA5" w:rsidRPr="00494658" w:rsidRDefault="00144DA5" w:rsidP="00CB0937">
            <w:pPr>
              <w:jc w:val="both"/>
              <w:rPr>
                <w:rFonts w:asciiTheme="minorHAnsi" w:hAnsiTheme="minorHAnsi"/>
                <w:b/>
                <w:color w:val="365F91" w:themeColor="accent1" w:themeShade="BF"/>
              </w:rPr>
            </w:pPr>
            <w:r>
              <w:rPr>
                <w:rFonts w:asciiTheme="minorHAnsi" w:hAnsiTheme="minorHAnsi"/>
                <w:b/>
                <w:color w:val="365F91" w:themeColor="accent1" w:themeShade="BF"/>
              </w:rPr>
              <w:t xml:space="preserve">- </w:t>
            </w:r>
            <w:r w:rsidRPr="00144DA5">
              <w:rPr>
                <w:rFonts w:asciiTheme="minorHAnsi" w:hAnsiTheme="minorHAnsi"/>
                <w:b/>
                <w:color w:val="365F91" w:themeColor="accent1" w:themeShade="BF"/>
              </w:rPr>
              <w:t xml:space="preserve">Iki </w:t>
            </w:r>
            <w:r w:rsidR="00802160">
              <w:rPr>
                <w:rFonts w:asciiTheme="minorHAnsi" w:hAnsiTheme="minorHAnsi"/>
                <w:b/>
                <w:color w:val="365F91" w:themeColor="accent1" w:themeShade="BF"/>
              </w:rPr>
              <w:t xml:space="preserve">2019 m. vasario </w:t>
            </w:r>
            <w:r w:rsidR="00AB21AE">
              <w:rPr>
                <w:rFonts w:asciiTheme="minorHAnsi" w:hAnsiTheme="minorHAnsi"/>
                <w:b/>
                <w:color w:val="365F91" w:themeColor="accent1" w:themeShade="BF"/>
              </w:rPr>
              <w:t xml:space="preserve">28 </w:t>
            </w:r>
            <w:r w:rsidRPr="00144DA5">
              <w:rPr>
                <w:rFonts w:asciiTheme="minorHAnsi" w:hAnsiTheme="minorHAnsi"/>
                <w:b/>
                <w:color w:val="365F91" w:themeColor="accent1" w:themeShade="BF"/>
              </w:rPr>
              <w:t>d. pa</w:t>
            </w:r>
            <w:r w:rsidR="00802160">
              <w:rPr>
                <w:rFonts w:asciiTheme="minorHAnsi" w:hAnsiTheme="minorHAnsi"/>
                <w:b/>
                <w:color w:val="365F91" w:themeColor="accent1" w:themeShade="BF"/>
              </w:rPr>
              <w:t>teikti</w:t>
            </w:r>
            <w:r w:rsidRPr="00144DA5">
              <w:rPr>
                <w:rFonts w:asciiTheme="minorHAnsi" w:hAnsiTheme="minorHAnsi"/>
                <w:b/>
                <w:color w:val="365F91" w:themeColor="accent1" w:themeShade="BF"/>
              </w:rPr>
              <w:t xml:space="preserve"> </w:t>
            </w:r>
            <w:r w:rsidR="00802160">
              <w:rPr>
                <w:rFonts w:asciiTheme="minorHAnsi" w:hAnsiTheme="minorHAnsi"/>
                <w:b/>
                <w:color w:val="365F91" w:themeColor="accent1" w:themeShade="BF"/>
              </w:rPr>
              <w:t xml:space="preserve">Finansų ministerijai </w:t>
            </w:r>
            <w:r w:rsidRPr="00144DA5">
              <w:rPr>
                <w:rFonts w:asciiTheme="minorHAnsi" w:hAnsiTheme="minorHAnsi"/>
                <w:b/>
                <w:color w:val="365F91" w:themeColor="accent1" w:themeShade="BF"/>
              </w:rPr>
              <w:t>derinti naujos vandentvarkos sektoriaus priemonės, planuojamos finansuot</w:t>
            </w:r>
            <w:r w:rsidR="00802160">
              <w:rPr>
                <w:rFonts w:asciiTheme="minorHAnsi" w:hAnsiTheme="minorHAnsi"/>
                <w:b/>
                <w:color w:val="365F91" w:themeColor="accent1" w:themeShade="BF"/>
              </w:rPr>
              <w:t>i grąžinamosios subsidijos būdu</w:t>
            </w:r>
            <w:r w:rsidR="008C79D4">
              <w:rPr>
                <w:rFonts w:asciiTheme="minorHAnsi" w:hAnsiTheme="minorHAnsi"/>
                <w:b/>
                <w:color w:val="365F91" w:themeColor="accent1" w:themeShade="BF"/>
              </w:rPr>
              <w:t>,</w:t>
            </w:r>
            <w:r w:rsidRPr="00144DA5">
              <w:rPr>
                <w:rFonts w:asciiTheme="minorHAnsi" w:hAnsiTheme="minorHAnsi"/>
                <w:b/>
                <w:color w:val="365F91" w:themeColor="accent1" w:themeShade="BF"/>
              </w:rPr>
              <w:t xml:space="preserve"> projektų finansavimo sąlygų aprašą.</w:t>
            </w:r>
          </w:p>
        </w:tc>
      </w:tr>
    </w:tbl>
    <w:p w:rsidR="00B15E2F" w:rsidRDefault="00B15E2F" w:rsidP="00144DA5">
      <w:pPr>
        <w:pStyle w:val="antrat3zz"/>
      </w:pPr>
      <w:bookmarkStart w:id="21" w:name="_Toc1041287"/>
      <w:r>
        <w:t>6 prioritetas. Darnaus transporto ir pagrindinių tinklų infrastruktūros plėtra</w:t>
      </w:r>
      <w:bookmarkEnd w:id="21"/>
    </w:p>
    <w:p w:rsidR="007F1446" w:rsidRPr="00EC4CF6" w:rsidRDefault="007F1446" w:rsidP="007F1446">
      <w:pPr>
        <w:pStyle w:val="tekstas"/>
      </w:pPr>
      <w:r>
        <w:t xml:space="preserve">76 proc. 6 prioriteto lėšų jau suplanuoti, 54 proc. sumai sudarytos sutartys ir 39 proc. išmokėti. 2018 m. sutarčių ir išmokėjimų planai įvykdyti atitinkamai 41 proc. ir 62 proc. </w:t>
      </w:r>
    </w:p>
    <w:p w:rsidR="00B85B94" w:rsidRDefault="00B85B94" w:rsidP="00144DA5">
      <w:pPr>
        <w:pStyle w:val="tekstas"/>
      </w:pPr>
      <w:r w:rsidRPr="00B85B94">
        <w:t xml:space="preserve">6 prioriteto </w:t>
      </w:r>
      <w:r w:rsidRPr="00B85B94">
        <w:rPr>
          <w:i/>
        </w:rPr>
        <w:t>ERPF</w:t>
      </w:r>
      <w:r w:rsidRPr="00B85B94">
        <w:t xml:space="preserve"> dalyje ir </w:t>
      </w:r>
      <w:proofErr w:type="spellStart"/>
      <w:r w:rsidRPr="00B85B94">
        <w:rPr>
          <w:i/>
        </w:rPr>
        <w:t>SaF</w:t>
      </w:r>
      <w:proofErr w:type="spellEnd"/>
      <w:r w:rsidR="00144DA5">
        <w:t xml:space="preserve"> 2018 m. tarpiniai rodikliai buvo pasiekti ir viršyti</w:t>
      </w:r>
      <w:r w:rsidRPr="00B85B94">
        <w:t xml:space="preserve">, tačiau Susisiekimo ministerija dar </w:t>
      </w:r>
      <w:r w:rsidR="00144DA5">
        <w:t>nėra suplanavusi 44,6 mln. eurų</w:t>
      </w:r>
      <w:r w:rsidRPr="00B85B94">
        <w:t xml:space="preserve"> investicijų, skirtų intelektinių </w:t>
      </w:r>
      <w:r w:rsidR="007F1446">
        <w:t>transporto sistemų diegimui TEN-</w:t>
      </w:r>
      <w:r w:rsidRPr="00B85B94">
        <w:t>T tinkle. Europos Audito Rūmų ataskaitoje</w:t>
      </w:r>
      <w:r w:rsidR="005041CF">
        <w:rPr>
          <w:rStyle w:val="Puslapioinaosnuoroda"/>
        </w:rPr>
        <w:footnoteReference w:id="3"/>
      </w:r>
      <w:r w:rsidRPr="00B85B94">
        <w:t xml:space="preserve"> Europos Komisija pripažino, kad sėkmingas koordinuotas intelektinių transporto valdymo sistemų įdiegimas yra gyvybiškai svarbus visos Europos, įvairių rūšių transportą pajungiančios ir tikrai integruotos transporto sistemos sukūrimui ir yra neatsiejama transporto ateities dalis. Be to, sparčiai kyla automatizavimo, </w:t>
      </w:r>
      <w:proofErr w:type="spellStart"/>
      <w:r w:rsidRPr="00B85B94">
        <w:t>skaitmeninimo</w:t>
      </w:r>
      <w:proofErr w:type="spellEnd"/>
      <w:r w:rsidRPr="00B85B94">
        <w:t xml:space="preserve"> ir pasidalijamojo </w:t>
      </w:r>
      <w:proofErr w:type="spellStart"/>
      <w:r w:rsidRPr="00B85B94">
        <w:t>judumo</w:t>
      </w:r>
      <w:proofErr w:type="spellEnd"/>
      <w:r w:rsidRPr="00B85B94">
        <w:t xml:space="preserve"> tendencijos, dėl kurių transporto sistemos turi gerų galimybių tapti efektyvesnėmis.</w:t>
      </w:r>
    </w:p>
    <w:p w:rsidR="00144DA5" w:rsidRDefault="00144DA5" w:rsidP="00144DA5">
      <w:pPr>
        <w:pStyle w:val="tekstas"/>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B15E2F" w:rsidTr="005331E3">
        <w:trPr>
          <w:trHeight w:val="422"/>
        </w:trPr>
        <w:tc>
          <w:tcPr>
            <w:tcW w:w="9638" w:type="dxa"/>
            <w:tcBorders>
              <w:top w:val="nil"/>
              <w:left w:val="nil"/>
              <w:bottom w:val="nil"/>
              <w:right w:val="nil"/>
            </w:tcBorders>
            <w:shd w:val="clear" w:color="auto" w:fill="D9D9D9" w:themeFill="background1" w:themeFillShade="D9"/>
          </w:tcPr>
          <w:p w:rsidR="005041CF" w:rsidRPr="005041CF" w:rsidRDefault="00B15E2F" w:rsidP="005041CF">
            <w:pPr>
              <w:jc w:val="both"/>
              <w:rPr>
                <w:rFonts w:asciiTheme="minorHAnsi" w:hAnsiTheme="minorHAnsi"/>
                <w:b/>
                <w:color w:val="365F91" w:themeColor="accent1" w:themeShade="BF"/>
              </w:rPr>
            </w:pPr>
            <w:r>
              <w:rPr>
                <w:rFonts w:asciiTheme="minorHAnsi" w:hAnsiTheme="minorHAnsi"/>
                <w:b/>
                <w:color w:val="365F91" w:themeColor="accent1" w:themeShade="BF"/>
              </w:rPr>
              <w:t xml:space="preserve">Siūlymas </w:t>
            </w:r>
            <w:r w:rsidR="005041CF" w:rsidRPr="005041CF">
              <w:rPr>
                <w:rFonts w:asciiTheme="minorHAnsi" w:hAnsiTheme="minorHAnsi"/>
                <w:b/>
                <w:color w:val="365F91" w:themeColor="accent1" w:themeShade="BF"/>
              </w:rPr>
              <w:t>Susisiekimo ministerijai:</w:t>
            </w:r>
          </w:p>
          <w:p w:rsidR="00B15E2F" w:rsidRPr="00144DA5" w:rsidRDefault="005041CF" w:rsidP="005331E3">
            <w:pPr>
              <w:jc w:val="both"/>
              <w:rPr>
                <w:rFonts w:asciiTheme="minorHAnsi" w:hAnsiTheme="minorHAnsi"/>
                <w:b/>
                <w:bCs/>
                <w:color w:val="365F91" w:themeColor="accent1" w:themeShade="BF"/>
              </w:rPr>
            </w:pPr>
            <w:r w:rsidRPr="005041CF">
              <w:rPr>
                <w:rFonts w:asciiTheme="minorHAnsi" w:hAnsiTheme="minorHAnsi"/>
                <w:b/>
                <w:bCs/>
                <w:color w:val="365F91" w:themeColor="accent1" w:themeShade="BF"/>
              </w:rPr>
              <w:t xml:space="preserve">- Iki 2019 m. gegužės 31 d. sudaryti valstybės projektų sąrašą pusei priemonės „Intelektinių transporto sistemų diegimas TEN-T tinkle“ lėšų sumos. </w:t>
            </w:r>
          </w:p>
        </w:tc>
      </w:tr>
    </w:tbl>
    <w:p w:rsidR="00F6099D" w:rsidRDefault="00F6099D" w:rsidP="000924FC">
      <w:pPr>
        <w:pStyle w:val="antrat3zz"/>
      </w:pPr>
      <w:bookmarkStart w:id="22" w:name="_Toc1041288"/>
      <w:r>
        <w:t>7 prioritetas. Kokybiško užimtumo ir dalyvavimo darbo rinkoje skatinimas</w:t>
      </w:r>
      <w:bookmarkEnd w:id="20"/>
      <w:bookmarkEnd w:id="22"/>
    </w:p>
    <w:p w:rsidR="007F1446" w:rsidRDefault="007F1446" w:rsidP="007F1446">
      <w:pPr>
        <w:pStyle w:val="tekstas"/>
      </w:pPr>
      <w:r>
        <w:t xml:space="preserve">84 proc. 7 prioriteto lėšų jau suplanuoti, 62 proc. sumai sudarytos sutartys ir 34 proc. išmokėti. 2018 m. sutarčių ir išmokėjimų planai įvykdyti atitinkamai 97 proc. ir 67 proc. </w:t>
      </w:r>
    </w:p>
    <w:p w:rsidR="00C54C51" w:rsidRPr="008250CF" w:rsidRDefault="00C54C51" w:rsidP="000A1574">
      <w:pPr>
        <w:pStyle w:val="tekstas"/>
      </w:pPr>
      <w:r>
        <w:t xml:space="preserve">Iki 2018 m. pabaigos Socialinės apsaugos ir darbo ministerija suplanavo didžiąją dalį 7 prioriteto investicijų (ESF investicijos – 84 proc., JUI investicijos – 100 proc., tik ERPF investicijos – 0 proc.). JUI investicijos jau baigiamos įgyvendinti, o iš ESF lėšų iki metų pabaigos sudaryta sutarčių už 66 proc. lėšų. Nepanaudotos ERPF lėšos, nors ir itin maža dalimi </w:t>
      </w:r>
      <w:r w:rsidRPr="00E5489D">
        <w:t>lyginant su kitomis ministerijomis</w:t>
      </w:r>
      <w:r>
        <w:t>, prisidėjo prie 7 prioriteto finansinio veiklos peržiūros rodiklio nepasiekimo. 7 prioriteto ESF ir JUI veikl</w:t>
      </w:r>
      <w:r w:rsidR="000A1574">
        <w:t>os peržiūros rodikliai pasiekti</w:t>
      </w:r>
      <w:r>
        <w:t>.</w:t>
      </w:r>
    </w:p>
    <w:p w:rsidR="00C54C51" w:rsidRPr="000915CF" w:rsidRDefault="00C54C51" w:rsidP="000A1574">
      <w:pPr>
        <w:pStyle w:val="tekstas"/>
      </w:pPr>
      <w:r w:rsidRPr="000915CF">
        <w:t xml:space="preserve">Socialinės apsaugos ir darbo ministerija vėluoja įgyvendinti anksčiau teiktą rekomendaciją, t. y. </w:t>
      </w:r>
      <w:r w:rsidRPr="000A1574">
        <w:rPr>
          <w:i/>
        </w:rPr>
        <w:t xml:space="preserve">iki 2018 m. liepos 31 d. užtikrinti, kad pagal priemonę „Vilniaus teritorinės darbo biržos infrastruktūros kokybės ir prieinamumo gerinimas“ pateiktas projektinis pasiūlymas būtų </w:t>
      </w:r>
      <w:r w:rsidRPr="000A1574">
        <w:rPr>
          <w:i/>
        </w:rPr>
        <w:lastRenderedPageBreak/>
        <w:t>įvertintas</w:t>
      </w:r>
      <w:r w:rsidRPr="000915CF">
        <w:t xml:space="preserve">. Užimtumo tarnyba savo projektinį pasiūlymą kartu su investiciniu projektu kelis kartus teikė ministerijai vertinti, tačiau nustačius trūkumų jis buvo tikslinamas. Šiuo metu patikslintas projektinis pasiūlymas yra pateiktas ministerijai vertinti. </w:t>
      </w:r>
    </w:p>
    <w:p w:rsidR="007328BC" w:rsidRDefault="00C54C51" w:rsidP="000A1574">
      <w:pPr>
        <w:pStyle w:val="tekstas"/>
      </w:pPr>
      <w:r w:rsidRPr="000915CF">
        <w:t>Baigiamas priemonės „Jaunimo užimtumo didinimas“ įgyvendinimas (vieno iš 2 įgyvendintų projektų veiklos dar vyks ir 2019 m., siekiant panaudoti projektų metu sutaupytas lėšas). Nuo 2019 m. planuojama tęsti panašias veiklas, tik joms numatyta skirti trigubai mažiau lėšų (20,5 mln. ES ir valstybės biu</w:t>
      </w:r>
      <w:r w:rsidR="000F648D">
        <w:t>džeto lėšų). 2019 m. sausio mėn.</w:t>
      </w:r>
      <w:r w:rsidRPr="000915CF">
        <w:t xml:space="preserve"> buvo pateiktos 2 naujos paraiškos Europos socialinio fondo agentūrai vertinti. Svarbu, kad paraiškų vertinimas neužtruktų ir sutartys būtų pasirašytos kaip galima anksčiau, siekiant užtikrinti pirmųjų projektų veiklų tęstinumą ir išlaikyti projektuose dirbusius specialistus.</w:t>
      </w:r>
    </w:p>
    <w:p w:rsidR="00823578" w:rsidRPr="008C79D4" w:rsidRDefault="00823578" w:rsidP="008C79D4">
      <w:pPr>
        <w:pStyle w:val="tekstas"/>
        <w:rPr>
          <w:lang w:eastAsia="lt-LT"/>
        </w:rPr>
      </w:pPr>
      <w:r>
        <w:t xml:space="preserve">2018 m. </w:t>
      </w:r>
      <w:r w:rsidRPr="00EE439C">
        <w:rPr>
          <w:lang w:eastAsia="lt-LT"/>
        </w:rPr>
        <w:t>Siekiant įgyti patirties socialin</w:t>
      </w:r>
      <w:r>
        <w:rPr>
          <w:lang w:eastAsia="lt-LT"/>
        </w:rPr>
        <w:t xml:space="preserve">io poveikio </w:t>
      </w:r>
      <w:r w:rsidRPr="00EE439C">
        <w:rPr>
          <w:lang w:eastAsia="lt-LT"/>
        </w:rPr>
        <w:t>inves</w:t>
      </w:r>
      <w:r>
        <w:rPr>
          <w:lang w:eastAsia="lt-LT"/>
        </w:rPr>
        <w:t>tavimo</w:t>
      </w:r>
      <w:r w:rsidRPr="00EE439C">
        <w:rPr>
          <w:lang w:eastAsia="lt-LT"/>
        </w:rPr>
        <w:t xml:space="preserve"> srityje, </w:t>
      </w:r>
      <w:r>
        <w:t xml:space="preserve">Finansų ministerijos iniciatyva buvo </w:t>
      </w:r>
      <w:r w:rsidRPr="00EE439C">
        <w:rPr>
          <w:lang w:eastAsia="lt-LT"/>
        </w:rPr>
        <w:t>užmegzti kontaktai su Suomijos inovacijų fondo „</w:t>
      </w:r>
      <w:proofErr w:type="spellStart"/>
      <w:r w:rsidRPr="00EE439C">
        <w:rPr>
          <w:lang w:eastAsia="lt-LT"/>
        </w:rPr>
        <w:t>Sitra</w:t>
      </w:r>
      <w:proofErr w:type="spellEnd"/>
      <w:r w:rsidRPr="00EE439C">
        <w:rPr>
          <w:lang w:eastAsia="lt-LT"/>
        </w:rPr>
        <w:t xml:space="preserve">“ atstovais ir organizuotas Lietuvos delegacijos vizitas į Suomiją, siekiant pasinaudoti Suomijos patirtimi investuojant socialinėje srityje, o įgytas žinias pritaikyti Lietuvoje. </w:t>
      </w:r>
      <w:r>
        <w:rPr>
          <w:lang w:eastAsia="lt-LT"/>
        </w:rPr>
        <w:t xml:space="preserve">Taip pat </w:t>
      </w:r>
      <w:r w:rsidRPr="00EE439C">
        <w:rPr>
          <w:lang w:eastAsia="lt-LT"/>
        </w:rPr>
        <w:t>organizuotas renginys Lietuvoje apie poveikio investavimą Lietuvoje, remiantis šiaurės šalių patirtimi</w:t>
      </w:r>
      <w:r>
        <w:rPr>
          <w:lang w:eastAsia="lt-LT"/>
        </w:rPr>
        <w:t>. Susitikimų metu įgytos žinios buvo pristat</w:t>
      </w:r>
      <w:r w:rsidR="00D0123C">
        <w:rPr>
          <w:lang w:eastAsia="lt-LT"/>
        </w:rPr>
        <w:t>yt</w:t>
      </w:r>
      <w:r>
        <w:rPr>
          <w:lang w:eastAsia="lt-LT"/>
        </w:rPr>
        <w:t>os</w:t>
      </w:r>
      <w:r w:rsidR="003900F0">
        <w:rPr>
          <w:lang w:eastAsia="lt-LT"/>
        </w:rPr>
        <w:t xml:space="preserve"> Socialinės apsaugos ir darbo ministerijos</w:t>
      </w:r>
      <w:r>
        <w:rPr>
          <w:lang w:eastAsia="lt-LT"/>
        </w:rPr>
        <w:t xml:space="preserve"> susitikime 2019 m. sausio 10 d. Taip pat, š.m. sausio 31- vasario 1 d. Liuksemburge vyko pirmasis Europos Komisijos kartu su </w:t>
      </w:r>
      <w:r w:rsidRPr="00EE439C">
        <w:rPr>
          <w:lang w:eastAsia="lt-LT"/>
        </w:rPr>
        <w:t>Suomijos inovacijų fondo „</w:t>
      </w:r>
      <w:proofErr w:type="spellStart"/>
      <w:r w:rsidRPr="00EE439C">
        <w:rPr>
          <w:lang w:eastAsia="lt-LT"/>
        </w:rPr>
        <w:t>Sitra</w:t>
      </w:r>
      <w:proofErr w:type="spellEnd"/>
      <w:r w:rsidRPr="00EE439C">
        <w:rPr>
          <w:lang w:eastAsia="lt-LT"/>
        </w:rPr>
        <w:t>“ atstovais</w:t>
      </w:r>
      <w:r>
        <w:rPr>
          <w:lang w:eastAsia="lt-LT"/>
        </w:rPr>
        <w:t xml:space="preserve"> inicijuotas Socialinio poveikio investavimo platformos susit</w:t>
      </w:r>
      <w:r w:rsidR="000C23B5">
        <w:rPr>
          <w:lang w:eastAsia="lt-LT"/>
        </w:rPr>
        <w:t xml:space="preserve">ikimas su 10 ES valstybių narių </w:t>
      </w:r>
      <w:proofErr w:type="gramStart"/>
      <w:r>
        <w:rPr>
          <w:lang w:eastAsia="lt-LT"/>
        </w:rPr>
        <w:t>(</w:t>
      </w:r>
      <w:proofErr w:type="gramEnd"/>
      <w:r>
        <w:rPr>
          <w:lang w:eastAsia="lt-LT"/>
        </w:rPr>
        <w:t>tarp jų dalyvavo ir Lietuva), kuriame buvo dalijamasi gerąj</w:t>
      </w:r>
      <w:r w:rsidR="00D0123C">
        <w:rPr>
          <w:lang w:eastAsia="lt-LT"/>
        </w:rPr>
        <w:t>a</w:t>
      </w:r>
      <w:r>
        <w:rPr>
          <w:lang w:eastAsia="lt-LT"/>
        </w:rPr>
        <w:t xml:space="preserve"> </w:t>
      </w:r>
      <w:proofErr w:type="spellStart"/>
      <w:r>
        <w:rPr>
          <w:lang w:eastAsia="lt-LT"/>
        </w:rPr>
        <w:t>inovatyvaus</w:t>
      </w:r>
      <w:proofErr w:type="spellEnd"/>
      <w:r>
        <w:rPr>
          <w:lang w:eastAsia="lt-LT"/>
        </w:rPr>
        <w:t xml:space="preserve"> investavimo socialinėje srityje patirtimi. Siekiant pritaikyti įgytas žinias ir sukurti pilotinį socialinio poveikio investavimo modelį Lietuvoje, </w:t>
      </w:r>
      <w:r w:rsidR="00495125">
        <w:rPr>
          <w:lang w:eastAsia="lt-LT"/>
        </w:rPr>
        <w:t xml:space="preserve">labai svarbus </w:t>
      </w:r>
      <w:proofErr w:type="spellStart"/>
      <w:r w:rsidR="00495125">
        <w:rPr>
          <w:lang w:eastAsia="lt-LT"/>
        </w:rPr>
        <w:t>proaktyvus</w:t>
      </w:r>
      <w:proofErr w:type="spellEnd"/>
      <w:r w:rsidR="00495125">
        <w:rPr>
          <w:lang w:eastAsia="lt-LT"/>
        </w:rPr>
        <w:t xml:space="preserve"> </w:t>
      </w:r>
      <w:r w:rsidR="003900F0">
        <w:rPr>
          <w:lang w:eastAsia="lt-LT"/>
        </w:rPr>
        <w:t>Socialinės apsaugos ir darbo</w:t>
      </w:r>
      <w:r w:rsidR="00495125">
        <w:rPr>
          <w:lang w:eastAsia="lt-LT"/>
        </w:rPr>
        <w:t xml:space="preserve"> vaidmuo sprendžiant dėl konkrečios srities, kurioje toks modelis galėtų būti sukurtas bei nustatant tolimesnius veiksmus dėl šios iniciatyvos įgyvendinimo Lietuvoje 2019 m.</w:t>
      </w:r>
    </w:p>
    <w:p w:rsidR="004F5EEC" w:rsidRPr="00C54C51" w:rsidRDefault="004F5EEC" w:rsidP="00C54C51">
      <w:pPr>
        <w:autoSpaceDE w:val="0"/>
        <w:autoSpaceDN w:val="0"/>
        <w:adjustRightInd w:val="0"/>
        <w:ind w:firstLine="567"/>
        <w:jc w:val="both"/>
        <w:rPr>
          <w:szCs w:val="24"/>
        </w:rPr>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291EB9" w:rsidRPr="002A0208" w:rsidTr="009C1BFA">
        <w:tc>
          <w:tcPr>
            <w:tcW w:w="9638" w:type="dxa"/>
            <w:tcBorders>
              <w:top w:val="nil"/>
              <w:left w:val="nil"/>
              <w:bottom w:val="nil"/>
              <w:right w:val="nil"/>
            </w:tcBorders>
            <w:shd w:val="clear" w:color="auto" w:fill="D9D9D9" w:themeFill="background1" w:themeFillShade="D9"/>
          </w:tcPr>
          <w:p w:rsidR="00291EB9" w:rsidRPr="00291EB9" w:rsidRDefault="00291EB9" w:rsidP="00291EB9">
            <w:pPr>
              <w:jc w:val="both"/>
              <w:rPr>
                <w:rFonts w:asciiTheme="minorHAnsi" w:hAnsiTheme="minorHAnsi"/>
                <w:b/>
                <w:color w:val="365F91" w:themeColor="accent1" w:themeShade="BF"/>
              </w:rPr>
            </w:pPr>
            <w:r w:rsidRPr="00291EB9">
              <w:rPr>
                <w:rFonts w:asciiTheme="minorHAnsi" w:hAnsiTheme="minorHAnsi"/>
                <w:b/>
                <w:color w:val="365F91" w:themeColor="accent1" w:themeShade="BF"/>
              </w:rPr>
              <w:t>Siūlymas Socialinės apsaugos ir darbo ministerijai:</w:t>
            </w:r>
          </w:p>
          <w:p w:rsidR="00291EB9" w:rsidRPr="00291EB9" w:rsidRDefault="00291EB9" w:rsidP="00291EB9">
            <w:pPr>
              <w:jc w:val="both"/>
              <w:rPr>
                <w:rFonts w:asciiTheme="minorHAnsi" w:hAnsiTheme="minorHAnsi"/>
                <w:b/>
                <w:color w:val="365F91" w:themeColor="accent1" w:themeShade="BF"/>
              </w:rPr>
            </w:pPr>
            <w:r w:rsidRPr="00291EB9">
              <w:rPr>
                <w:rFonts w:asciiTheme="minorHAnsi" w:hAnsiTheme="minorHAnsi"/>
                <w:b/>
                <w:color w:val="365F91" w:themeColor="accent1" w:themeShade="BF"/>
              </w:rPr>
              <w:t xml:space="preserve">- Iki 2019 m. vasario 28 d. užtikrinti, kad pagal priemonę „Vilniaus teritorinės darbo biržos infrastruktūros kokybės ir prieinamumo gerinimas“ pateiktas projektinis pasiūlymas būtų įvertintas ir įtrauktas į valstybės projektų sąrašą. </w:t>
            </w:r>
          </w:p>
          <w:p w:rsidR="00D91B13" w:rsidRPr="00E52FD0" w:rsidRDefault="00291EB9" w:rsidP="000E378A">
            <w:pPr>
              <w:jc w:val="both"/>
              <w:rPr>
                <w:rFonts w:asciiTheme="minorHAnsi" w:hAnsiTheme="minorHAnsi"/>
                <w:b/>
                <w:color w:val="365F91" w:themeColor="accent1" w:themeShade="BF"/>
              </w:rPr>
            </w:pPr>
            <w:r w:rsidRPr="00291EB9">
              <w:rPr>
                <w:rFonts w:asciiTheme="minorHAnsi" w:hAnsiTheme="minorHAnsi"/>
                <w:b/>
                <w:color w:val="365F91" w:themeColor="accent1" w:themeShade="BF"/>
              </w:rPr>
              <w:t xml:space="preserve">- Iki 2019 m. </w:t>
            </w:r>
            <w:r w:rsidR="00EF14F1">
              <w:rPr>
                <w:rFonts w:asciiTheme="minorHAnsi" w:hAnsiTheme="minorHAnsi"/>
                <w:b/>
                <w:color w:val="365F91" w:themeColor="accent1" w:themeShade="BF"/>
              </w:rPr>
              <w:t>kovo 31</w:t>
            </w:r>
            <w:r w:rsidRPr="00291EB9">
              <w:rPr>
                <w:rFonts w:asciiTheme="minorHAnsi" w:hAnsiTheme="minorHAnsi"/>
                <w:b/>
                <w:color w:val="365F91" w:themeColor="accent1" w:themeShade="BF"/>
              </w:rPr>
              <w:t xml:space="preserve"> d. užtikrinti, kad pagal priemonę „Jaunimo užimtumo didinimas (II)“ pateiktos 2 paraiškos būtų įvertintos ir pasirašytos projektų sutartys.</w:t>
            </w:r>
          </w:p>
        </w:tc>
      </w:tr>
    </w:tbl>
    <w:p w:rsidR="004F5EEC" w:rsidRPr="00291EB9" w:rsidRDefault="004F5EEC" w:rsidP="00715BBF">
      <w:pPr>
        <w:pStyle w:val="tekstas"/>
        <w:ind w:firstLine="0"/>
        <w:rPr>
          <w:rFonts w:eastAsiaTheme="majorEastAsia" w:cstheme="majorBidi"/>
          <w:b/>
          <w:bCs/>
          <w:color w:val="595959" w:themeColor="text1" w:themeTint="A6"/>
          <w:lang w:eastAsia="lt-LT"/>
        </w:rPr>
      </w:pPr>
    </w:p>
    <w:p w:rsidR="00715BBF" w:rsidRPr="000F648D" w:rsidRDefault="005532D2" w:rsidP="000F648D">
      <w:pPr>
        <w:pStyle w:val="tekstas"/>
        <w:rPr>
          <w:rFonts w:eastAsiaTheme="majorEastAsia"/>
        </w:rPr>
      </w:pPr>
      <w:r w:rsidRPr="005532D2">
        <w:rPr>
          <w:rFonts w:eastAsiaTheme="majorEastAsia"/>
        </w:rPr>
        <w:t>Vidaus reikalų ministerija iki šiol nepakeitė priemonės „Miesto inžinerinės infrastruktūros, svarbios verslui, atnaujinimas ir plėtra“ (toliau – Priemonė) įgyvendinimo plano, kuriuo investicijoms į infrastruktūrą, svarbią verslo plėtrai, finansavimas būtų padidintas iki 10 mln. eurų.</w:t>
      </w:r>
      <w:r w:rsidRPr="005532D2">
        <w:rPr>
          <w:rFonts w:ascii="Times New Roman" w:eastAsiaTheme="majorEastAsia" w:hAnsi="Times New Roman"/>
          <w:color w:val="auto"/>
          <w:szCs w:val="20"/>
        </w:rPr>
        <w:t xml:space="preserve"> </w:t>
      </w:r>
      <w:r w:rsidR="00715BBF" w:rsidRPr="000F648D">
        <w:rPr>
          <w:rFonts w:eastAsiaTheme="majorEastAsia"/>
        </w:rPr>
        <w:t xml:space="preserve">Vidaus reikalų ministerijos siūlymas Priemonei didinti lėšas </w:t>
      </w:r>
      <w:proofErr w:type="gramStart"/>
      <w:r w:rsidR="00715BBF" w:rsidRPr="000F648D">
        <w:rPr>
          <w:rFonts w:eastAsiaTheme="majorEastAsia"/>
        </w:rPr>
        <w:t>palaipsniui</w:t>
      </w:r>
      <w:proofErr w:type="gramEnd"/>
      <w:r w:rsidR="00715BBF" w:rsidRPr="000F648D">
        <w:rPr>
          <w:rFonts w:eastAsiaTheme="majorEastAsia"/>
        </w:rPr>
        <w:t xml:space="preserve"> (iš projektų sutaupymų) nėra pakankamas ir rizikingas, kadangi tiksli sutaupymų suma įgyvendinamuose projektuose nenustatyta ir sunkiai prognozuojama, kol projektuose neįvykdyti viešieji pirkimai. Be to, išlieka rizika laiku neįgyvendinti investicijų į infrastruktūrą, svarbią verslo plėtrai, atsižvelgiant į naujų projektų planavimui ir sutarčių sudarymui reikalingą laiką ir į tai, kad visos sutartys turi būti sudarytos iki 2020 m. pabaigos. Remiantis aukščiau išdėstytais argumentais, Vidaus reikalų ministerija turėtų nedelsiant visą Priemonei reikalingą sumą skirti iš kitų priemonių nesuplanuotų lėšų.</w:t>
      </w:r>
    </w:p>
    <w:p w:rsidR="00715BBF" w:rsidRPr="000F648D" w:rsidRDefault="00715BBF" w:rsidP="000F648D">
      <w:pPr>
        <w:pStyle w:val="tekstas"/>
        <w:rPr>
          <w:rFonts w:eastAsiaTheme="majorEastAsia"/>
        </w:rPr>
      </w:pPr>
      <w:r w:rsidRPr="000F648D">
        <w:rPr>
          <w:rFonts w:eastAsiaTheme="majorEastAsia"/>
        </w:rPr>
        <w:t xml:space="preserve">Didžiųjų miestų ir miestų kompleksinės plėtros priemonių projektų įgyvendinimas labai vėluoja. </w:t>
      </w:r>
      <w:r w:rsidR="001C74DC">
        <w:rPr>
          <w:rFonts w:eastAsiaTheme="majorEastAsia"/>
        </w:rPr>
        <w:t xml:space="preserve">Šie vėlavimai sąlygojo 7 prioriteto ERPF dalies veiklos peržiūros finansinio rodiklio nepasiekimą. </w:t>
      </w:r>
      <w:r w:rsidRPr="000F648D">
        <w:rPr>
          <w:rFonts w:eastAsiaTheme="majorEastAsia"/>
        </w:rPr>
        <w:t xml:space="preserve">Vidaus reikalų ministerijos nurodytos tokio vėlavimo priežastys – pareiškėjų dažnai keičiamos projektų idėjos, nepakankamas projektų </w:t>
      </w:r>
      <w:proofErr w:type="spellStart"/>
      <w:r w:rsidRPr="000F648D">
        <w:rPr>
          <w:rFonts w:eastAsiaTheme="majorEastAsia"/>
        </w:rPr>
        <w:t>parengtumas</w:t>
      </w:r>
      <w:proofErr w:type="spellEnd"/>
      <w:r w:rsidRPr="000F648D">
        <w:rPr>
          <w:rFonts w:eastAsiaTheme="majorEastAsia"/>
        </w:rPr>
        <w:t xml:space="preserve">, pareiškėjų nepakankama kompetencija projektų administravime, užsitęsusios viešųjų pirkimų procedūros dėl viešųjų pirkimų dalyvių skundų – </w:t>
      </w:r>
      <w:r w:rsidR="00110367">
        <w:rPr>
          <w:rFonts w:eastAsiaTheme="majorEastAsia"/>
        </w:rPr>
        <w:t>tik projektų lygmens priežastys</w:t>
      </w:r>
      <w:r w:rsidRPr="000F648D">
        <w:rPr>
          <w:rFonts w:eastAsiaTheme="majorEastAsia"/>
        </w:rPr>
        <w:t xml:space="preserve">. Finansų ministerijos nuomone, Vidaus </w:t>
      </w:r>
      <w:r w:rsidRPr="000F648D">
        <w:rPr>
          <w:rFonts w:eastAsiaTheme="majorEastAsia"/>
        </w:rPr>
        <w:lastRenderedPageBreak/>
        <w:t xml:space="preserve">reikalų ministerija, kaip už integruotų teritorinių investicijų </w:t>
      </w:r>
      <w:r w:rsidR="000F648D">
        <w:rPr>
          <w:rFonts w:eastAsiaTheme="majorEastAsia"/>
        </w:rPr>
        <w:t xml:space="preserve">(ITI) </w:t>
      </w:r>
      <w:r w:rsidRPr="000F648D">
        <w:rPr>
          <w:rFonts w:eastAsiaTheme="majorEastAsia"/>
        </w:rPr>
        <w:t xml:space="preserve">planavimą ir panaudojimą atsakinga institucija, </w:t>
      </w:r>
      <w:r w:rsidR="00876628" w:rsidRPr="000F648D">
        <w:rPr>
          <w:rFonts w:eastAsiaTheme="majorEastAsia"/>
        </w:rPr>
        <w:t>nepateikė įžvalgų, kurios padėtų tobulinti ITI mechanizmo trūkumus ir išvengti panašaus vėlavimo ateityje</w:t>
      </w:r>
      <w:r w:rsidRPr="000F648D">
        <w:rPr>
          <w:rFonts w:eastAsiaTheme="majorEastAsia"/>
        </w:rPr>
        <w:t xml:space="preserve">. </w:t>
      </w:r>
      <w:r w:rsidR="00254CA7">
        <w:rPr>
          <w:rFonts w:eastAsiaTheme="majorEastAsia"/>
        </w:rPr>
        <w:t xml:space="preserve">Siekiant valdyti </w:t>
      </w:r>
      <w:r w:rsidR="00110367">
        <w:rPr>
          <w:rFonts w:eastAsiaTheme="majorEastAsia"/>
        </w:rPr>
        <w:t xml:space="preserve">projektų vėlavimo </w:t>
      </w:r>
      <w:r w:rsidR="00254CA7">
        <w:rPr>
          <w:rFonts w:eastAsiaTheme="majorEastAsia"/>
        </w:rPr>
        <w:t>riziką</w:t>
      </w:r>
      <w:r w:rsidR="00110367">
        <w:rPr>
          <w:rFonts w:eastAsiaTheme="majorEastAsia"/>
        </w:rPr>
        <w:t xml:space="preserve"> </w:t>
      </w:r>
      <w:r w:rsidRPr="000F648D">
        <w:rPr>
          <w:rFonts w:eastAsiaTheme="majorEastAsia"/>
        </w:rPr>
        <w:t xml:space="preserve">svarbu toliau bendradarbiauti su projektus įgyvendinančiomis savivaldybėmis sprendžiant suplanuotų investicijų įgyvendinimo problemas. </w:t>
      </w:r>
    </w:p>
    <w:p w:rsidR="00A73FBE" w:rsidRPr="0034049F" w:rsidRDefault="00A73FBE" w:rsidP="005F3538">
      <w:pPr>
        <w:pStyle w:val="tekstas"/>
        <w:rPr>
          <w:rFonts w:eastAsiaTheme="majorEastAsia"/>
        </w:rPr>
      </w:pPr>
      <w:r w:rsidRPr="00A73FBE">
        <w:rPr>
          <w:rFonts w:eastAsiaTheme="majorEastAsia"/>
        </w:rPr>
        <w:t>Taip pat svarbu paminėti, kad kyla rizika dėl priemonės, skirtos kompleksinei paslaugų plėtrai integruotų teritorijų vystymo programų tikslinėse teritorijose, įgyvendinimo. Priemonėje buvo suplanuotas visas Vidaus reikalų ministerijos šio prioriteto veiklo</w:t>
      </w:r>
      <w:r w:rsidRPr="0034049F">
        <w:rPr>
          <w:rFonts w:eastAsiaTheme="majorEastAsia"/>
        </w:rPr>
        <w:t xml:space="preserve">s lėšų rezervas (18,9 mln. eurų), kuris buvo prarastas, ministerijai nepasiekus veiklos peržiūros rodiklių 2018 m. tarpinių reikšmių. Pagal šią priemonę vienas projektas (Šeškinės daugiafunkcio kompleksas) dar nėra pradėtas įgyvendinti, todėl dėl jam numatytų lėšų panaudojimo kyla didelė rizika. Užsitęsus privataus partnerio atrankai ir pakartotinai apskundus konkurso rezultatus, kyla reali rizika nespėti šio projekto įgyvendinti iki 2023 m. pabaigos. Atsižvelgiant į projekto apimtį ir sudėtingumą bei tokios apimties objektui pastatyti reikalingus pajėgumus, tiek Finansų ministerija, tiek Vidaus reikalų ministerija identifikavo riziką, kad nespėjus </w:t>
      </w:r>
      <w:proofErr w:type="gramStart"/>
      <w:r w:rsidRPr="0034049F">
        <w:rPr>
          <w:rFonts w:eastAsiaTheme="majorEastAsia"/>
        </w:rPr>
        <w:t>pilnai</w:t>
      </w:r>
      <w:proofErr w:type="gramEnd"/>
      <w:r w:rsidRPr="0034049F">
        <w:rPr>
          <w:rFonts w:eastAsiaTheme="majorEastAsia"/>
        </w:rPr>
        <w:t xml:space="preserve"> baigti objekto iki laikotarpio pabaigos, jis gali būti pripažintas nefunkcionuojančiu, o ES lėšos prarastos.</w:t>
      </w:r>
    </w:p>
    <w:p w:rsidR="00715BBF" w:rsidRPr="000734D2" w:rsidRDefault="00715BBF" w:rsidP="000734D2">
      <w:pPr>
        <w:jc w:val="both"/>
        <w:rPr>
          <w:rFonts w:asciiTheme="minorHAnsi" w:eastAsiaTheme="majorEastAsia" w:hAnsiTheme="minorHAnsi"/>
          <w:color w:val="666666"/>
          <w:szCs w:val="24"/>
        </w:rPr>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2A0208" w:rsidRPr="002A0208" w:rsidTr="00E35145">
        <w:tc>
          <w:tcPr>
            <w:tcW w:w="9638" w:type="dxa"/>
            <w:tcBorders>
              <w:top w:val="nil"/>
              <w:left w:val="nil"/>
              <w:bottom w:val="nil"/>
              <w:right w:val="nil"/>
            </w:tcBorders>
            <w:shd w:val="clear" w:color="auto" w:fill="D9D9D9" w:themeFill="background1" w:themeFillShade="D9"/>
          </w:tcPr>
          <w:p w:rsidR="00715BBF" w:rsidRPr="00715BBF" w:rsidRDefault="00715BBF" w:rsidP="00715BBF">
            <w:pPr>
              <w:jc w:val="both"/>
              <w:rPr>
                <w:rFonts w:asciiTheme="minorHAnsi" w:hAnsiTheme="minorHAnsi"/>
                <w:b/>
                <w:color w:val="365F91" w:themeColor="accent1" w:themeShade="BF"/>
              </w:rPr>
            </w:pPr>
            <w:r w:rsidRPr="00715BBF">
              <w:rPr>
                <w:rFonts w:asciiTheme="minorHAnsi" w:hAnsiTheme="minorHAnsi"/>
                <w:b/>
                <w:color w:val="365F91" w:themeColor="accent1" w:themeShade="BF"/>
              </w:rPr>
              <w:t>Siūlyma</w:t>
            </w:r>
            <w:r w:rsidR="00077876">
              <w:rPr>
                <w:rFonts w:asciiTheme="minorHAnsi" w:hAnsiTheme="minorHAnsi"/>
                <w:b/>
                <w:color w:val="365F91" w:themeColor="accent1" w:themeShade="BF"/>
              </w:rPr>
              <w:t>i</w:t>
            </w:r>
            <w:r w:rsidRPr="00715BBF">
              <w:rPr>
                <w:rFonts w:asciiTheme="minorHAnsi" w:hAnsiTheme="minorHAnsi"/>
                <w:b/>
                <w:color w:val="365F91" w:themeColor="accent1" w:themeShade="BF"/>
              </w:rPr>
              <w:t xml:space="preserve"> Vidaus reikalų ministerijai:</w:t>
            </w:r>
          </w:p>
          <w:p w:rsidR="00A64830" w:rsidRDefault="007F1446" w:rsidP="00715BBF">
            <w:pPr>
              <w:jc w:val="both"/>
              <w:rPr>
                <w:rFonts w:asciiTheme="minorHAnsi" w:hAnsiTheme="minorHAnsi"/>
                <w:b/>
                <w:color w:val="365F91" w:themeColor="accent1" w:themeShade="BF"/>
              </w:rPr>
            </w:pPr>
            <w:r>
              <w:rPr>
                <w:rFonts w:asciiTheme="minorHAnsi" w:hAnsiTheme="minorHAnsi"/>
                <w:b/>
                <w:color w:val="365F91" w:themeColor="accent1" w:themeShade="BF"/>
              </w:rPr>
              <w:t xml:space="preserve">- </w:t>
            </w:r>
            <w:r w:rsidR="006F28A0">
              <w:rPr>
                <w:rFonts w:asciiTheme="minorHAnsi" w:hAnsiTheme="minorHAnsi"/>
                <w:b/>
                <w:color w:val="365F91" w:themeColor="accent1" w:themeShade="BF"/>
              </w:rPr>
              <w:t>I</w:t>
            </w:r>
            <w:r w:rsidR="006F28A0" w:rsidRPr="00715BBF">
              <w:rPr>
                <w:rFonts w:asciiTheme="minorHAnsi" w:hAnsiTheme="minorHAnsi"/>
                <w:b/>
                <w:color w:val="365F91" w:themeColor="accent1" w:themeShade="BF"/>
              </w:rPr>
              <w:t xml:space="preserve">ki 2019 m. vasario 28 d. </w:t>
            </w:r>
            <w:r w:rsidR="007E5F04">
              <w:rPr>
                <w:rFonts w:asciiTheme="minorHAnsi" w:hAnsiTheme="minorHAnsi"/>
                <w:b/>
                <w:color w:val="365F91" w:themeColor="accent1" w:themeShade="BF"/>
              </w:rPr>
              <w:t>Vidaus reikalų ministerija</w:t>
            </w:r>
            <w:r w:rsidR="00A64830">
              <w:rPr>
                <w:rFonts w:asciiTheme="minorHAnsi" w:hAnsiTheme="minorHAnsi"/>
                <w:b/>
                <w:color w:val="365F91" w:themeColor="accent1" w:themeShade="BF"/>
              </w:rPr>
              <w:t>, suderinusi su Finansų ministerija,</w:t>
            </w:r>
            <w:r w:rsidR="007E5F04">
              <w:rPr>
                <w:rFonts w:asciiTheme="minorHAnsi" w:hAnsiTheme="minorHAnsi"/>
                <w:b/>
                <w:color w:val="365F91" w:themeColor="accent1" w:themeShade="BF"/>
              </w:rPr>
              <w:t xml:space="preserve"> turi priimti sprendimus dėl </w:t>
            </w:r>
            <w:r w:rsidR="00A64830">
              <w:rPr>
                <w:rFonts w:asciiTheme="minorHAnsi" w:hAnsiTheme="minorHAnsi"/>
                <w:b/>
                <w:color w:val="365F91" w:themeColor="accent1" w:themeShade="BF"/>
              </w:rPr>
              <w:t xml:space="preserve">priemonės </w:t>
            </w:r>
            <w:r w:rsidR="00E52FD0" w:rsidRPr="00E52FD0">
              <w:rPr>
                <w:rFonts w:asciiTheme="minorHAnsi" w:hAnsiTheme="minorHAnsi"/>
                <w:b/>
                <w:color w:val="365F91" w:themeColor="accent1" w:themeShade="BF"/>
              </w:rPr>
              <w:t>„</w:t>
            </w:r>
            <w:r w:rsidR="005E1BCA" w:rsidRPr="005E1BCA">
              <w:rPr>
                <w:rFonts w:asciiTheme="minorHAnsi" w:hAnsiTheme="minorHAnsi"/>
                <w:b/>
                <w:color w:val="365F91" w:themeColor="accent1" w:themeShade="BF"/>
              </w:rPr>
              <w:t>Kompleksinė paslaugų plėtra integruotų teritorijų vystymo programų tikslinėse teritorijose</w:t>
            </w:r>
            <w:r w:rsidR="005E1BCA">
              <w:rPr>
                <w:rFonts w:asciiTheme="minorHAnsi" w:hAnsiTheme="minorHAnsi"/>
                <w:b/>
                <w:color w:val="365F91" w:themeColor="accent1" w:themeShade="BF"/>
              </w:rPr>
              <w:t>“</w:t>
            </w:r>
            <w:r w:rsidR="006F28A0">
              <w:rPr>
                <w:rFonts w:asciiTheme="minorHAnsi" w:hAnsiTheme="minorHAnsi"/>
                <w:b/>
                <w:color w:val="365F91" w:themeColor="accent1" w:themeShade="BF"/>
              </w:rPr>
              <w:t xml:space="preserve"> </w:t>
            </w:r>
            <w:r w:rsidR="00483AC7">
              <w:rPr>
                <w:rFonts w:asciiTheme="minorHAnsi" w:hAnsiTheme="minorHAnsi"/>
                <w:b/>
                <w:color w:val="365F91" w:themeColor="accent1" w:themeShade="BF"/>
              </w:rPr>
              <w:t xml:space="preserve">nesuplanuotų </w:t>
            </w:r>
            <w:r w:rsidR="006F28A0">
              <w:rPr>
                <w:rFonts w:asciiTheme="minorHAnsi" w:hAnsiTheme="minorHAnsi"/>
                <w:b/>
                <w:color w:val="365F91" w:themeColor="accent1" w:themeShade="BF"/>
              </w:rPr>
              <w:t>lėš</w:t>
            </w:r>
            <w:r w:rsidR="00A64830">
              <w:rPr>
                <w:rFonts w:asciiTheme="minorHAnsi" w:hAnsiTheme="minorHAnsi"/>
                <w:b/>
                <w:color w:val="365F91" w:themeColor="accent1" w:themeShade="BF"/>
              </w:rPr>
              <w:t>ų</w:t>
            </w:r>
            <w:r w:rsidR="00483AC7">
              <w:rPr>
                <w:rFonts w:asciiTheme="minorHAnsi" w:hAnsiTheme="minorHAnsi"/>
                <w:b/>
                <w:color w:val="365F91" w:themeColor="accent1" w:themeShade="BF"/>
              </w:rPr>
              <w:t xml:space="preserve"> </w:t>
            </w:r>
            <w:r w:rsidR="00A64830">
              <w:rPr>
                <w:rFonts w:asciiTheme="minorHAnsi" w:hAnsiTheme="minorHAnsi"/>
                <w:b/>
                <w:color w:val="365F91" w:themeColor="accent1" w:themeShade="BF"/>
              </w:rPr>
              <w:t>perskirstymo</w:t>
            </w:r>
            <w:r w:rsidR="00D520AA">
              <w:rPr>
                <w:rFonts w:asciiTheme="minorHAnsi" w:hAnsiTheme="minorHAnsi"/>
                <w:b/>
                <w:color w:val="365F91" w:themeColor="accent1" w:themeShade="BF"/>
              </w:rPr>
              <w:t xml:space="preserve"> kitoms Vidaus reikalų ministerijos priemonėms arba kitoms ministerijoms</w:t>
            </w:r>
            <w:r w:rsidR="00A64830">
              <w:rPr>
                <w:rFonts w:asciiTheme="minorHAnsi" w:hAnsiTheme="minorHAnsi"/>
                <w:b/>
                <w:color w:val="365F91" w:themeColor="accent1" w:themeShade="BF"/>
              </w:rPr>
              <w:t>.</w:t>
            </w:r>
            <w:r w:rsidR="006F28A0">
              <w:rPr>
                <w:rFonts w:asciiTheme="minorHAnsi" w:hAnsiTheme="minorHAnsi"/>
                <w:b/>
                <w:color w:val="365F91" w:themeColor="accent1" w:themeShade="BF"/>
              </w:rPr>
              <w:t xml:space="preserve"> </w:t>
            </w:r>
          </w:p>
          <w:p w:rsidR="00715BBF" w:rsidRPr="00715BBF" w:rsidRDefault="00D520AA" w:rsidP="00715BBF">
            <w:pPr>
              <w:jc w:val="both"/>
              <w:rPr>
                <w:rFonts w:asciiTheme="minorHAnsi" w:hAnsiTheme="minorHAnsi"/>
                <w:b/>
                <w:color w:val="365F91" w:themeColor="accent1" w:themeShade="BF"/>
              </w:rPr>
            </w:pPr>
            <w:r>
              <w:rPr>
                <w:rFonts w:asciiTheme="minorHAnsi" w:hAnsiTheme="minorHAnsi"/>
                <w:b/>
                <w:color w:val="365F91" w:themeColor="accent1" w:themeShade="BF"/>
              </w:rPr>
              <w:t xml:space="preserve">- </w:t>
            </w:r>
            <w:r w:rsidRPr="00D520AA">
              <w:rPr>
                <w:rFonts w:asciiTheme="minorHAnsi" w:hAnsiTheme="minorHAnsi"/>
                <w:b/>
                <w:color w:val="365F91" w:themeColor="accent1" w:themeShade="BF"/>
              </w:rPr>
              <w:t>Iki 2019 m. vasario 28 d. pateikti Finansų ministerijai Priemonės įgyvendinimo plano pakeitimą, kuriuo investicijoms į infrastruktūrą, svarbią verslo plėtrai, finansavimas didinamas iki 10 mln. eurų iš kitų priemon</w:t>
            </w:r>
            <w:bookmarkStart w:id="23" w:name="_GoBack"/>
            <w:bookmarkEnd w:id="23"/>
            <w:r w:rsidRPr="00D520AA">
              <w:rPr>
                <w:rFonts w:asciiTheme="minorHAnsi" w:hAnsiTheme="minorHAnsi"/>
                <w:b/>
                <w:color w:val="365F91" w:themeColor="accent1" w:themeShade="BF"/>
              </w:rPr>
              <w:t>ių nesuplanuot</w:t>
            </w:r>
            <w:r w:rsidR="009104D8">
              <w:rPr>
                <w:rFonts w:asciiTheme="minorHAnsi" w:hAnsiTheme="minorHAnsi"/>
                <w:b/>
                <w:color w:val="365F91" w:themeColor="accent1" w:themeShade="BF"/>
              </w:rPr>
              <w:t>ų lėšų</w:t>
            </w:r>
            <w:r w:rsidR="00715BBF" w:rsidRPr="00715BBF">
              <w:rPr>
                <w:rFonts w:asciiTheme="minorHAnsi" w:hAnsiTheme="minorHAnsi"/>
                <w:b/>
                <w:color w:val="365F91" w:themeColor="accent1" w:themeShade="BF"/>
              </w:rPr>
              <w:t>.</w:t>
            </w:r>
          </w:p>
          <w:p w:rsidR="00636E2B" w:rsidRPr="00715BBF" w:rsidRDefault="0080367B" w:rsidP="00636E2B">
            <w:pPr>
              <w:jc w:val="both"/>
              <w:rPr>
                <w:rFonts w:asciiTheme="minorHAnsi" w:hAnsiTheme="minorHAnsi"/>
                <w:b/>
                <w:color w:val="365F91" w:themeColor="accent1" w:themeShade="BF"/>
              </w:rPr>
            </w:pPr>
            <w:r>
              <w:rPr>
                <w:rFonts w:asciiTheme="minorHAnsi" w:hAnsiTheme="minorHAnsi"/>
                <w:b/>
                <w:color w:val="365F91" w:themeColor="accent1" w:themeShade="BF"/>
              </w:rPr>
              <w:t xml:space="preserve">- </w:t>
            </w:r>
            <w:r w:rsidR="00715BBF" w:rsidRPr="00715BBF">
              <w:rPr>
                <w:rFonts w:asciiTheme="minorHAnsi" w:hAnsiTheme="minorHAnsi"/>
                <w:b/>
                <w:color w:val="365F91" w:themeColor="accent1" w:themeShade="BF"/>
              </w:rPr>
              <w:t xml:space="preserve">Spręsti savivaldybėse neįgyvendinamų 7 prioriteto </w:t>
            </w:r>
            <w:r w:rsidR="00876628">
              <w:rPr>
                <w:rFonts w:asciiTheme="minorHAnsi" w:hAnsiTheme="minorHAnsi"/>
                <w:b/>
                <w:color w:val="365F91" w:themeColor="accent1" w:themeShade="BF"/>
              </w:rPr>
              <w:t xml:space="preserve">(ypač didžiųjų miestų) </w:t>
            </w:r>
            <w:r w:rsidR="00715BBF" w:rsidRPr="00715BBF">
              <w:rPr>
                <w:rFonts w:asciiTheme="minorHAnsi" w:hAnsiTheme="minorHAnsi"/>
                <w:b/>
                <w:color w:val="365F91" w:themeColor="accent1" w:themeShade="BF"/>
              </w:rPr>
              <w:t>projektų problemas, glaudžiai bendradarbiaujant su projektus įgyvendinančiomis savivaldybėmis</w:t>
            </w:r>
            <w:r w:rsidR="006C0F62">
              <w:rPr>
                <w:rFonts w:asciiTheme="minorHAnsi" w:hAnsiTheme="minorHAnsi"/>
                <w:b/>
                <w:color w:val="365F91" w:themeColor="accent1" w:themeShade="BF"/>
              </w:rPr>
              <w:t xml:space="preserve"> ir</w:t>
            </w:r>
            <w:r w:rsidR="00483AC7">
              <w:rPr>
                <w:rFonts w:asciiTheme="minorHAnsi" w:hAnsiTheme="minorHAnsi"/>
                <w:b/>
                <w:color w:val="365F91" w:themeColor="accent1" w:themeShade="BF"/>
              </w:rPr>
              <w:t>,</w:t>
            </w:r>
            <w:r w:rsidR="006C0F62">
              <w:rPr>
                <w:rFonts w:asciiTheme="minorHAnsi" w:hAnsiTheme="minorHAnsi"/>
                <w:b/>
                <w:color w:val="365F91" w:themeColor="accent1" w:themeShade="BF"/>
              </w:rPr>
              <w:t xml:space="preserve"> nustačius didelę lėšų nepanaudojimo riziką, nedelsiant pateikti siūlymus Finansų ministerijai dėl lėšų perskirstymo</w:t>
            </w:r>
            <w:r w:rsidR="00715BBF" w:rsidRPr="00715BBF">
              <w:rPr>
                <w:rFonts w:asciiTheme="minorHAnsi" w:hAnsiTheme="minorHAnsi"/>
                <w:b/>
                <w:color w:val="365F91" w:themeColor="accent1" w:themeShade="BF"/>
              </w:rPr>
              <w:t>.</w:t>
            </w:r>
            <w:r w:rsidR="00077876">
              <w:rPr>
                <w:rFonts w:asciiTheme="minorHAnsi" w:hAnsiTheme="minorHAnsi"/>
                <w:b/>
                <w:color w:val="365F91" w:themeColor="accent1" w:themeShade="BF"/>
              </w:rPr>
              <w:t xml:space="preserve"> </w:t>
            </w:r>
            <w:r w:rsidR="00636E2B">
              <w:rPr>
                <w:rFonts w:asciiTheme="minorHAnsi" w:hAnsiTheme="minorHAnsi"/>
                <w:b/>
                <w:color w:val="365F91" w:themeColor="accent1" w:themeShade="BF"/>
              </w:rPr>
              <w:t xml:space="preserve"> </w:t>
            </w:r>
          </w:p>
        </w:tc>
      </w:tr>
    </w:tbl>
    <w:p w:rsidR="00EE7E69" w:rsidRDefault="00EE7E69" w:rsidP="00122388">
      <w:pPr>
        <w:pStyle w:val="tekstas"/>
      </w:pPr>
    </w:p>
    <w:p w:rsidR="00F447A9" w:rsidRDefault="005A261F" w:rsidP="000F648D">
      <w:pPr>
        <w:pStyle w:val="tekstas"/>
      </w:pPr>
      <w:r w:rsidRPr="005A261F">
        <w:t xml:space="preserve">Kultūros ministerijai 7 prioritete skirto ERPF finansavimo dalis sudaro trečdalį prioriteto ERPF lėšų, todėl lėtas lėšų išmokėjimas neigiamai veikė viso 7 prioriteto finansinio veiklos peržiūros rodiklio pasiekimą. Šis rodiklis nebuvo pasiektas ir Kultūros ministerija prarado veiklos lėšų rezervą (6,1 mln. eurų). Valstybės projektų planavimo būdu įgyvendinamoje kultūros infrastruktūros priemonėje buvo bandyta įgyvendinti pilotinius projektus, kompleksiškai derinant kultūros ir energetikos priemones. </w:t>
      </w:r>
      <w:r w:rsidR="00A80B97" w:rsidRPr="00A80B97">
        <w:t>Šis modelis buvo labai imlus laikui, dėl to vėlavo sprendimai įtraukti projektus į valstybės projektų sąrašus</w:t>
      </w:r>
      <w:r w:rsidRPr="005A261F">
        <w:t>. Kultūros ministerijos projektai, planavę kompleksines investicijas, nebuvo pradėti įgyvendinti, kol nebuvo aišku, kada ir kiek jiems Energetikos ministerija skirs finansavimo pagal energetinio efektyvumo priemonę</w:t>
      </w:r>
      <w:r w:rsidR="00EF14F1">
        <w:t xml:space="preserve"> (paskutiniai sprendimai įtraukti tokius projektus į Energetikos ministerijos valstybės projektų sąrašus priimti </w:t>
      </w:r>
      <w:r w:rsidR="002562D7">
        <w:t>2019 m. sausio 28 d.</w:t>
      </w:r>
      <w:r w:rsidR="00EF14F1">
        <w:t>)</w:t>
      </w:r>
      <w:r w:rsidRPr="005A261F">
        <w:t xml:space="preserve">. </w:t>
      </w:r>
      <w:r w:rsidR="002562D7">
        <w:t>Į šį Energetikos ministerijos valstybės projektų sąrašą įtrauktiems trims Kultūros ministerijos projektams  (L</w:t>
      </w:r>
      <w:r w:rsidR="00D0123C">
        <w:t>ietuvos nacionaliniam dramos teatrui</w:t>
      </w:r>
      <w:r w:rsidR="002562D7">
        <w:t>, Kauno</w:t>
      </w:r>
      <w:r w:rsidR="00F447A9">
        <w:t xml:space="preserve"> apskrities vieša</w:t>
      </w:r>
      <w:r w:rsidR="002562D7">
        <w:t xml:space="preserve">jai bibliotekai bei </w:t>
      </w:r>
      <w:r w:rsidR="00F447A9">
        <w:t>Nacionaliniam M.K. Čiurlionio dailės muziejui)</w:t>
      </w:r>
      <w:r w:rsidR="002562D7">
        <w:t xml:space="preserve"> buvo planuota </w:t>
      </w:r>
      <w:r w:rsidR="00F447A9">
        <w:t xml:space="preserve">gauti apie 15,3 mln. </w:t>
      </w:r>
      <w:r w:rsidR="00805956">
        <w:t>eurų</w:t>
      </w:r>
      <w:r w:rsidR="00F447A9">
        <w:t xml:space="preserve"> energijos efektyvumo didinimo priemonėms projektuose finansuoti, tačiau </w:t>
      </w:r>
      <w:r w:rsidR="00E82C03">
        <w:t>Energetikos ministro įsakymu minėtiems projektams skirta</w:t>
      </w:r>
      <w:r w:rsidR="00F447A9">
        <w:t xml:space="preserve"> </w:t>
      </w:r>
      <w:r w:rsidR="00E82C03">
        <w:t xml:space="preserve">tik apie </w:t>
      </w:r>
      <w:r w:rsidR="00F447A9">
        <w:t xml:space="preserve">3,3 mln. </w:t>
      </w:r>
      <w:r w:rsidR="00F27BDB">
        <w:t>eurų</w:t>
      </w:r>
      <w:r w:rsidR="00F447A9">
        <w:t>.</w:t>
      </w:r>
      <w:r w:rsidR="00E82C03">
        <w:t xml:space="preserve"> Kultūros ministerija t</w:t>
      </w:r>
      <w:r w:rsidR="00D0123C">
        <w:t>u</w:t>
      </w:r>
      <w:r w:rsidR="00E82C03">
        <w:t>rės ieškoti papildomų lėšų šių projektų įgyvendinimui.</w:t>
      </w:r>
    </w:p>
    <w:p w:rsidR="00AB11B4" w:rsidRDefault="005A261F" w:rsidP="000F648D">
      <w:pPr>
        <w:pStyle w:val="tekstas"/>
      </w:pPr>
      <w:r w:rsidRPr="005A261F">
        <w:lastRenderedPageBreak/>
        <w:t xml:space="preserve">Kita ilgo lėšų neišmokėjimo projektams priežastis – teismai dėl viešųjų pirkimų, ilgai nagrinėjami objekto dalių nuosavybės klausimai, lėšų apmokėti pripažintoms netinkamomis finansuoti išlaidoms paieška. </w:t>
      </w:r>
    </w:p>
    <w:p w:rsidR="005A261F" w:rsidRPr="005A261F" w:rsidRDefault="005A261F" w:rsidP="000F648D">
      <w:pPr>
        <w:pStyle w:val="tekstas"/>
      </w:pPr>
      <w:r w:rsidRPr="005A261F">
        <w:t xml:space="preserve">Savivaldybių projektai įgyvendinami pakankamai sparčiai, tačiau jie yra smulkūs (bendra vertė – 20 proc. visos prioriteto kultūros sričiai skirtos sumos) ir didelio poveikio finansiniam veiklos peržiūros rodikliui neturėjo. </w:t>
      </w:r>
    </w:p>
    <w:p w:rsidR="000F648D" w:rsidRDefault="005A261F" w:rsidP="000F648D">
      <w:pPr>
        <w:pStyle w:val="tekstas"/>
      </w:pPr>
      <w:r w:rsidRPr="005A261F">
        <w:t xml:space="preserve">2019 metais išlieka šios rizikos: </w:t>
      </w:r>
    </w:p>
    <w:p w:rsidR="000F648D" w:rsidRDefault="005A261F" w:rsidP="000F648D">
      <w:pPr>
        <w:pStyle w:val="tekstas"/>
        <w:numPr>
          <w:ilvl w:val="0"/>
          <w:numId w:val="5"/>
        </w:numPr>
      </w:pPr>
      <w:r w:rsidRPr="005A261F">
        <w:t xml:space="preserve">dėl viešųjų pirkimų išaugusi kai kurių projektų vertė ir atitinkamas papildomų lėšų poreikis; </w:t>
      </w:r>
    </w:p>
    <w:p w:rsidR="000F648D" w:rsidRDefault="005A261F" w:rsidP="000F648D">
      <w:pPr>
        <w:pStyle w:val="tekstas"/>
        <w:numPr>
          <w:ilvl w:val="0"/>
          <w:numId w:val="5"/>
        </w:numPr>
      </w:pPr>
      <w:r w:rsidRPr="005A261F">
        <w:t xml:space="preserve">vis dar nestartavę </w:t>
      </w:r>
      <w:r w:rsidR="002562D7">
        <w:t xml:space="preserve">valstybinio planavimo kultūros infrastruktūros </w:t>
      </w:r>
      <w:r w:rsidRPr="005A261F">
        <w:t xml:space="preserve">projektai, kuriuose planuojama Kultūros ministerijos administruojamas lėšas derinti su energetinio efektyvumo didinimo priemonės lėšomis; </w:t>
      </w:r>
    </w:p>
    <w:p w:rsidR="005A261F" w:rsidRPr="005A261F" w:rsidRDefault="005A261F" w:rsidP="000F648D">
      <w:pPr>
        <w:pStyle w:val="tekstas"/>
        <w:numPr>
          <w:ilvl w:val="0"/>
          <w:numId w:val="5"/>
        </w:numPr>
      </w:pPr>
      <w:r w:rsidRPr="005A261F">
        <w:t xml:space="preserve">kadangi nėra aiškus </w:t>
      </w:r>
      <w:r w:rsidR="002562D7">
        <w:t xml:space="preserve">kultūros infrastruktūros </w:t>
      </w:r>
      <w:r w:rsidRPr="005A261F">
        <w:t>konkursinės priemonės lėšų likutis, valstybės projektų sąrašai yra sudaryti ne visai lėšų sumai. Kultūros ministerija kartu su galimais pareiškėjais turi parengusi keletą rezervinių projektų, tačiau atsižvelgiant į tai, kad lėšų likutis nebus pakankamas įgyvendinti visiems projektams, kurių projektiniai pasiūlymai šiuo metu yra pateikti, ministerija turėtų nustatyti aiškius finansavimo skyrimo prioritetus finansavimo laukiantiems projektams.</w:t>
      </w:r>
    </w:p>
    <w:p w:rsidR="005A261F" w:rsidRPr="005A261F" w:rsidRDefault="005A261F" w:rsidP="00122388">
      <w:pPr>
        <w:pStyle w:val="tekstas"/>
        <w:rPr>
          <w:rFonts w:cstheme="minorHAnsi"/>
          <w:color w:val="365F91" w:themeColor="accent1" w:themeShade="BF"/>
        </w:rPr>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5A261F" w:rsidRPr="005A261F" w:rsidTr="005331E3">
        <w:tc>
          <w:tcPr>
            <w:tcW w:w="9638" w:type="dxa"/>
            <w:tcBorders>
              <w:top w:val="nil"/>
              <w:left w:val="nil"/>
              <w:bottom w:val="nil"/>
              <w:right w:val="nil"/>
            </w:tcBorders>
            <w:shd w:val="clear" w:color="auto" w:fill="D9D9D9" w:themeFill="background1" w:themeFillShade="D9"/>
          </w:tcPr>
          <w:p w:rsidR="005A261F" w:rsidRPr="005A261F" w:rsidRDefault="005A261F" w:rsidP="005A261F">
            <w:pPr>
              <w:autoSpaceDE w:val="0"/>
              <w:autoSpaceDN w:val="0"/>
              <w:adjustRightInd w:val="0"/>
              <w:rPr>
                <w:rFonts w:asciiTheme="minorHAnsi" w:hAnsiTheme="minorHAnsi" w:cstheme="minorHAnsi"/>
                <w:b/>
                <w:color w:val="365F91" w:themeColor="accent1" w:themeShade="BF"/>
                <w:szCs w:val="24"/>
              </w:rPr>
            </w:pPr>
            <w:r w:rsidRPr="005A261F">
              <w:rPr>
                <w:rFonts w:asciiTheme="minorHAnsi" w:hAnsiTheme="minorHAnsi" w:cstheme="minorHAnsi"/>
                <w:b/>
                <w:color w:val="365F91" w:themeColor="accent1" w:themeShade="BF"/>
                <w:szCs w:val="24"/>
              </w:rPr>
              <w:t>Siūlymas Kultūros ministerijai: </w:t>
            </w:r>
          </w:p>
          <w:p w:rsidR="005A261F" w:rsidRPr="005A261F" w:rsidRDefault="000F648D" w:rsidP="005A261F">
            <w:pPr>
              <w:rPr>
                <w:rFonts w:asciiTheme="minorHAnsi" w:hAnsiTheme="minorHAnsi" w:cstheme="minorHAnsi"/>
                <w:color w:val="365F91" w:themeColor="accent1" w:themeShade="BF"/>
                <w:szCs w:val="24"/>
              </w:rPr>
            </w:pPr>
            <w:r>
              <w:rPr>
                <w:rFonts w:asciiTheme="minorHAnsi" w:hAnsiTheme="minorHAnsi" w:cstheme="minorHAnsi"/>
                <w:b/>
                <w:color w:val="365F91" w:themeColor="accent1" w:themeShade="BF"/>
                <w:szCs w:val="24"/>
              </w:rPr>
              <w:t xml:space="preserve">- </w:t>
            </w:r>
            <w:r w:rsidR="005A261F" w:rsidRPr="005A261F">
              <w:rPr>
                <w:rFonts w:asciiTheme="minorHAnsi" w:hAnsiTheme="minorHAnsi" w:cstheme="minorHAnsi"/>
                <w:b/>
                <w:color w:val="365F91" w:themeColor="accent1" w:themeShade="BF"/>
                <w:szCs w:val="24"/>
              </w:rPr>
              <w:t>Iki 2019 m. balandžio 30 d. baigti sudaryti valstybės projektų sąrašus visai likusiai ministerijos administruojamai prioriteto lėšų sumai.</w:t>
            </w:r>
          </w:p>
        </w:tc>
      </w:tr>
    </w:tbl>
    <w:p w:rsidR="007328BC" w:rsidRPr="002D0C55" w:rsidRDefault="007F5C35" w:rsidP="002D0C55">
      <w:pPr>
        <w:pStyle w:val="antrat3zz"/>
        <w:rPr>
          <w:rFonts w:cstheme="minorHAnsi"/>
        </w:rPr>
      </w:pPr>
      <w:bookmarkStart w:id="24" w:name="_Toc512504084"/>
      <w:bookmarkStart w:id="25" w:name="_Toc1041289"/>
      <w:r w:rsidRPr="002A0208">
        <w:rPr>
          <w:rFonts w:cstheme="minorHAnsi"/>
        </w:rPr>
        <w:t xml:space="preserve">8 prioritetas. Socialinės </w:t>
      </w:r>
      <w:proofErr w:type="spellStart"/>
      <w:r w:rsidRPr="002A0208">
        <w:rPr>
          <w:rFonts w:cstheme="minorHAnsi"/>
        </w:rPr>
        <w:t>įtraukties</w:t>
      </w:r>
      <w:proofErr w:type="spellEnd"/>
      <w:r w:rsidRPr="002A0208">
        <w:rPr>
          <w:rFonts w:cstheme="minorHAnsi"/>
        </w:rPr>
        <w:t xml:space="preserve"> didinimas ir kova su skurdu</w:t>
      </w:r>
      <w:bookmarkEnd w:id="24"/>
      <w:bookmarkEnd w:id="25"/>
    </w:p>
    <w:p w:rsidR="007F1446" w:rsidRDefault="007F1446" w:rsidP="007F1446">
      <w:pPr>
        <w:pStyle w:val="tekstas"/>
      </w:pPr>
      <w:r>
        <w:t xml:space="preserve">74 proc. 8 prioriteto lėšų jau suplanuoti, 63 proc. sumai sudarytos sutartys ir 28 proc. išmokėti. 2018 m. sutarčių ir išmokėjimų planai įvykdyti atitinkamai 74 proc. ir 85 proc. </w:t>
      </w:r>
    </w:p>
    <w:p w:rsidR="00B258D1" w:rsidRPr="000F648D" w:rsidRDefault="000F648D" w:rsidP="000F648D">
      <w:pPr>
        <w:pStyle w:val="tekstas"/>
      </w:pPr>
      <w:r>
        <w:t>2018 m.</w:t>
      </w:r>
      <w:r w:rsidR="00B258D1" w:rsidRPr="000F648D">
        <w:t xml:space="preserve"> Socialinės apsaugos ir darbo ministerija pasiekė ir viršijo Veiksmų programos 8 prioriteto ve</w:t>
      </w:r>
      <w:r>
        <w:t>iklos peržiūros rodiklius. K</w:t>
      </w:r>
      <w:r w:rsidR="00B258D1" w:rsidRPr="000F648D">
        <w:t xml:space="preserve">ai kurie iš jų metų pradžioje buvo laikomi rizikingais. Iki 2018 m. pabaigos ministerija suplanavo didžiąją dalį 8 prioriteto investicijų (ESF investicijos – 81 proc., ERPF investicijos – 67 proc.), sutarčių sudaryta už 71 proc. ESF ir 65 proc. ERPF lėšų. </w:t>
      </w:r>
    </w:p>
    <w:p w:rsidR="00B258D1" w:rsidRPr="000F648D" w:rsidRDefault="000F648D" w:rsidP="000F648D">
      <w:pPr>
        <w:pStyle w:val="tekstas"/>
      </w:pPr>
      <w:r>
        <w:t>2018 m.</w:t>
      </w:r>
      <w:r w:rsidR="00B258D1" w:rsidRPr="000F648D">
        <w:t xml:space="preserve"> buvo peržiūrėtas socialinio būsto priemonės projektų/paraiškų investicijų pagrįstumas ir pasirašytos visos finansavimo sutartys (3 savivaldybių projektai jau baigti įgyvendinti), iki 2018 m. pabaigos viso buvo įrengti arba įsigyti  669 socialiniai būstai.</w:t>
      </w:r>
      <w:r w:rsidR="00B258D1" w:rsidRPr="000F648D" w:rsidDel="000A66B8">
        <w:t xml:space="preserve"> </w:t>
      </w:r>
      <w:r>
        <w:t>CPVA</w:t>
      </w:r>
      <w:r w:rsidR="00B258D1" w:rsidRPr="000F648D">
        <w:t xml:space="preserve"> iniciatyva taip pat buvo įgyvendinta sėkminga viešinimo kampanija, kurios tikslas – keisti visuomenės požiūrį į socialinio būsto gyventojus. </w:t>
      </w:r>
    </w:p>
    <w:p w:rsidR="00B258D1" w:rsidRPr="000F648D" w:rsidRDefault="00B258D1" w:rsidP="000F648D">
      <w:pPr>
        <w:pStyle w:val="tekstas"/>
      </w:pPr>
      <w:r w:rsidRPr="000F648D">
        <w:t>Sėkmingai vykdomi priemonių „Kompleksinės paslaugos šeimai“ ir „Integrali pagalba į namus“ projektai, teikiantys bendruomenėje reikalingas paslaugas šeimoms, neįgaliesiems bei senyvo amžiaus asmenims. Šių paslaugų didžiulis poreikis, nauda ir jų teikimo būdas formuoja modelį tokių paslaugų teikimui ir finansavimui ateityje valstybės mastu (neapsiribojant tik projektine veikla).</w:t>
      </w:r>
    </w:p>
    <w:p w:rsidR="00324376" w:rsidRPr="000F648D" w:rsidRDefault="00B258D1" w:rsidP="000F648D">
      <w:pPr>
        <w:pStyle w:val="tekstas"/>
      </w:pPr>
      <w:r w:rsidRPr="000F648D">
        <w:t xml:space="preserve">Socialinės apsaugos ir darbo ministerija toliau tęsia veiklų, skirtų institucinės globos pertvarkai vykdyti, planavimą ir finansavimą. 2018 m. pabaigoje pasirašyta jau antra sutartis, skirta vaikų globos pertvarkai vykdyti (11,6 mln. eurų ES lėšų skirta globos centrų veiklai ir mobilių komandų paslaugoms plėtoti). Taip pat paskelbtos finansavimo sąlygos bei pradėti rinkti projektiniai pasiūlymai vaikų globos pertvarkai reikalingos infrastruktūros bendruomenėje kūrimui (viso tam numatyta skirti 14 mln. eurų ES ir valstybės biudžeto lėšų). Nors didžioji dauguma Socialinės apsaugos ir darbo ministerijos priemonių lėšų jau yra suplanuota, tačiau institucinės globos pertvarkai skirtose 2 priemonėse lėšų vis dar suplanuota mažiau nei pusė (35,9 mln. eurų) visų </w:t>
      </w:r>
      <w:r w:rsidRPr="000F648D">
        <w:lastRenderedPageBreak/>
        <w:t>joms numatytų lėšų (77,4 mln. eurų ES ir valstybės biudžeto lėšų), t. y. vis dar nėra suplanuota neįgaliųjų globos pertvarkai skirtų ESF ir ERPF lėšų dalis. Planavimas užtruko skiriant prioritetą vaikų globos pertvarkai vykdyti. Taip pat siekta identifikuoti globos įstaigose esančių neįgaliųjų poreikius ir jiems bendruomenėje reikalingas paslaugas bei infrastruktūrą. Visgi vėluojantis neįgaliųjų institucinės globos pertvarkos investicijų planavimas kelia nerimą ir dėl tam rezervuotų lėšų panaudojimo</w:t>
      </w:r>
      <w:r w:rsidR="00463377">
        <w:t xml:space="preserve"> laiku</w:t>
      </w:r>
      <w:r w:rsidRPr="000F648D">
        <w:t>. Atsižvelgiant į tai, 2019 m. svarbu užtikrinti spartesnį investicijų, skirtų neįgaliųjų institucinės globos pertvarkai vykdyti, planavimą ir reikiamų dokumentų parengimą.</w:t>
      </w:r>
    </w:p>
    <w:p w:rsidR="004F5EEC" w:rsidRDefault="004F5EEC" w:rsidP="004F5EEC">
      <w:pPr>
        <w:jc w:val="both"/>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4F5EEC" w:rsidRPr="002A0208" w:rsidTr="005331E3">
        <w:tc>
          <w:tcPr>
            <w:tcW w:w="9638" w:type="dxa"/>
            <w:tcBorders>
              <w:top w:val="nil"/>
              <w:left w:val="nil"/>
              <w:bottom w:val="nil"/>
              <w:right w:val="nil"/>
            </w:tcBorders>
            <w:shd w:val="clear" w:color="auto" w:fill="D9D9D9" w:themeFill="background1" w:themeFillShade="D9"/>
          </w:tcPr>
          <w:p w:rsidR="004F5EEC" w:rsidRPr="00715BBF" w:rsidRDefault="004F5EEC" w:rsidP="005331E3">
            <w:pPr>
              <w:jc w:val="both"/>
              <w:rPr>
                <w:rFonts w:asciiTheme="minorHAnsi" w:hAnsiTheme="minorHAnsi"/>
                <w:b/>
                <w:color w:val="365F91" w:themeColor="accent1" w:themeShade="BF"/>
              </w:rPr>
            </w:pPr>
            <w:r>
              <w:rPr>
                <w:rFonts w:asciiTheme="minorHAnsi" w:hAnsiTheme="minorHAnsi"/>
                <w:b/>
                <w:color w:val="365F91" w:themeColor="accent1" w:themeShade="BF"/>
              </w:rPr>
              <w:t>Siūlymas Socialinės apsaugos ir darbo</w:t>
            </w:r>
            <w:r w:rsidRPr="00715BBF">
              <w:rPr>
                <w:rFonts w:asciiTheme="minorHAnsi" w:hAnsiTheme="minorHAnsi"/>
                <w:b/>
                <w:color w:val="365F91" w:themeColor="accent1" w:themeShade="BF"/>
              </w:rPr>
              <w:t xml:space="preserve"> ministerijai:</w:t>
            </w:r>
          </w:p>
          <w:p w:rsidR="004F5EEC" w:rsidRPr="000F648D" w:rsidRDefault="004F5EEC" w:rsidP="001741B6">
            <w:pPr>
              <w:jc w:val="both"/>
              <w:rPr>
                <w:rFonts w:asciiTheme="minorHAnsi" w:hAnsiTheme="minorHAnsi"/>
                <w:b/>
                <w:color w:val="365F91" w:themeColor="accent1" w:themeShade="BF"/>
              </w:rPr>
            </w:pPr>
            <w:r>
              <w:rPr>
                <w:rFonts w:asciiTheme="minorHAnsi" w:hAnsiTheme="minorHAnsi"/>
                <w:b/>
                <w:color w:val="365F91" w:themeColor="accent1" w:themeShade="BF"/>
              </w:rPr>
              <w:t xml:space="preserve">- </w:t>
            </w:r>
            <w:r w:rsidR="007631AF">
              <w:rPr>
                <w:rFonts w:asciiTheme="minorHAnsi" w:hAnsiTheme="minorHAnsi"/>
                <w:b/>
                <w:color w:val="365F91" w:themeColor="accent1" w:themeShade="BF"/>
              </w:rPr>
              <w:t>I</w:t>
            </w:r>
            <w:r w:rsidRPr="00B258D1">
              <w:rPr>
                <w:rFonts w:asciiTheme="minorHAnsi" w:hAnsiTheme="minorHAnsi"/>
                <w:b/>
                <w:color w:val="365F91" w:themeColor="accent1" w:themeShade="BF"/>
              </w:rPr>
              <w:t xml:space="preserve">ki 2019 m. </w:t>
            </w:r>
            <w:r w:rsidR="001547CA">
              <w:rPr>
                <w:rFonts w:asciiTheme="minorHAnsi" w:hAnsiTheme="minorHAnsi"/>
                <w:b/>
                <w:color w:val="365F91" w:themeColor="accent1" w:themeShade="BF"/>
              </w:rPr>
              <w:t xml:space="preserve">birželio 30 d. ir </w:t>
            </w:r>
            <w:r w:rsidR="001741B6">
              <w:rPr>
                <w:rFonts w:asciiTheme="minorHAnsi" w:hAnsiTheme="minorHAnsi"/>
                <w:b/>
                <w:color w:val="365F91" w:themeColor="accent1" w:themeShade="BF"/>
              </w:rPr>
              <w:t>rugpjūčio</w:t>
            </w:r>
            <w:r w:rsidR="001741B6" w:rsidRPr="00B258D1">
              <w:rPr>
                <w:rFonts w:asciiTheme="minorHAnsi" w:hAnsiTheme="minorHAnsi"/>
                <w:b/>
                <w:color w:val="365F91" w:themeColor="accent1" w:themeShade="BF"/>
              </w:rPr>
              <w:t xml:space="preserve"> </w:t>
            </w:r>
            <w:r w:rsidRPr="00B258D1">
              <w:rPr>
                <w:rFonts w:asciiTheme="minorHAnsi" w:hAnsiTheme="minorHAnsi"/>
                <w:b/>
                <w:color w:val="365F91" w:themeColor="accent1" w:themeShade="BF"/>
              </w:rPr>
              <w:t xml:space="preserve">31 d. užtikrinti, kad </w:t>
            </w:r>
            <w:r w:rsidR="001547CA">
              <w:rPr>
                <w:rFonts w:asciiTheme="minorHAnsi" w:hAnsiTheme="minorHAnsi"/>
                <w:b/>
                <w:color w:val="365F91" w:themeColor="accent1" w:themeShade="BF"/>
              </w:rPr>
              <w:t xml:space="preserve">atitinkamai </w:t>
            </w:r>
            <w:r w:rsidRPr="00B258D1">
              <w:rPr>
                <w:rFonts w:asciiTheme="minorHAnsi" w:hAnsiTheme="minorHAnsi"/>
                <w:b/>
                <w:color w:val="365F91" w:themeColor="accent1" w:themeShade="BF"/>
              </w:rPr>
              <w:t>pagal priemones „Institucinės globos pertvarka“ ir „Institucinės globos pertvarka: investicijos į infrastruktūrą“ būtų parengti finansavimo sąlygų aprašai neįgaliųjų integracijos bendruomenėje paslaugoms ir infrastruktūrai finansuoti.</w:t>
            </w:r>
          </w:p>
        </w:tc>
      </w:tr>
    </w:tbl>
    <w:p w:rsidR="00324376" w:rsidRDefault="00324376" w:rsidP="00756E6F">
      <w:pPr>
        <w:jc w:val="both"/>
      </w:pPr>
    </w:p>
    <w:p w:rsidR="001C3F22" w:rsidRDefault="001C3F22" w:rsidP="000F648D">
      <w:pPr>
        <w:pStyle w:val="tekstas"/>
      </w:pPr>
      <w:r>
        <w:t xml:space="preserve">Per 2018 m. Sveikatos apsaugos ministerija suplanavo didžiąją dalį investicijų (2018 m. gruodžio 31 d. duomenis, suplanuotos investicijos sudaro 71 proc.), pasiekti visi Veiksmų programos veiklos peržiūros rodikliai. Vis dėlto, </w:t>
      </w:r>
      <w:r w:rsidRPr="00E5489D">
        <w:t>nesuplanuotų lėšų likutis išlieka vienas didžiausių (29 proc.</w:t>
      </w:r>
      <w:r>
        <w:t>; ESF investicijų – 51proc.</w:t>
      </w:r>
      <w:r w:rsidRPr="00E5489D">
        <w:t>), lyginant su kitomis ministerijomis</w:t>
      </w:r>
      <w:r>
        <w:t xml:space="preserve">. </w:t>
      </w:r>
    </w:p>
    <w:p w:rsidR="001C3F22" w:rsidRDefault="001C3F22" w:rsidP="000F648D">
      <w:pPr>
        <w:pStyle w:val="tekstas"/>
      </w:pPr>
      <w:r>
        <w:t xml:space="preserve">Gana ilgai užtruko ERPF investicijų, nukreiptų į </w:t>
      </w:r>
      <w:proofErr w:type="spellStart"/>
      <w:r>
        <w:t>geriatrijos</w:t>
      </w:r>
      <w:proofErr w:type="spellEnd"/>
      <w:r>
        <w:t xml:space="preserve"> paslaugų plėtrą, planavimas. Ministerija atliko asmens sveikatos priežiūros įstaigų apklausą, siekdama išsiaiškinti ūkio subjektus, atitinkančius nustatytus kriterijus taikomus specializuotiems </w:t>
      </w:r>
      <w:proofErr w:type="spellStart"/>
      <w:r>
        <w:t>geriatrijos</w:t>
      </w:r>
      <w:proofErr w:type="spellEnd"/>
      <w:r>
        <w:t xml:space="preserve"> centrams ir galinčius pretenduoti į ES fondų finansavimą, o tai </w:t>
      </w:r>
      <w:r w:rsidR="00B555E4">
        <w:t xml:space="preserve">leido </w:t>
      </w:r>
      <w:r>
        <w:t xml:space="preserve">pradėti projektų planavimo procesą. Tuo tarpu dėl stacionarinių ir ambulatorinių </w:t>
      </w:r>
      <w:proofErr w:type="spellStart"/>
      <w:r>
        <w:t>geriatrijos</w:t>
      </w:r>
      <w:proofErr w:type="spellEnd"/>
      <w:r>
        <w:t xml:space="preserve"> paslaugų plėtros dar vyksta diskusijos Sveikatos apsaugos ministerijoje, kokiu būdu turėtų būti atrinkti projektai, siekiant pagrįstai, </w:t>
      </w:r>
      <w:r w:rsidRPr="00A50A52">
        <w:t>nepažeidžiant konkurencijos politikos nuostatų</w:t>
      </w:r>
      <w:r>
        <w:t xml:space="preserve"> atrinkti galimus </w:t>
      </w:r>
      <w:r w:rsidRPr="00A50A52">
        <w:t>projektų vykdytoj</w:t>
      </w:r>
      <w:r>
        <w:t>us. Branduolinės medicinos srityje (</w:t>
      </w:r>
      <w:proofErr w:type="spellStart"/>
      <w:r w:rsidRPr="007B0881">
        <w:t>cik</w:t>
      </w:r>
      <w:r>
        <w:t>lotrono</w:t>
      </w:r>
      <w:proofErr w:type="spellEnd"/>
      <w:r>
        <w:t xml:space="preserve"> infrastruktūros sukūrimas)</w:t>
      </w:r>
      <w:r w:rsidRPr="007B0881">
        <w:t xml:space="preserve"> </w:t>
      </w:r>
      <w:r>
        <w:t xml:space="preserve">informuota Europos Komisija apie galimą valstybės pagalbos teikimą (esant poreikiui, valstybės pagalbos schemą tikimasi suderinti iki 2019 m. liepos 1 d.), tuo tarpu siekiant užtikrinti investicijų efektyvumą, projektą </w:t>
      </w:r>
      <w:r w:rsidR="00FF702F">
        <w:t xml:space="preserve">vertino </w:t>
      </w:r>
      <w:r>
        <w:t xml:space="preserve">užsienio </w:t>
      </w:r>
      <w:r w:rsidR="00FF702F">
        <w:t>ekspertas</w:t>
      </w:r>
      <w:r>
        <w:t>.</w:t>
      </w:r>
      <w:r w:rsidR="00FF702F" w:rsidRPr="00FF702F">
        <w:t xml:space="preserve"> </w:t>
      </w:r>
      <w:r w:rsidR="00FF702F">
        <w:t>A</w:t>
      </w:r>
      <w:r w:rsidR="00FF702F" w:rsidRPr="00FF702F">
        <w:t>tsižvelg</w:t>
      </w:r>
      <w:r w:rsidR="00FC0805">
        <w:t xml:space="preserve">dama </w:t>
      </w:r>
      <w:r w:rsidR="00FF702F" w:rsidRPr="00FF702F">
        <w:t>į eksperto pastebėjimus</w:t>
      </w:r>
      <w:r w:rsidR="00FF702F">
        <w:t xml:space="preserve">, Finansų ministerija </w:t>
      </w:r>
      <w:r w:rsidR="00FC0805">
        <w:t>pateikė siūlymus</w:t>
      </w:r>
      <w:r w:rsidR="00FF702F">
        <w:t xml:space="preserve"> </w:t>
      </w:r>
      <w:r w:rsidR="00FC0805">
        <w:t xml:space="preserve">projekto rengėjams, </w:t>
      </w:r>
      <w:r w:rsidR="00627A1D">
        <w:t>Sveikatos apsaugos bei</w:t>
      </w:r>
      <w:r>
        <w:t xml:space="preserve"> </w:t>
      </w:r>
      <w:r w:rsidR="00FF702F">
        <w:t>Švietimo</w:t>
      </w:r>
      <w:r w:rsidR="00FC0805">
        <w:t>, mokslo ir sporto ministerijoms</w:t>
      </w:r>
      <w:r w:rsidR="00FF702F">
        <w:t xml:space="preserve"> </w:t>
      </w:r>
      <w:r w:rsidR="00FC0805">
        <w:t>ir paprašė</w:t>
      </w:r>
      <w:r w:rsidR="00FF702F">
        <w:t xml:space="preserve"> patikslinti </w:t>
      </w:r>
      <w:r w:rsidR="00FC0805">
        <w:t xml:space="preserve">investicinį </w:t>
      </w:r>
      <w:r w:rsidR="00FF702F">
        <w:t xml:space="preserve">projektą. </w:t>
      </w:r>
      <w:r>
        <w:t xml:space="preserve">Taip pat vis dar nėra parengti reikalingi investicijų planavimo dokumentai, siekiant atnaujinti arba sukurti infrastruktūrą širdies nepakankamumo kabinetų teikiamoms paslaugoms ir mokyti pacientus. Atsižvelgiant į Konkurencijos tarybos pateiktas pastabas, inicijuota rinkos dalyvių apklausa, siekiant tinkamai suplanuoti </w:t>
      </w:r>
      <w:r w:rsidRPr="00F37EFD">
        <w:t xml:space="preserve">Nacionalinės visuomenės sveikatos priežiūros laboratorijos </w:t>
      </w:r>
      <w:r>
        <w:t>infrastruktūros modernizavimo projektą.</w:t>
      </w:r>
    </w:p>
    <w:p w:rsidR="001C3F22" w:rsidRDefault="001C3F22" w:rsidP="000F648D">
      <w:pPr>
        <w:pStyle w:val="tekstas"/>
      </w:pPr>
      <w:r>
        <w:t xml:space="preserve">Ilgą laiką nebuvo atitinkamų sprendimų dėl ESF investicijų finansuotinų veiklų, tačiau Sveikatos apsaugos ministerija pradėjo planuoti investicijas nukreiptas į onkologinių ligų prevencinių programų efektyvumo didinimą, sveiko maisto gaminimo mokymus ir racionalaus vaistų vartojimo skatinimą. Taip pat gryninama naujos priemonės, nukreiptos į </w:t>
      </w:r>
      <w:proofErr w:type="spellStart"/>
      <w:r>
        <w:t>inovatyvių</w:t>
      </w:r>
      <w:proofErr w:type="spellEnd"/>
      <w:r>
        <w:t xml:space="preserve"> ir efektyvių sveikatos priežiūros modelių įgyvendinimą (planuojama finansuoti </w:t>
      </w:r>
      <w:proofErr w:type="spellStart"/>
      <w:r>
        <w:t>inovatyvias</w:t>
      </w:r>
      <w:proofErr w:type="spellEnd"/>
      <w:r>
        <w:t xml:space="preserve"> sveikatos priežiūros paslaugas sergantiems daugiau nei viena lėtine liga, mobilias slaugos paslaugas bei specialistų komandų mokymus), koncepcija, tačiau procesas jau trunka daugiau nei metus.</w:t>
      </w:r>
      <w:r w:rsidRPr="001D4793">
        <w:t xml:space="preserve"> </w:t>
      </w:r>
      <w:r>
        <w:t>Sveikatos apsaugos ministerija turėtų i</w:t>
      </w:r>
      <w:r w:rsidRPr="001D4793">
        <w:t>mtis aktyves</w:t>
      </w:r>
      <w:r>
        <w:t xml:space="preserve">nių veiksmų ir, rengdama priemonės </w:t>
      </w:r>
      <w:r w:rsidRPr="001D4793">
        <w:t>koncepciją</w:t>
      </w:r>
      <w:r>
        <w:t>,</w:t>
      </w:r>
      <w:r w:rsidRPr="001D4793">
        <w:t xml:space="preserve"> įtrauk</w:t>
      </w:r>
      <w:r>
        <w:t>ti</w:t>
      </w:r>
      <w:r w:rsidRPr="001D4793">
        <w:t xml:space="preserve"> socialinius partnerius</w:t>
      </w:r>
      <w:r>
        <w:t xml:space="preserve"> siekdama užtikrinti</w:t>
      </w:r>
      <w:r w:rsidRPr="001D4793">
        <w:t xml:space="preserve"> efektyv</w:t>
      </w:r>
      <w:r>
        <w:t>ų</w:t>
      </w:r>
      <w:r w:rsidRPr="001D4793">
        <w:t xml:space="preserve"> veiklų turin</w:t>
      </w:r>
      <w:r>
        <w:t>į. Sveikatos apsaugos ministerija taip pat ilgą laiką nepriima sprendimo</w:t>
      </w:r>
      <w:r w:rsidRPr="001745D8">
        <w:t xml:space="preserve"> </w:t>
      </w:r>
      <w:r>
        <w:t>dėl tinkamumo finansuoti</w:t>
      </w:r>
      <w:r w:rsidRPr="00132245">
        <w:t xml:space="preserve"> </w:t>
      </w:r>
      <w:r>
        <w:t xml:space="preserve">žemo slenksčio paslaugų plėtrą, todėl projektai priklausomybės ligų srityje vis dar nėra suplanuoti. </w:t>
      </w:r>
    </w:p>
    <w:p w:rsidR="001C3F22" w:rsidRDefault="001C3F22" w:rsidP="001C3F22">
      <w:pPr>
        <w:jc w:val="both"/>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1C3F22" w:rsidRPr="002A0208" w:rsidTr="005331E3">
        <w:tc>
          <w:tcPr>
            <w:tcW w:w="9638" w:type="dxa"/>
            <w:tcBorders>
              <w:top w:val="nil"/>
              <w:left w:val="nil"/>
              <w:bottom w:val="nil"/>
              <w:right w:val="nil"/>
            </w:tcBorders>
            <w:shd w:val="clear" w:color="auto" w:fill="D9D9D9" w:themeFill="background1" w:themeFillShade="D9"/>
          </w:tcPr>
          <w:p w:rsidR="001C3F22" w:rsidRDefault="005F3538" w:rsidP="005331E3">
            <w:pPr>
              <w:jc w:val="both"/>
              <w:rPr>
                <w:rFonts w:asciiTheme="minorHAnsi" w:hAnsiTheme="minorHAnsi"/>
                <w:b/>
                <w:color w:val="365F91" w:themeColor="accent1" w:themeShade="BF"/>
              </w:rPr>
            </w:pPr>
            <w:r>
              <w:rPr>
                <w:rFonts w:asciiTheme="minorHAnsi" w:hAnsiTheme="minorHAnsi"/>
                <w:b/>
                <w:color w:val="365F91" w:themeColor="accent1" w:themeShade="BF"/>
              </w:rPr>
              <w:t>Siūlymai</w:t>
            </w:r>
            <w:r w:rsidR="001C3F22">
              <w:rPr>
                <w:rFonts w:asciiTheme="minorHAnsi" w:hAnsiTheme="minorHAnsi"/>
                <w:b/>
                <w:color w:val="365F91" w:themeColor="accent1" w:themeShade="BF"/>
              </w:rPr>
              <w:t xml:space="preserve"> Sveikatos apsaugos ministerijai:</w:t>
            </w:r>
          </w:p>
          <w:p w:rsidR="001C3F22" w:rsidRPr="000F648D" w:rsidRDefault="000F648D" w:rsidP="000F648D">
            <w:pPr>
              <w:jc w:val="both"/>
              <w:rPr>
                <w:rFonts w:asciiTheme="minorHAnsi" w:hAnsiTheme="minorHAnsi"/>
                <w:b/>
                <w:color w:val="365F91" w:themeColor="accent1" w:themeShade="BF"/>
              </w:rPr>
            </w:pPr>
            <w:r>
              <w:rPr>
                <w:rFonts w:asciiTheme="minorHAnsi" w:hAnsiTheme="minorHAnsi"/>
                <w:b/>
                <w:color w:val="365F91" w:themeColor="accent1" w:themeShade="BF"/>
              </w:rPr>
              <w:lastRenderedPageBreak/>
              <w:t xml:space="preserve">- </w:t>
            </w:r>
            <w:r w:rsidR="001C3F22" w:rsidRPr="000F648D">
              <w:rPr>
                <w:rFonts w:asciiTheme="minorHAnsi" w:hAnsiTheme="minorHAnsi"/>
                <w:b/>
                <w:color w:val="365F91" w:themeColor="accent1" w:themeShade="BF"/>
              </w:rPr>
              <w:t xml:space="preserve">Iki 2019 m. </w:t>
            </w:r>
            <w:r>
              <w:rPr>
                <w:rFonts w:asciiTheme="minorHAnsi" w:hAnsiTheme="minorHAnsi"/>
                <w:b/>
                <w:color w:val="365F91" w:themeColor="accent1" w:themeShade="BF"/>
              </w:rPr>
              <w:t xml:space="preserve">kovo 31 d. </w:t>
            </w:r>
            <w:r w:rsidR="001C3F22" w:rsidRPr="000F648D">
              <w:rPr>
                <w:rFonts w:asciiTheme="minorHAnsi" w:hAnsiTheme="minorHAnsi"/>
                <w:b/>
                <w:color w:val="365F91" w:themeColor="accent1" w:themeShade="BF"/>
              </w:rPr>
              <w:t xml:space="preserve">į valstybės projektų sąrašus įtraukti onkologinių ligų prevencinių programų efektyvumo didinimo, sveiko maisto gaminimo mokymų, racionalaus vaistų vartojimo, specializuotų </w:t>
            </w:r>
            <w:proofErr w:type="spellStart"/>
            <w:r w:rsidR="001C3F22" w:rsidRPr="000F648D">
              <w:rPr>
                <w:rFonts w:asciiTheme="minorHAnsi" w:hAnsiTheme="minorHAnsi"/>
                <w:b/>
                <w:color w:val="365F91" w:themeColor="accent1" w:themeShade="BF"/>
              </w:rPr>
              <w:t>geriatrijos</w:t>
            </w:r>
            <w:proofErr w:type="spellEnd"/>
            <w:r w:rsidR="001C3F22" w:rsidRPr="000F648D">
              <w:rPr>
                <w:rFonts w:asciiTheme="minorHAnsi" w:hAnsiTheme="minorHAnsi"/>
                <w:b/>
                <w:color w:val="365F91" w:themeColor="accent1" w:themeShade="BF"/>
              </w:rPr>
              <w:t xml:space="preserve"> centrų teikiamų paslaugų plėtros ir paslaugų plėtros priklausomybės ligų srityje projektus.</w:t>
            </w:r>
          </w:p>
          <w:p w:rsidR="001C3F22" w:rsidRDefault="000F648D" w:rsidP="000F648D">
            <w:pPr>
              <w:tabs>
                <w:tab w:val="left" w:pos="308"/>
              </w:tabs>
              <w:jc w:val="both"/>
              <w:rPr>
                <w:rFonts w:asciiTheme="minorHAnsi" w:hAnsiTheme="minorHAnsi"/>
                <w:b/>
                <w:color w:val="365F91" w:themeColor="accent1" w:themeShade="BF"/>
              </w:rPr>
            </w:pPr>
            <w:r>
              <w:rPr>
                <w:rFonts w:asciiTheme="minorHAnsi" w:hAnsiTheme="minorHAnsi"/>
                <w:b/>
                <w:color w:val="365F91" w:themeColor="accent1" w:themeShade="BF"/>
              </w:rPr>
              <w:t xml:space="preserve">- </w:t>
            </w:r>
            <w:r w:rsidR="001C3F22" w:rsidRPr="000F648D">
              <w:rPr>
                <w:rFonts w:asciiTheme="minorHAnsi" w:hAnsiTheme="minorHAnsi"/>
                <w:b/>
                <w:color w:val="365F91" w:themeColor="accent1" w:themeShade="BF"/>
              </w:rPr>
              <w:t xml:space="preserve">Iki 2019 m. </w:t>
            </w:r>
            <w:r>
              <w:rPr>
                <w:rFonts w:asciiTheme="minorHAnsi" w:hAnsiTheme="minorHAnsi"/>
                <w:b/>
                <w:color w:val="365F91" w:themeColor="accent1" w:themeShade="BF"/>
              </w:rPr>
              <w:t>kovo 31 d.</w:t>
            </w:r>
            <w:r w:rsidR="001C3F22" w:rsidRPr="000F648D">
              <w:rPr>
                <w:rFonts w:asciiTheme="minorHAnsi" w:hAnsiTheme="minorHAnsi"/>
                <w:b/>
                <w:color w:val="365F91" w:themeColor="accent1" w:themeShade="BF"/>
              </w:rPr>
              <w:t xml:space="preserve"> Finansų ministerijai pateikti priemonės, nukreiptos į </w:t>
            </w:r>
            <w:proofErr w:type="spellStart"/>
            <w:r w:rsidR="001C3F22" w:rsidRPr="000F648D">
              <w:rPr>
                <w:rFonts w:asciiTheme="minorHAnsi" w:hAnsiTheme="minorHAnsi"/>
                <w:b/>
                <w:color w:val="365F91" w:themeColor="accent1" w:themeShade="BF"/>
              </w:rPr>
              <w:t>inovatyvių</w:t>
            </w:r>
            <w:proofErr w:type="spellEnd"/>
            <w:r w:rsidR="001C3F22" w:rsidRPr="000F648D">
              <w:rPr>
                <w:rFonts w:asciiTheme="minorHAnsi" w:hAnsiTheme="minorHAnsi"/>
                <w:b/>
                <w:color w:val="365F91" w:themeColor="accent1" w:themeShade="BF"/>
              </w:rPr>
              <w:t xml:space="preserve"> ir efektyvių sveikatos priežiūros modelių įgyvendinimą, aprašymą bei prioritetinius projektų atrankos kriterijus. </w:t>
            </w:r>
          </w:p>
          <w:p w:rsidR="000B1A94" w:rsidRDefault="000B1A94" w:rsidP="000F648D">
            <w:pPr>
              <w:tabs>
                <w:tab w:val="left" w:pos="308"/>
              </w:tabs>
              <w:jc w:val="both"/>
              <w:rPr>
                <w:rFonts w:asciiTheme="minorHAnsi" w:hAnsiTheme="minorHAnsi"/>
                <w:b/>
                <w:color w:val="365F91" w:themeColor="accent1" w:themeShade="BF"/>
              </w:rPr>
            </w:pPr>
            <w:r>
              <w:rPr>
                <w:rFonts w:asciiTheme="minorHAnsi" w:hAnsiTheme="minorHAnsi"/>
                <w:b/>
                <w:color w:val="365F91" w:themeColor="accent1" w:themeShade="BF"/>
              </w:rPr>
              <w:t xml:space="preserve">- Užtikrinti, kad </w:t>
            </w:r>
            <w:proofErr w:type="spellStart"/>
            <w:r>
              <w:rPr>
                <w:rFonts w:asciiTheme="minorHAnsi" w:hAnsiTheme="minorHAnsi"/>
                <w:b/>
                <w:color w:val="365F91" w:themeColor="accent1" w:themeShade="BF"/>
              </w:rPr>
              <w:t>ciklotrono</w:t>
            </w:r>
            <w:proofErr w:type="spellEnd"/>
            <w:r>
              <w:rPr>
                <w:rFonts w:asciiTheme="minorHAnsi" w:hAnsiTheme="minorHAnsi"/>
                <w:b/>
                <w:color w:val="365F91" w:themeColor="accent1" w:themeShade="BF"/>
              </w:rPr>
              <w:t xml:space="preserve"> investicinis projektas būtų patikslintas pagal Finansų ministerijos pastabas ir pateiktas vertinimui visoms suinteresuotoms institucijoms iki 2019 m. vasario 28 d.</w:t>
            </w:r>
          </w:p>
          <w:p w:rsidR="00B84E75" w:rsidRPr="000F648D" w:rsidRDefault="00B84E75" w:rsidP="000F648D">
            <w:pPr>
              <w:tabs>
                <w:tab w:val="left" w:pos="308"/>
              </w:tabs>
              <w:jc w:val="both"/>
              <w:rPr>
                <w:rFonts w:asciiTheme="minorHAnsi" w:hAnsiTheme="minorHAnsi" w:cstheme="minorHAnsi"/>
                <w:b/>
                <w:color w:val="365F91" w:themeColor="accent1" w:themeShade="BF"/>
              </w:rPr>
            </w:pPr>
            <w:r>
              <w:rPr>
                <w:rFonts w:asciiTheme="minorHAnsi" w:hAnsiTheme="minorHAnsi" w:cstheme="minorHAnsi"/>
                <w:b/>
                <w:color w:val="365F91" w:themeColor="accent1" w:themeShade="BF"/>
              </w:rPr>
              <w:t xml:space="preserve">- </w:t>
            </w:r>
            <w:r w:rsidRPr="00B84E75">
              <w:rPr>
                <w:rFonts w:asciiTheme="minorHAnsi" w:hAnsiTheme="minorHAnsi" w:cstheme="minorHAnsi"/>
                <w:b/>
                <w:color w:val="365F91" w:themeColor="accent1" w:themeShade="BF"/>
              </w:rPr>
              <w:t xml:space="preserve">Iki </w:t>
            </w:r>
            <w:r>
              <w:rPr>
                <w:rFonts w:asciiTheme="minorHAnsi" w:hAnsiTheme="minorHAnsi" w:cstheme="minorHAnsi"/>
                <w:b/>
                <w:color w:val="365F91" w:themeColor="accent1" w:themeShade="BF"/>
              </w:rPr>
              <w:t xml:space="preserve">2019 m. </w:t>
            </w:r>
            <w:r w:rsidRPr="00B84E75">
              <w:rPr>
                <w:rFonts w:asciiTheme="minorHAnsi" w:hAnsiTheme="minorHAnsi" w:cstheme="minorHAnsi"/>
                <w:b/>
                <w:color w:val="365F91" w:themeColor="accent1" w:themeShade="BF"/>
              </w:rPr>
              <w:t>vasario 28 d. Finansų ministerijai pateikti veiksmų planą, kaip per 2019 m. bus suplanuotos (patvirtinti sąrašai/paskelbti kvietimai) visos likusios sveikatos srities investicijos.</w:t>
            </w:r>
          </w:p>
        </w:tc>
      </w:tr>
    </w:tbl>
    <w:p w:rsidR="001C3F22" w:rsidRDefault="001C3F22" w:rsidP="00097564">
      <w:pPr>
        <w:pStyle w:val="tekstas"/>
        <w:rPr>
          <w:rFonts w:ascii="Times New Roman" w:eastAsiaTheme="minorHAnsi" w:hAnsi="Times New Roman"/>
          <w:color w:val="000000" w:themeColor="text1"/>
        </w:rPr>
      </w:pPr>
    </w:p>
    <w:p w:rsidR="00097564" w:rsidRPr="009C1BFA" w:rsidRDefault="009C1BFA" w:rsidP="009C1BFA">
      <w:pPr>
        <w:pStyle w:val="tekstas"/>
        <w:rPr>
          <w:rFonts w:eastAsiaTheme="minorHAnsi"/>
        </w:rPr>
      </w:pPr>
      <w:r>
        <w:rPr>
          <w:rFonts w:eastAsiaTheme="minorHAnsi"/>
        </w:rPr>
        <w:t xml:space="preserve">Vertinant Vidaus reikalų ministerijos administruojamas 8 prioriteto lėšas, pažymėtina, kad atsilieka ESF lėšų investavimas: 37 proc. suplanuoti ir 10 proc. išmokėti. </w:t>
      </w:r>
      <w:r w:rsidR="00097564" w:rsidRPr="000F648D">
        <w:rPr>
          <w:rFonts w:eastAsiaTheme="minorHAnsi"/>
        </w:rPr>
        <w:t xml:space="preserve">Vidaus reikalų ministerija 2018 III </w:t>
      </w:r>
      <w:proofErr w:type="spellStart"/>
      <w:r w:rsidR="00097564" w:rsidRPr="000F648D">
        <w:rPr>
          <w:rFonts w:eastAsiaTheme="minorHAnsi"/>
        </w:rPr>
        <w:t>ketv</w:t>
      </w:r>
      <w:proofErr w:type="spellEnd"/>
      <w:r w:rsidR="00097564" w:rsidRPr="000F648D">
        <w:rPr>
          <w:rFonts w:eastAsiaTheme="minorHAnsi"/>
        </w:rPr>
        <w:t>. įgyvendino Valstybės kontrolės rekomendaciją dėl Miesto bendruomenių inicijuotos vietos plėtros (toliau – BIVP) strategijų pervertinimo. P</w:t>
      </w:r>
      <w:r w:rsidR="00097564" w:rsidRPr="000F648D">
        <w:t xml:space="preserve">ervertintos ir naujai patvirtintos 23 finansuojamos strategijos už 14 mln. eurų bei įtraukta 16 naujų strategijų už 10,5 mln. eurų į finansuotinų strategijų sąrašą. </w:t>
      </w:r>
    </w:p>
    <w:p w:rsidR="00097564" w:rsidRPr="000F648D" w:rsidRDefault="00097564" w:rsidP="000F648D">
      <w:pPr>
        <w:pStyle w:val="tekstas"/>
      </w:pPr>
      <w:r w:rsidRPr="000F648D">
        <w:t>Atsižvelgus į Seimo valstybės valdymo ir savivaldybių komiteto siūlymus supaprastinti BIVP strategijų įgyvendinimą, Vidaus reikalų ministerija kartu su Finansų ministerija parengė ir įgyvendino veiksmų planą, kurio tikslas – sutrumpinti ir supaprastinti projektų atrankos procesus. Pakeistos Projektų administravimo ir finansavimo taisyklės, Vietos plėtros strategijų atrankos ir įgyvendinimo taisyklės, naujų projektų finansavimo sąlygos ir kt. dokumentai, parengtas ir vykdomas pareiškėjų mokymo 2018–2019 m. planas. Nuo 2019 m. sausio 4 d. paskelbtas kvietimas teikti paraiškas pagal naujas sąlygas. Tačiau ministerija ir toliau turėtų skirti dėmesį BIVP įgyvendinimui, siekdama nustatyti, su kokiais sunkumais susiduria pareiškėjai ir projektų vykdytojai, bei prireikus inicijuoti veiksmus siekiant supaprastinti jų įgyvendinimą.</w:t>
      </w:r>
    </w:p>
    <w:p w:rsidR="00256BDD" w:rsidRPr="00EA50AE" w:rsidRDefault="00256BDD" w:rsidP="00756E6F">
      <w:pPr>
        <w:jc w:val="both"/>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756E6F" w:rsidRPr="00EA50AE" w:rsidTr="00CA3B51">
        <w:tc>
          <w:tcPr>
            <w:tcW w:w="9638" w:type="dxa"/>
            <w:tcBorders>
              <w:top w:val="nil"/>
              <w:left w:val="nil"/>
              <w:bottom w:val="nil"/>
              <w:right w:val="nil"/>
            </w:tcBorders>
            <w:shd w:val="clear" w:color="auto" w:fill="D9D9D9" w:themeFill="background1" w:themeFillShade="D9"/>
          </w:tcPr>
          <w:p w:rsidR="00756E6F" w:rsidRPr="00EA50AE" w:rsidRDefault="00494658" w:rsidP="00CA3B51">
            <w:pPr>
              <w:jc w:val="both"/>
              <w:rPr>
                <w:rFonts w:asciiTheme="minorHAnsi" w:hAnsiTheme="minorHAnsi"/>
                <w:b/>
                <w:color w:val="365F91" w:themeColor="accent1" w:themeShade="BF"/>
              </w:rPr>
            </w:pPr>
            <w:r w:rsidRPr="00EA50AE">
              <w:rPr>
                <w:rFonts w:asciiTheme="minorHAnsi" w:hAnsiTheme="minorHAnsi"/>
                <w:b/>
                <w:color w:val="365F91" w:themeColor="accent1" w:themeShade="BF"/>
              </w:rPr>
              <w:t xml:space="preserve">Siūlymas </w:t>
            </w:r>
            <w:r w:rsidR="006823E4" w:rsidRPr="00EA50AE">
              <w:rPr>
                <w:rFonts w:asciiTheme="minorHAnsi" w:hAnsiTheme="minorHAnsi"/>
                <w:b/>
                <w:color w:val="365F91" w:themeColor="accent1" w:themeShade="BF"/>
              </w:rPr>
              <w:t>Vidaus reikalų</w:t>
            </w:r>
            <w:r w:rsidRPr="00EA50AE">
              <w:rPr>
                <w:rFonts w:asciiTheme="minorHAnsi" w:hAnsiTheme="minorHAnsi"/>
                <w:b/>
                <w:color w:val="365F91" w:themeColor="accent1" w:themeShade="BF"/>
              </w:rPr>
              <w:t xml:space="preserve"> ministerijai:</w:t>
            </w:r>
          </w:p>
          <w:p w:rsidR="00494658" w:rsidRPr="00EA50AE" w:rsidRDefault="006823E4" w:rsidP="00097564">
            <w:pPr>
              <w:jc w:val="both"/>
              <w:rPr>
                <w:rFonts w:asciiTheme="minorHAnsi" w:hAnsiTheme="minorHAnsi" w:cstheme="minorHAnsi"/>
                <w:b/>
                <w:color w:val="365F91" w:themeColor="accent1" w:themeShade="BF"/>
              </w:rPr>
            </w:pPr>
            <w:r w:rsidRPr="00EA50AE">
              <w:rPr>
                <w:rFonts w:asciiTheme="minorHAnsi" w:hAnsiTheme="minorHAnsi"/>
                <w:b/>
                <w:color w:val="365F91" w:themeColor="accent1" w:themeShade="BF"/>
              </w:rPr>
              <w:t>-</w:t>
            </w:r>
            <w:r w:rsidR="00846D0B" w:rsidRPr="00EA50AE">
              <w:rPr>
                <w:rFonts w:asciiTheme="minorHAnsi" w:hAnsiTheme="minorHAnsi"/>
                <w:b/>
                <w:color w:val="365F91" w:themeColor="accent1" w:themeShade="BF"/>
              </w:rPr>
              <w:t xml:space="preserve"> </w:t>
            </w:r>
            <w:r w:rsidR="00344226">
              <w:rPr>
                <w:rFonts w:asciiTheme="minorHAnsi" w:hAnsiTheme="minorHAnsi"/>
                <w:b/>
                <w:color w:val="365F91" w:themeColor="accent1" w:themeShade="BF"/>
              </w:rPr>
              <w:t>I</w:t>
            </w:r>
            <w:r w:rsidR="00097564" w:rsidRPr="008148AA">
              <w:rPr>
                <w:rFonts w:asciiTheme="minorHAnsi" w:hAnsiTheme="minorHAnsi"/>
                <w:b/>
                <w:color w:val="365F91" w:themeColor="accent1" w:themeShade="BF"/>
              </w:rPr>
              <w:t xml:space="preserve">ki 2019 m. </w:t>
            </w:r>
            <w:r w:rsidR="00146705">
              <w:rPr>
                <w:rFonts w:asciiTheme="minorHAnsi" w:hAnsiTheme="minorHAnsi"/>
                <w:b/>
                <w:color w:val="365F91" w:themeColor="accent1" w:themeShade="BF"/>
              </w:rPr>
              <w:t>vasario 28</w:t>
            </w:r>
            <w:r w:rsidR="00097564" w:rsidRPr="008148AA">
              <w:rPr>
                <w:rFonts w:asciiTheme="minorHAnsi" w:hAnsiTheme="minorHAnsi"/>
                <w:b/>
                <w:color w:val="365F91" w:themeColor="accent1" w:themeShade="BF"/>
              </w:rPr>
              <w:t xml:space="preserve"> d. atlikti analizę, kokie sunkumai kyla administruojant ir įgyvendinant Strategijas</w:t>
            </w:r>
            <w:proofErr w:type="gramStart"/>
            <w:r w:rsidR="00097564" w:rsidRPr="008148AA">
              <w:rPr>
                <w:rFonts w:asciiTheme="minorHAnsi" w:hAnsiTheme="minorHAnsi"/>
                <w:b/>
                <w:color w:val="365F91" w:themeColor="accent1" w:themeShade="BF"/>
              </w:rPr>
              <w:t>, bei</w:t>
            </w:r>
            <w:proofErr w:type="gramEnd"/>
            <w:r w:rsidR="00097564" w:rsidRPr="008148AA">
              <w:rPr>
                <w:rFonts w:asciiTheme="minorHAnsi" w:hAnsiTheme="minorHAnsi"/>
                <w:b/>
                <w:color w:val="365F91" w:themeColor="accent1" w:themeShade="BF"/>
              </w:rPr>
              <w:t xml:space="preserve"> apie tai informuoti Finansų ministeriją; esant poreikiui inicijuoti BIVP paraiškų vertinimo ir projektų įgyvendinimo procesų supaprastinimą.</w:t>
            </w:r>
          </w:p>
        </w:tc>
      </w:tr>
    </w:tbl>
    <w:p w:rsidR="00E96A0C" w:rsidRPr="00EA50AE" w:rsidRDefault="00CC747E" w:rsidP="00E96A0C">
      <w:pPr>
        <w:pStyle w:val="antrat3zz"/>
      </w:pPr>
      <w:bookmarkStart w:id="26" w:name="_Toc512504085"/>
      <w:bookmarkStart w:id="27" w:name="_Toc1041290"/>
      <w:r w:rsidRPr="00EA50AE">
        <w:t>9</w:t>
      </w:r>
      <w:r w:rsidR="00E96A0C" w:rsidRPr="00EA50AE">
        <w:t xml:space="preserve"> prioritetas. Visuomenės švietimas ir žmogiškųjų išteklių potencialo didinimas</w:t>
      </w:r>
      <w:bookmarkEnd w:id="26"/>
      <w:bookmarkEnd w:id="27"/>
    </w:p>
    <w:p w:rsidR="009C1BFA" w:rsidRPr="009C1BFA" w:rsidRDefault="009C1BFA" w:rsidP="009C1BFA">
      <w:pPr>
        <w:pStyle w:val="tekstas"/>
      </w:pPr>
      <w:r>
        <w:t xml:space="preserve">74 proc. 9 prioriteto lėšų jau suplanuoti, 66 proc. sumai sudarytos sutartys ir 23 proc. išmokėti. 2018 m. sutarčių ir išmokėjimų planai įvykdyti atitinkamai 90 proc. ir 103 proc. </w:t>
      </w:r>
    </w:p>
    <w:p w:rsidR="00310D66" w:rsidRPr="00310D66" w:rsidRDefault="00310D66" w:rsidP="006F0DCB">
      <w:pPr>
        <w:pStyle w:val="tekstas"/>
        <w:rPr>
          <w:rFonts w:eastAsiaTheme="majorEastAsia"/>
          <w:lang w:eastAsia="lt-LT"/>
        </w:rPr>
      </w:pPr>
      <w:r w:rsidRPr="00310D66">
        <w:rPr>
          <w:rFonts w:eastAsiaTheme="majorEastAsia"/>
          <w:lang w:eastAsia="lt-LT"/>
        </w:rPr>
        <w:t>2018 m. Švietimo, mokslo ir sporto ministerija reikšmingai padidino investavimo tempą ir pasiekė veiklos peržiūros rodiklius. Šių metų sutarčių sudarymo planas beveik pasiektas, o išmokėjimų planas viršytas tiek infrastruktūriniuose, tiek ir veiklą finansuojančiose socialinio fondo priemonėse.</w:t>
      </w:r>
    </w:p>
    <w:p w:rsidR="00C55982" w:rsidRPr="00C55982" w:rsidRDefault="00C55982" w:rsidP="00C55982">
      <w:pPr>
        <w:ind w:firstLine="426"/>
        <w:jc w:val="both"/>
        <w:rPr>
          <w:rFonts w:asciiTheme="minorHAnsi" w:eastAsiaTheme="majorEastAsia" w:hAnsiTheme="minorHAnsi"/>
          <w:color w:val="666666"/>
          <w:szCs w:val="24"/>
          <w:lang w:eastAsia="lt-LT"/>
        </w:rPr>
      </w:pPr>
      <w:r w:rsidRPr="00C55982">
        <w:rPr>
          <w:rFonts w:asciiTheme="minorHAnsi" w:eastAsiaTheme="majorEastAsia" w:hAnsiTheme="minorHAnsi"/>
          <w:color w:val="666666"/>
          <w:szCs w:val="24"/>
          <w:lang w:eastAsia="lt-LT"/>
        </w:rPr>
        <w:t xml:space="preserve">Nepaisant gerų bendrų sektoriaus rezultatų, labiausiai atsiliekančia investicijų į švietimą sritimi lieka profesinis mokymas. Šioje srityje vėluoja investicijos į karjeros paslaugų teikimą, pameistrystę ir pagalbą besimokantiems, trūksta lyderystės ir bendros vizijos bei efektyvesnio bendradarbiavimo su Ekonomikos ir inovacijų ministerija. Nors vertintojai pateikė daug rekomendacijų, kokiomis priemonėmis galima būtų geriau paskatinti mokymąsi visą gyvenimą, išlieka rizika nepilnai atsižvelgti į jų rekomendacijas, kadangi daugeliu atvejų nepakanka skirti projektams papildomą finansavimą ar įgyvendinti papildomą baigtinį projektą, o būtina kurti ir tobulinti sistemą bei iš esmės peržiūrėti mokymosi visą gyvenimą veiksmų planą. </w:t>
      </w:r>
    </w:p>
    <w:p w:rsidR="00310D66" w:rsidRPr="00310D66" w:rsidRDefault="00310D66" w:rsidP="00310D66">
      <w:pPr>
        <w:autoSpaceDE w:val="0"/>
        <w:autoSpaceDN w:val="0"/>
        <w:adjustRightInd w:val="0"/>
        <w:jc w:val="both"/>
        <w:rPr>
          <w:rFonts w:asciiTheme="minorHAnsi" w:eastAsiaTheme="majorEastAsia" w:hAnsiTheme="minorHAnsi" w:cstheme="majorBidi"/>
          <w:bCs/>
          <w:color w:val="595959" w:themeColor="text1" w:themeTint="A6"/>
          <w:szCs w:val="24"/>
          <w:lang w:eastAsia="lt-LT"/>
        </w:rPr>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310D66" w:rsidRPr="00310D66" w:rsidTr="005331E3">
        <w:tc>
          <w:tcPr>
            <w:tcW w:w="9638" w:type="dxa"/>
            <w:tcBorders>
              <w:top w:val="nil"/>
              <w:left w:val="nil"/>
              <w:bottom w:val="nil"/>
              <w:right w:val="nil"/>
            </w:tcBorders>
            <w:shd w:val="clear" w:color="auto" w:fill="D9D9D9" w:themeFill="background1" w:themeFillShade="D9"/>
          </w:tcPr>
          <w:p w:rsidR="00310D66" w:rsidRPr="00310D66" w:rsidRDefault="00310D66" w:rsidP="005331E3">
            <w:pPr>
              <w:jc w:val="both"/>
              <w:rPr>
                <w:rFonts w:asciiTheme="minorHAnsi" w:hAnsiTheme="minorHAnsi"/>
                <w:b/>
                <w:color w:val="365F91" w:themeColor="accent1" w:themeShade="BF"/>
              </w:rPr>
            </w:pPr>
            <w:r w:rsidRPr="00310D66">
              <w:rPr>
                <w:rFonts w:asciiTheme="minorHAnsi" w:hAnsiTheme="minorHAnsi"/>
                <w:b/>
                <w:color w:val="365F91" w:themeColor="accent1" w:themeShade="BF"/>
              </w:rPr>
              <w:t>Siūlymas Švietimo, mokslo ir sporto ministerijai:</w:t>
            </w:r>
          </w:p>
          <w:p w:rsidR="00310D66" w:rsidRPr="00310D66" w:rsidRDefault="006F0DCB" w:rsidP="005331E3">
            <w:pPr>
              <w:jc w:val="both"/>
              <w:rPr>
                <w:rFonts w:asciiTheme="minorHAnsi" w:hAnsiTheme="minorHAnsi" w:cstheme="minorHAnsi"/>
                <w:b/>
                <w:color w:val="365F91" w:themeColor="accent1" w:themeShade="BF"/>
                <w:szCs w:val="24"/>
              </w:rPr>
            </w:pPr>
            <w:r>
              <w:rPr>
                <w:rFonts w:asciiTheme="minorHAnsi" w:hAnsiTheme="minorHAnsi" w:cstheme="minorHAnsi"/>
                <w:b/>
                <w:color w:val="365F91" w:themeColor="accent1" w:themeShade="BF"/>
                <w:szCs w:val="24"/>
              </w:rPr>
              <w:t xml:space="preserve">- </w:t>
            </w:r>
            <w:r w:rsidR="00310D66" w:rsidRPr="00310D66">
              <w:rPr>
                <w:rFonts w:asciiTheme="minorHAnsi" w:hAnsiTheme="minorHAnsi" w:cstheme="minorHAnsi"/>
                <w:b/>
                <w:color w:val="365F91" w:themeColor="accent1" w:themeShade="BF"/>
                <w:szCs w:val="24"/>
              </w:rPr>
              <w:t>Įgyvendinant mokymosi visą gyvenimą vertinimo rekomendacijas, imtis šios srities lyderystės ir iki 2019 m. pabaigos kokybiškai atsižvelgti į visas vertinimo rekomendacijas bei patikslinti mokymosi visą gyvenimą veiksmų planą.</w:t>
            </w:r>
          </w:p>
        </w:tc>
      </w:tr>
    </w:tbl>
    <w:p w:rsidR="00310D66" w:rsidRPr="00310D66" w:rsidRDefault="00310D66" w:rsidP="00310D66">
      <w:pPr>
        <w:autoSpaceDE w:val="0"/>
        <w:autoSpaceDN w:val="0"/>
        <w:adjustRightInd w:val="0"/>
        <w:jc w:val="both"/>
        <w:rPr>
          <w:rFonts w:ascii="Arial" w:eastAsiaTheme="minorHAnsi" w:hAnsi="Arial" w:cs="Arial"/>
          <w:color w:val="5F5F5F"/>
          <w:sz w:val="20"/>
        </w:rPr>
      </w:pPr>
    </w:p>
    <w:p w:rsidR="00310D66" w:rsidRPr="00310D66" w:rsidRDefault="00310D66" w:rsidP="006F0DCB">
      <w:pPr>
        <w:pStyle w:val="tekstas"/>
        <w:rPr>
          <w:rFonts w:eastAsiaTheme="majorEastAsia"/>
          <w:lang w:eastAsia="lt-LT"/>
        </w:rPr>
      </w:pPr>
      <w:r w:rsidRPr="00310D66">
        <w:rPr>
          <w:rFonts w:eastAsiaTheme="majorEastAsia"/>
          <w:lang w:eastAsia="lt-LT"/>
        </w:rPr>
        <w:t xml:space="preserve">Aukšto mokslo srityje 2018 m. nuveikti esminiai darbai pertvarkant universitetų tinklą - įvyko pagrindinės derybos ir susitarimai tarp universitetų, derinti universitetų pertvarkos planai, sudarę sąlygas nuo sausio 1 d. startuoti pirmajam sujungtam universitetui - Vytauto Didžiojo universitetui. Tačiau suplanuota tik nedidelė dalis Europos </w:t>
      </w:r>
      <w:r w:rsidR="005C2EEB">
        <w:rPr>
          <w:rFonts w:eastAsiaTheme="majorEastAsia"/>
          <w:lang w:eastAsia="lt-LT"/>
        </w:rPr>
        <w:t>socialinio fondo</w:t>
      </w:r>
      <w:r w:rsidR="005C2EEB" w:rsidRPr="00310D66">
        <w:t xml:space="preserve"> </w:t>
      </w:r>
      <w:r w:rsidRPr="00310D66">
        <w:rPr>
          <w:rFonts w:eastAsiaTheme="majorEastAsia"/>
          <w:lang w:eastAsia="lt-LT"/>
        </w:rPr>
        <w:t xml:space="preserve">lėšomis finansuojamų aukštųjų mokyklų tinklo tobulinimo projektų, kol kas nepasirašyta nė viena finansavimo sutartis. </w:t>
      </w:r>
    </w:p>
    <w:p w:rsidR="00310D66" w:rsidRPr="00310D66" w:rsidRDefault="00310D66" w:rsidP="00310D66">
      <w:pPr>
        <w:autoSpaceDE w:val="0"/>
        <w:autoSpaceDN w:val="0"/>
        <w:adjustRightInd w:val="0"/>
        <w:jc w:val="both"/>
        <w:rPr>
          <w:rFonts w:asciiTheme="minorHAnsi" w:eastAsiaTheme="majorEastAsia" w:hAnsiTheme="minorHAnsi" w:cstheme="majorBidi"/>
          <w:bCs/>
          <w:color w:val="595959" w:themeColor="text1" w:themeTint="A6"/>
          <w:szCs w:val="24"/>
          <w:lang w:eastAsia="lt-LT"/>
        </w:rPr>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310D66" w:rsidRPr="00310D66" w:rsidTr="005331E3">
        <w:tc>
          <w:tcPr>
            <w:tcW w:w="9638" w:type="dxa"/>
            <w:tcBorders>
              <w:top w:val="nil"/>
              <w:left w:val="nil"/>
              <w:bottom w:val="nil"/>
              <w:right w:val="nil"/>
            </w:tcBorders>
            <w:shd w:val="clear" w:color="auto" w:fill="D9D9D9" w:themeFill="background1" w:themeFillShade="D9"/>
          </w:tcPr>
          <w:p w:rsidR="00310D66" w:rsidRPr="00310D66" w:rsidRDefault="00310D66" w:rsidP="005331E3">
            <w:pPr>
              <w:jc w:val="both"/>
              <w:rPr>
                <w:rFonts w:asciiTheme="minorHAnsi" w:hAnsiTheme="minorHAnsi"/>
                <w:b/>
                <w:color w:val="365F91" w:themeColor="accent1" w:themeShade="BF"/>
              </w:rPr>
            </w:pPr>
            <w:r w:rsidRPr="00310D66">
              <w:rPr>
                <w:rFonts w:asciiTheme="minorHAnsi" w:hAnsiTheme="minorHAnsi"/>
                <w:b/>
                <w:color w:val="365F91" w:themeColor="accent1" w:themeShade="BF"/>
              </w:rPr>
              <w:t>Siūlymas Švietimo, mokslo ir sporto ministerijai:</w:t>
            </w:r>
          </w:p>
          <w:p w:rsidR="00310D66" w:rsidRPr="006F0DCB" w:rsidRDefault="006F0DCB" w:rsidP="006F0DCB">
            <w:pPr>
              <w:jc w:val="both"/>
              <w:rPr>
                <w:rFonts w:asciiTheme="minorHAnsi" w:hAnsiTheme="minorHAnsi" w:cstheme="minorHAnsi"/>
                <w:b/>
                <w:color w:val="365F91" w:themeColor="accent1" w:themeShade="BF"/>
                <w:szCs w:val="24"/>
              </w:rPr>
            </w:pPr>
            <w:r>
              <w:rPr>
                <w:rFonts w:asciiTheme="minorHAnsi" w:hAnsiTheme="minorHAnsi" w:cstheme="minorHAnsi"/>
                <w:b/>
                <w:color w:val="365F91" w:themeColor="accent1" w:themeShade="BF"/>
                <w:szCs w:val="24"/>
              </w:rPr>
              <w:t xml:space="preserve">- </w:t>
            </w:r>
            <w:r w:rsidR="00310D66" w:rsidRPr="006F0DCB">
              <w:rPr>
                <w:rFonts w:asciiTheme="minorHAnsi" w:hAnsiTheme="minorHAnsi" w:cstheme="minorHAnsi"/>
                <w:b/>
                <w:color w:val="365F91" w:themeColor="accent1" w:themeShade="BF"/>
                <w:szCs w:val="24"/>
              </w:rPr>
              <w:t>Iki 2019 m. pabaigos sudaryti visas projektų sutartis, reikalingas aukštųjų mokyklų tinklo tobulinimo skatinimui.</w:t>
            </w:r>
          </w:p>
        </w:tc>
      </w:tr>
    </w:tbl>
    <w:p w:rsidR="00310D66" w:rsidRPr="00310D66" w:rsidRDefault="00310D66" w:rsidP="00310D66">
      <w:pPr>
        <w:autoSpaceDE w:val="0"/>
        <w:autoSpaceDN w:val="0"/>
        <w:adjustRightInd w:val="0"/>
        <w:jc w:val="both"/>
        <w:rPr>
          <w:rFonts w:asciiTheme="minorHAnsi" w:eastAsiaTheme="majorEastAsia" w:hAnsiTheme="minorHAnsi" w:cstheme="majorBidi"/>
          <w:bCs/>
          <w:color w:val="595959" w:themeColor="text1" w:themeTint="A6"/>
          <w:szCs w:val="24"/>
          <w:lang w:eastAsia="lt-LT"/>
        </w:rPr>
      </w:pPr>
    </w:p>
    <w:p w:rsidR="00310D66" w:rsidRPr="006F0DCB" w:rsidRDefault="00310D66" w:rsidP="006F0DCB">
      <w:pPr>
        <w:pStyle w:val="tekstas"/>
      </w:pPr>
      <w:r w:rsidRPr="006F0DCB">
        <w:rPr>
          <w:rFonts w:eastAsiaTheme="majorEastAsia"/>
        </w:rPr>
        <w:t xml:space="preserve">Bendrojo ugdymo srityje dėl vėluojančių bendrojo ugdymo programų atnaujinimo ir nepilnai patvirtintų bendrąjį lavinimą reglamentuojančių teisės aktų, kyla rizika ugdymo kokybės gerinimui ir sėkmingam švietimo reformos tikslų pasiekimui (teisės aktai, reikalingi </w:t>
      </w:r>
      <w:r w:rsidRPr="006F0DCB">
        <w:t xml:space="preserve">bendrojo ugdymo pertvarkai atlikti, turėjo būti patvirtinti iki 2018 m. gegužės 31 d.), neįgyvendintos Valstybės kontrolės rekomendacijos, skirtos mokinių pasiekimų </w:t>
      </w:r>
      <w:r w:rsidRPr="006F0DCB">
        <w:rPr>
          <w:rFonts w:eastAsiaTheme="majorEastAsia"/>
        </w:rPr>
        <w:t>gerinimui (Valstybinio audito ataskaita: 2017-11-28 Nr. VA-2017-P-50-1-20). Dėl Švietimo, mokslo ir sporto ministerijos priemonėms būdingo</w:t>
      </w:r>
      <w:r w:rsidR="00396715">
        <w:rPr>
          <w:rFonts w:eastAsiaTheme="majorEastAsia"/>
        </w:rPr>
        <w:t>s</w:t>
      </w:r>
      <w:r w:rsidRPr="006F0DCB">
        <w:rPr>
          <w:rFonts w:eastAsiaTheme="majorEastAsia"/>
        </w:rPr>
        <w:t xml:space="preserve"> veiklų įvairovės ir išskaidymo tebegalioj</w:t>
      </w:r>
      <w:r w:rsidRPr="006F0DCB">
        <w:t>a ankstesnėse ataskaitose teiktos rekomendacijos užtikrinti, kad Europos Sąjungos lėšomis finansuojamų naujų modelių ir programų kūrimas ar atnaujinimas būtų kokybiškas, atitinkantis reformuotus švietimo srities principus bei kad visi su reformomis susiję procesai ir įgyvendinamos priemonės būtų suderintos viena su kita ir papildytų jau atliktas arba planuojamas skirti investicijas. Siekiant Europos Sąjungos investicijų veiksmingumo, gerinant ugdymo pasiekimus, būtina kokybiškai atnaujinti ugdymo programas.</w:t>
      </w:r>
    </w:p>
    <w:p w:rsidR="00310D66" w:rsidRPr="00310D66" w:rsidRDefault="00310D66" w:rsidP="00310D66">
      <w:pPr>
        <w:pStyle w:val="tekstas"/>
        <w:ind w:firstLine="0"/>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310D66" w:rsidRPr="00EA50AE" w:rsidTr="005331E3">
        <w:tc>
          <w:tcPr>
            <w:tcW w:w="9638" w:type="dxa"/>
            <w:tcBorders>
              <w:top w:val="nil"/>
              <w:left w:val="nil"/>
              <w:bottom w:val="nil"/>
              <w:right w:val="nil"/>
            </w:tcBorders>
            <w:shd w:val="clear" w:color="auto" w:fill="D9D9D9" w:themeFill="background1" w:themeFillShade="D9"/>
          </w:tcPr>
          <w:p w:rsidR="00310D66" w:rsidRPr="00310D66" w:rsidRDefault="00310D66" w:rsidP="005331E3">
            <w:pPr>
              <w:jc w:val="both"/>
              <w:rPr>
                <w:rFonts w:asciiTheme="minorHAnsi" w:hAnsiTheme="minorHAnsi"/>
                <w:b/>
                <w:color w:val="365F91" w:themeColor="accent1" w:themeShade="BF"/>
              </w:rPr>
            </w:pPr>
            <w:r w:rsidRPr="00310D66">
              <w:rPr>
                <w:rFonts w:asciiTheme="minorHAnsi" w:hAnsiTheme="minorHAnsi"/>
                <w:b/>
                <w:color w:val="365F91" w:themeColor="accent1" w:themeShade="BF"/>
              </w:rPr>
              <w:t>Siūlymas Švietimo, mokslo ir sporto ministerijai:</w:t>
            </w:r>
          </w:p>
          <w:p w:rsidR="00310D66" w:rsidRPr="00EA50AE" w:rsidRDefault="006F0DCB" w:rsidP="005331E3">
            <w:pPr>
              <w:jc w:val="both"/>
              <w:rPr>
                <w:rFonts w:asciiTheme="minorHAnsi" w:hAnsiTheme="minorHAnsi" w:cstheme="minorHAnsi"/>
                <w:b/>
                <w:color w:val="365F91" w:themeColor="accent1" w:themeShade="BF"/>
                <w:szCs w:val="24"/>
              </w:rPr>
            </w:pPr>
            <w:r>
              <w:rPr>
                <w:rFonts w:asciiTheme="minorHAnsi" w:hAnsiTheme="minorHAnsi"/>
                <w:b/>
                <w:color w:val="365F91" w:themeColor="accent1" w:themeShade="BF"/>
              </w:rPr>
              <w:t xml:space="preserve">- </w:t>
            </w:r>
            <w:r w:rsidR="00310D66" w:rsidRPr="00310D66">
              <w:rPr>
                <w:rFonts w:asciiTheme="minorHAnsi" w:hAnsiTheme="minorHAnsi"/>
                <w:b/>
                <w:color w:val="365F91" w:themeColor="accent1" w:themeShade="BF"/>
              </w:rPr>
              <w:t>Iki 2019 m. kovo 3</w:t>
            </w:r>
            <w:r w:rsidR="007631AF">
              <w:rPr>
                <w:rFonts w:asciiTheme="minorHAnsi" w:hAnsiTheme="minorHAnsi"/>
                <w:b/>
                <w:color w:val="365F91" w:themeColor="accent1" w:themeShade="BF"/>
              </w:rPr>
              <w:t>1</w:t>
            </w:r>
            <w:r w:rsidR="00310D66" w:rsidRPr="00310D66">
              <w:rPr>
                <w:rFonts w:asciiTheme="minorHAnsi" w:hAnsiTheme="minorHAnsi"/>
                <w:b/>
                <w:color w:val="365F91" w:themeColor="accent1" w:themeShade="BF"/>
              </w:rPr>
              <w:t xml:space="preserve"> d. priimti sprendimą dėl bendrojo ugdymo programų atnaujinimo terminų ir tvarkos.</w:t>
            </w:r>
          </w:p>
        </w:tc>
      </w:tr>
    </w:tbl>
    <w:p w:rsidR="006551BD" w:rsidRPr="00344226" w:rsidRDefault="006551BD" w:rsidP="00344226">
      <w:pPr>
        <w:pStyle w:val="antrat3zz"/>
      </w:pPr>
      <w:bookmarkStart w:id="28" w:name="_Toc1041291"/>
      <w:r w:rsidRPr="00344226">
        <w:rPr>
          <w:rStyle w:val="antrat2ZZDiagrama"/>
          <w:b/>
          <w:bCs/>
          <w:color w:val="595959" w:themeColor="text1" w:themeTint="A6"/>
          <w:sz w:val="24"/>
          <w:szCs w:val="24"/>
        </w:rPr>
        <w:t>10 prioritetas. Visuomenės</w:t>
      </w:r>
      <w:r w:rsidRPr="00344226">
        <w:t xml:space="preserve"> poreikius atitinkantis ir pažangus viešasis valdymas</w:t>
      </w:r>
      <w:bookmarkEnd w:id="28"/>
    </w:p>
    <w:p w:rsidR="009C1BFA" w:rsidRPr="009C1BFA" w:rsidRDefault="009C1BFA" w:rsidP="009C1BFA">
      <w:pPr>
        <w:pStyle w:val="tekstas"/>
      </w:pPr>
      <w:r>
        <w:t xml:space="preserve">77 proc. 10 prioriteto lėšų jau suplanuoti, 68 proc. sumai sudarytos sutartys ir 13 proc. išmokėti. 2018 m. sutarčių ir išmokėjimų planai įvykdyti atitinkamai 62 proc. ir 46 proc. </w:t>
      </w:r>
    </w:p>
    <w:p w:rsidR="006551BD" w:rsidRPr="006551BD" w:rsidRDefault="006551BD" w:rsidP="00344226">
      <w:pPr>
        <w:pStyle w:val="tekstas"/>
        <w:rPr>
          <w:rFonts w:eastAsiaTheme="minorHAnsi"/>
        </w:rPr>
      </w:pPr>
      <w:r w:rsidRPr="006551BD">
        <w:rPr>
          <w:rFonts w:eastAsiaTheme="minorHAnsi"/>
        </w:rPr>
        <w:t xml:space="preserve">Vidaus reikalų ministerija </w:t>
      </w:r>
      <w:r w:rsidR="00FE6932">
        <w:rPr>
          <w:rFonts w:eastAsiaTheme="minorHAnsi"/>
        </w:rPr>
        <w:t xml:space="preserve">šiuo metu peržiūri projektus, kuriuos planuoja finansuoti iš </w:t>
      </w:r>
      <w:r w:rsidRPr="006551BD">
        <w:rPr>
          <w:rFonts w:eastAsiaTheme="minorHAnsi"/>
        </w:rPr>
        <w:t>veiklos lėšų rezervo (7,5 mln. eurų), kadangi pasiekti veiklos peržiūros rodikliai</w:t>
      </w:r>
      <w:proofErr w:type="gramStart"/>
      <w:r w:rsidRPr="006551BD">
        <w:rPr>
          <w:rFonts w:eastAsiaTheme="minorHAnsi"/>
        </w:rPr>
        <w:t>, bei</w:t>
      </w:r>
      <w:proofErr w:type="gramEnd"/>
      <w:r w:rsidRPr="006551BD">
        <w:rPr>
          <w:rFonts w:eastAsiaTheme="minorHAnsi"/>
        </w:rPr>
        <w:t xml:space="preserve"> iš įgyvendinant projektus sutaupytų lėšų (</w:t>
      </w:r>
      <w:proofErr w:type="spellStart"/>
      <w:r w:rsidRPr="006551BD">
        <w:rPr>
          <w:rFonts w:eastAsiaTheme="minorHAnsi"/>
        </w:rPr>
        <w:t>virškontraktavimo</w:t>
      </w:r>
      <w:proofErr w:type="spellEnd"/>
      <w:r w:rsidRPr="006551BD">
        <w:rPr>
          <w:rFonts w:eastAsiaTheme="minorHAnsi"/>
        </w:rPr>
        <w:t>). Ministerija turėtų apsispręsti dėl strategiškai svarbių finansuotinų projektų, kurie ženkliai prisidėtų prie 10 prioriteto tikslų įgyvendinimo bei duotų didžiausią pridėtinę vertę įgyvendinant pažangų viešąjį valdymą.</w:t>
      </w:r>
    </w:p>
    <w:p w:rsidR="006551BD" w:rsidRPr="006551BD" w:rsidRDefault="006551BD" w:rsidP="00344226">
      <w:pPr>
        <w:pStyle w:val="tekstas"/>
      </w:pPr>
      <w:r w:rsidRPr="006551BD">
        <w:rPr>
          <w:rFonts w:eastAsiaTheme="minorHAnsi"/>
        </w:rPr>
        <w:t>Vykdant jau įgyvendinamų projektų priežiūrą egzistuoja rizika, ar pavyks pasiekti projektuose suplanuotus tikslus ir s</w:t>
      </w:r>
      <w:r w:rsidR="009C1BFA">
        <w:rPr>
          <w:rFonts w:eastAsiaTheme="minorHAnsi"/>
        </w:rPr>
        <w:t>ukurti tvarius rezultatus. 2021–</w:t>
      </w:r>
      <w:r w:rsidRPr="006551BD">
        <w:rPr>
          <w:rFonts w:eastAsiaTheme="minorHAnsi"/>
        </w:rPr>
        <w:t>2027 m. finansavimo periodu iš ESF nebus investuojama į viešąjį valdymą, todėl ministerija</w:t>
      </w:r>
      <w:r w:rsidRPr="006551BD">
        <w:rPr>
          <w:rFonts w:eastAsiaTheme="minorHAnsi"/>
          <w:bCs/>
        </w:rPr>
        <w:t xml:space="preserve"> turėtų imtis veiksmų užtikrinti, jog iš 10 prioriteto visos finansuojamos investicijos būtų įgyvendintos numatyta apimtimi ir pasiekti planuoti viešojo valdymo pokyčiai.</w:t>
      </w:r>
    </w:p>
    <w:p w:rsidR="00097564" w:rsidRPr="00EA50AE" w:rsidRDefault="00097564" w:rsidP="00C306ED">
      <w:pPr>
        <w:pStyle w:val="tekstas"/>
        <w:ind w:firstLine="0"/>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B15E2F" w:rsidRPr="002A0208" w:rsidTr="005331E3">
        <w:tc>
          <w:tcPr>
            <w:tcW w:w="9638" w:type="dxa"/>
            <w:tcBorders>
              <w:top w:val="nil"/>
              <w:left w:val="nil"/>
              <w:bottom w:val="nil"/>
              <w:right w:val="nil"/>
            </w:tcBorders>
            <w:shd w:val="clear" w:color="auto" w:fill="D9D9D9" w:themeFill="background1" w:themeFillShade="D9"/>
          </w:tcPr>
          <w:p w:rsidR="00B15E2F" w:rsidRPr="00EA50AE" w:rsidRDefault="00B15E2F" w:rsidP="005331E3">
            <w:pPr>
              <w:jc w:val="both"/>
              <w:rPr>
                <w:rFonts w:asciiTheme="minorHAnsi" w:hAnsiTheme="minorHAnsi"/>
                <w:b/>
                <w:color w:val="365F91" w:themeColor="accent1" w:themeShade="BF"/>
              </w:rPr>
            </w:pPr>
            <w:r w:rsidRPr="00EA50AE">
              <w:rPr>
                <w:rFonts w:asciiTheme="minorHAnsi" w:hAnsiTheme="minorHAnsi"/>
                <w:b/>
                <w:color w:val="365F91" w:themeColor="accent1" w:themeShade="BF"/>
              </w:rPr>
              <w:t xml:space="preserve">Siūlymas </w:t>
            </w:r>
            <w:r w:rsidR="0060339F" w:rsidRPr="00EA50AE">
              <w:rPr>
                <w:rFonts w:asciiTheme="minorHAnsi" w:hAnsiTheme="minorHAnsi"/>
                <w:b/>
                <w:color w:val="365F91" w:themeColor="accent1" w:themeShade="BF"/>
              </w:rPr>
              <w:t>Vidaus reikalų</w:t>
            </w:r>
            <w:r w:rsidRPr="00EA50AE">
              <w:rPr>
                <w:rFonts w:asciiTheme="minorHAnsi" w:hAnsiTheme="minorHAnsi"/>
                <w:b/>
                <w:color w:val="365F91" w:themeColor="accent1" w:themeShade="BF"/>
              </w:rPr>
              <w:t xml:space="preserve"> ministerijai:</w:t>
            </w:r>
          </w:p>
          <w:p w:rsidR="00B15E2F" w:rsidRPr="007679EE" w:rsidRDefault="0060339F" w:rsidP="002E2FBC">
            <w:pPr>
              <w:autoSpaceDE w:val="0"/>
              <w:autoSpaceDN w:val="0"/>
              <w:adjustRightInd w:val="0"/>
              <w:jc w:val="both"/>
              <w:rPr>
                <w:rFonts w:asciiTheme="minorHAnsi" w:eastAsiaTheme="minorHAnsi" w:hAnsiTheme="minorHAnsi" w:cstheme="minorHAnsi"/>
                <w:b/>
                <w:bCs/>
                <w:color w:val="365F91" w:themeColor="accent1" w:themeShade="BF"/>
                <w:szCs w:val="24"/>
              </w:rPr>
            </w:pPr>
            <w:r w:rsidRPr="00EA50AE">
              <w:rPr>
                <w:rFonts w:asciiTheme="minorHAnsi" w:hAnsiTheme="minorHAnsi"/>
                <w:b/>
                <w:color w:val="365F91" w:themeColor="accent1" w:themeShade="BF"/>
              </w:rPr>
              <w:lastRenderedPageBreak/>
              <w:t>-</w:t>
            </w:r>
            <w:r w:rsidR="00F72B08" w:rsidRPr="00EA50AE">
              <w:rPr>
                <w:rFonts w:asciiTheme="minorHAnsi" w:hAnsiTheme="minorHAnsi"/>
                <w:b/>
                <w:color w:val="365F91" w:themeColor="accent1" w:themeShade="BF"/>
              </w:rPr>
              <w:t xml:space="preserve"> </w:t>
            </w:r>
            <w:r w:rsidR="00097564" w:rsidRPr="00097564">
              <w:rPr>
                <w:rFonts w:asciiTheme="minorHAnsi" w:eastAsiaTheme="minorHAnsi" w:hAnsiTheme="minorHAnsi" w:cstheme="minorHAnsi"/>
                <w:b/>
                <w:bCs/>
                <w:color w:val="365F91" w:themeColor="accent1" w:themeShade="BF"/>
                <w:szCs w:val="24"/>
              </w:rPr>
              <w:t xml:space="preserve">iki 2019 m. kovo 31 d. </w:t>
            </w:r>
            <w:r w:rsidR="002E2FBC">
              <w:rPr>
                <w:rFonts w:asciiTheme="minorHAnsi" w:eastAsiaTheme="minorHAnsi" w:hAnsiTheme="minorHAnsi" w:cstheme="minorHAnsi"/>
                <w:b/>
                <w:bCs/>
                <w:color w:val="365F91" w:themeColor="accent1" w:themeShade="BF"/>
                <w:szCs w:val="24"/>
              </w:rPr>
              <w:t xml:space="preserve">Finansų ministerijai pateikti informaciją apie planuojamus finansuoti projektus </w:t>
            </w:r>
            <w:r w:rsidR="00097564" w:rsidRPr="00097564">
              <w:rPr>
                <w:rFonts w:asciiTheme="minorHAnsi" w:eastAsiaTheme="minorHAnsi" w:hAnsiTheme="minorHAnsi" w:cstheme="minorHAnsi"/>
                <w:b/>
                <w:bCs/>
                <w:color w:val="365F91" w:themeColor="accent1" w:themeShade="BF"/>
                <w:szCs w:val="24"/>
              </w:rPr>
              <w:t xml:space="preserve">siekiant efektyviai panaudoti </w:t>
            </w:r>
            <w:r w:rsidR="002E2FBC">
              <w:rPr>
                <w:rFonts w:asciiTheme="minorHAnsi" w:eastAsiaTheme="minorHAnsi" w:hAnsiTheme="minorHAnsi" w:cstheme="minorHAnsi"/>
                <w:b/>
                <w:bCs/>
                <w:color w:val="365F91" w:themeColor="accent1" w:themeShade="BF"/>
                <w:szCs w:val="24"/>
              </w:rPr>
              <w:t xml:space="preserve">rezervo ir </w:t>
            </w:r>
            <w:proofErr w:type="spellStart"/>
            <w:r w:rsidR="00097564" w:rsidRPr="00097564">
              <w:rPr>
                <w:rFonts w:asciiTheme="minorHAnsi" w:eastAsiaTheme="minorHAnsi" w:hAnsiTheme="minorHAnsi" w:cstheme="minorHAnsi"/>
                <w:b/>
                <w:bCs/>
                <w:color w:val="365F91" w:themeColor="accent1" w:themeShade="BF"/>
                <w:szCs w:val="24"/>
              </w:rPr>
              <w:t>vi</w:t>
            </w:r>
            <w:r w:rsidR="007679EE">
              <w:rPr>
                <w:rFonts w:asciiTheme="minorHAnsi" w:eastAsiaTheme="minorHAnsi" w:hAnsiTheme="minorHAnsi" w:cstheme="minorHAnsi"/>
                <w:b/>
                <w:bCs/>
                <w:color w:val="365F91" w:themeColor="accent1" w:themeShade="BF"/>
                <w:szCs w:val="24"/>
              </w:rPr>
              <w:t>rškontraktavimui</w:t>
            </w:r>
            <w:proofErr w:type="spellEnd"/>
            <w:r w:rsidR="007679EE">
              <w:rPr>
                <w:rFonts w:asciiTheme="minorHAnsi" w:eastAsiaTheme="minorHAnsi" w:hAnsiTheme="minorHAnsi" w:cstheme="minorHAnsi"/>
                <w:b/>
                <w:bCs/>
                <w:color w:val="365F91" w:themeColor="accent1" w:themeShade="BF"/>
                <w:szCs w:val="24"/>
              </w:rPr>
              <w:t xml:space="preserve"> skirtas lėšas.</w:t>
            </w:r>
          </w:p>
        </w:tc>
      </w:tr>
    </w:tbl>
    <w:p w:rsidR="00B15E2F" w:rsidRDefault="00B15E2F" w:rsidP="00E96A0C">
      <w:pPr>
        <w:pStyle w:val="antrat3zz"/>
      </w:pPr>
      <w:bookmarkStart w:id="29" w:name="_Toc1041292"/>
      <w:r>
        <w:lastRenderedPageBreak/>
        <w:t xml:space="preserve">11 </w:t>
      </w:r>
      <w:r w:rsidR="004F3B93">
        <w:t>ir 12 prioritetai</w:t>
      </w:r>
      <w:r>
        <w:t xml:space="preserve">. Techninė parama veiksmų programai </w:t>
      </w:r>
      <w:r w:rsidR="004F3B93">
        <w:t>administruoti bei informuoti apie veiksmų programą ir jai viešinti</w:t>
      </w:r>
      <w:bookmarkEnd w:id="29"/>
    </w:p>
    <w:p w:rsidR="004F3B93" w:rsidRPr="009C1BFA" w:rsidRDefault="004F3B93" w:rsidP="004F3B93">
      <w:pPr>
        <w:pStyle w:val="tekstas"/>
      </w:pPr>
      <w:r>
        <w:t xml:space="preserve">100 proc. 11 ir 12 prioritetų lėšų jau suplanuoti, 46 proc. sumai sudarytos sutartys ir 43 proc.  išmokėti. 2018 m. sutarčių ir išmokėjimų planai įvykdyti atitinkamai 82 proc. ir 82 proc. </w:t>
      </w:r>
    </w:p>
    <w:p w:rsidR="004F7027" w:rsidRDefault="00E003DC" w:rsidP="00E003DC">
      <w:pPr>
        <w:pStyle w:val="Antrat1"/>
      </w:pPr>
      <w:bookmarkStart w:id="30" w:name="_Toc1041293"/>
      <w:bookmarkStart w:id="31" w:name="_Toc473644133"/>
      <w:r>
        <w:t>2019 m. tikslai</w:t>
      </w:r>
      <w:bookmarkEnd w:id="30"/>
    </w:p>
    <w:p w:rsidR="004F3B93" w:rsidRPr="004F3B93" w:rsidRDefault="004F3B93" w:rsidP="004F3B93">
      <w:pPr>
        <w:pStyle w:val="tekstas"/>
        <w:rPr>
          <w:lang w:eastAsia="lt-LT"/>
        </w:rPr>
      </w:pPr>
      <w:r>
        <w:rPr>
          <w:lang w:eastAsia="lt-LT"/>
        </w:rPr>
        <w:t>Šioje dalyje bus aprašyti 201</w:t>
      </w:r>
      <w:r w:rsidR="00B70D15">
        <w:rPr>
          <w:lang w:eastAsia="lt-LT"/>
        </w:rPr>
        <w:t>9</w:t>
      </w:r>
      <w:r>
        <w:rPr>
          <w:lang w:eastAsia="lt-LT"/>
        </w:rPr>
        <w:t xml:space="preserve"> m. tikslai, uždaviniai bei planuojamos veiklos šiems tikslams pasiekti. </w:t>
      </w:r>
    </w:p>
    <w:p w:rsidR="00BB4F7C" w:rsidRPr="00BB4F7C" w:rsidRDefault="005331E3" w:rsidP="00BB4F7C">
      <w:pPr>
        <w:rPr>
          <w:lang w:eastAsia="lt-LT"/>
        </w:rPr>
      </w:pPr>
      <w:r w:rsidRPr="005331E3">
        <w:rPr>
          <w:noProof/>
          <w:lang w:eastAsia="lt-LT"/>
        </w:rPr>
        <w:drawing>
          <wp:inline distT="0" distB="0" distL="0" distR="0" wp14:anchorId="27701907" wp14:editId="127CE967">
            <wp:extent cx="6120130" cy="3087069"/>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07F90" w:rsidRDefault="00007F90" w:rsidP="00007F90">
      <w:pPr>
        <w:jc w:val="both"/>
        <w:rPr>
          <w:rFonts w:asciiTheme="minorHAnsi" w:hAnsiTheme="minorHAnsi"/>
          <w:color w:val="666666"/>
          <w:szCs w:val="24"/>
        </w:rPr>
      </w:pPr>
    </w:p>
    <w:p w:rsidR="005331E3" w:rsidRDefault="005331E3" w:rsidP="005331E3">
      <w:pPr>
        <w:pStyle w:val="antrat3zz"/>
      </w:pPr>
      <w:bookmarkStart w:id="32" w:name="_Toc1041294"/>
      <w:r w:rsidRPr="005331E3">
        <w:t>GST Nr. 1 „</w:t>
      </w:r>
      <w:r>
        <w:t>I</w:t>
      </w:r>
      <w:r w:rsidRPr="005331E3">
        <w:t>nvesticijos į pokyčius strateginėse srityse “</w:t>
      </w:r>
      <w:bookmarkEnd w:id="32"/>
    </w:p>
    <w:p w:rsidR="005331E3" w:rsidRPr="004F3B93" w:rsidRDefault="004F3B93" w:rsidP="005331E3">
      <w:pPr>
        <w:pStyle w:val="tekstas"/>
        <w:rPr>
          <w:b/>
        </w:rPr>
      </w:pPr>
      <w:r w:rsidRPr="004F3B93">
        <w:rPr>
          <w:b/>
        </w:rPr>
        <w:t>Uždaviniai</w:t>
      </w:r>
      <w:r w:rsidR="005331E3" w:rsidRPr="004F3B93">
        <w:rPr>
          <w:b/>
        </w:rPr>
        <w:t>:</w:t>
      </w:r>
    </w:p>
    <w:p w:rsidR="004F3B93" w:rsidRDefault="005331E3" w:rsidP="004F3B93">
      <w:pPr>
        <w:pStyle w:val="tekstas"/>
        <w:numPr>
          <w:ilvl w:val="0"/>
          <w:numId w:val="6"/>
        </w:numPr>
      </w:pPr>
      <w:r w:rsidRPr="004F3B93">
        <w:rPr>
          <w:u w:val="single"/>
        </w:rPr>
        <w:t>Užtikrinti investicijų į pokyčius strateginėse srityse spartą</w:t>
      </w:r>
      <w:r w:rsidR="004F3B93">
        <w:t>.</w:t>
      </w:r>
    </w:p>
    <w:p w:rsidR="005331E3" w:rsidRDefault="004F3B93" w:rsidP="004F3B93">
      <w:pPr>
        <w:pStyle w:val="tekstas"/>
        <w:ind w:left="426" w:firstLine="0"/>
      </w:pPr>
      <w:r w:rsidRPr="004F3B93">
        <w:rPr>
          <w:i/>
        </w:rPr>
        <w:t xml:space="preserve">Rodiklis: </w:t>
      </w:r>
      <w:r w:rsidR="005331E3" w:rsidRPr="004F3B93">
        <w:rPr>
          <w:i/>
        </w:rPr>
        <w:t>investuota 4</w:t>
      </w:r>
      <w:r w:rsidR="00ED3790">
        <w:rPr>
          <w:i/>
        </w:rPr>
        <w:t>4</w:t>
      </w:r>
      <w:r w:rsidR="00C4259F">
        <w:rPr>
          <w:i/>
        </w:rPr>
        <w:t>8</w:t>
      </w:r>
      <w:r w:rsidR="00F27BDB">
        <w:rPr>
          <w:i/>
        </w:rPr>
        <w:t xml:space="preserve"> </w:t>
      </w:r>
      <w:r w:rsidR="005331E3" w:rsidRPr="004F3B93">
        <w:rPr>
          <w:i/>
        </w:rPr>
        <w:t>mln. eu</w:t>
      </w:r>
      <w:r w:rsidRPr="004F3B93">
        <w:rPr>
          <w:i/>
        </w:rPr>
        <w:t>rų</w:t>
      </w:r>
      <w:r>
        <w:t>.</w:t>
      </w:r>
    </w:p>
    <w:p w:rsidR="004F3B93" w:rsidRPr="004F3B93" w:rsidRDefault="005331E3" w:rsidP="004F3B93">
      <w:pPr>
        <w:pStyle w:val="tekstas"/>
        <w:numPr>
          <w:ilvl w:val="0"/>
          <w:numId w:val="6"/>
        </w:numPr>
        <w:rPr>
          <w:u w:val="single"/>
        </w:rPr>
      </w:pPr>
      <w:r w:rsidRPr="004F3B93">
        <w:rPr>
          <w:u w:val="single"/>
        </w:rPr>
        <w:t>Padidinti VKS institucijų atsakomy</w:t>
      </w:r>
      <w:r w:rsidR="004F3B93" w:rsidRPr="004F3B93">
        <w:rPr>
          <w:u w:val="single"/>
        </w:rPr>
        <w:t>bę už projektų rezultatų kokybę</w:t>
      </w:r>
      <w:r w:rsidR="004F3B93">
        <w:rPr>
          <w:u w:val="single"/>
        </w:rPr>
        <w:t>.</w:t>
      </w:r>
    </w:p>
    <w:p w:rsidR="005331E3" w:rsidRPr="004F3B93" w:rsidRDefault="004F3B93" w:rsidP="004F3B93">
      <w:pPr>
        <w:pStyle w:val="tekstas"/>
        <w:ind w:left="426" w:firstLine="0"/>
        <w:rPr>
          <w:i/>
        </w:rPr>
      </w:pPr>
      <w:r w:rsidRPr="004F3B93">
        <w:rPr>
          <w:i/>
        </w:rPr>
        <w:t xml:space="preserve">Rodiklis: </w:t>
      </w:r>
      <w:r w:rsidR="005331E3" w:rsidRPr="004F3B93">
        <w:rPr>
          <w:i/>
        </w:rPr>
        <w:t>90 proc. pasi</w:t>
      </w:r>
      <w:r w:rsidRPr="004F3B93">
        <w:rPr>
          <w:i/>
        </w:rPr>
        <w:t>ektų sutartų kokybinių rodiklių.</w:t>
      </w:r>
    </w:p>
    <w:p w:rsidR="005331E3" w:rsidRDefault="005331E3" w:rsidP="005331E3">
      <w:pPr>
        <w:pStyle w:val="tekstas"/>
      </w:pPr>
    </w:p>
    <w:p w:rsidR="005331E3" w:rsidRPr="00C86EAC" w:rsidRDefault="00C86EAC" w:rsidP="00C86EAC">
      <w:pPr>
        <w:pStyle w:val="Antrat"/>
        <w:keepNext/>
        <w:jc w:val="center"/>
        <w:rPr>
          <w:noProof/>
          <w:color w:val="365F91" w:themeColor="accent1" w:themeShade="BF"/>
          <w:sz w:val="22"/>
          <w:szCs w:val="22"/>
        </w:rPr>
      </w:pPr>
      <w:r>
        <w:rPr>
          <w:noProof/>
          <w:color w:val="365F91" w:themeColor="accent1" w:themeShade="BF"/>
          <w:sz w:val="22"/>
          <w:szCs w:val="22"/>
        </w:rPr>
        <w:lastRenderedPageBreak/>
        <w:t>6 grafikas.</w:t>
      </w:r>
      <w:r w:rsidR="005331E3" w:rsidRPr="00C86EAC">
        <w:rPr>
          <w:noProof/>
          <w:color w:val="365F91" w:themeColor="accent1" w:themeShade="BF"/>
          <w:sz w:val="22"/>
          <w:szCs w:val="22"/>
        </w:rPr>
        <w:t xml:space="preserve"> </w:t>
      </w:r>
      <w:r>
        <w:rPr>
          <w:noProof/>
          <w:color w:val="365F91" w:themeColor="accent1" w:themeShade="BF"/>
          <w:sz w:val="22"/>
          <w:szCs w:val="22"/>
        </w:rPr>
        <w:t>2019 m. planuojama išmokėti ES/EEE/NOR</w:t>
      </w:r>
      <w:r w:rsidR="005331E3" w:rsidRPr="00C86EAC">
        <w:rPr>
          <w:noProof/>
          <w:color w:val="365F91" w:themeColor="accent1" w:themeShade="BF"/>
          <w:sz w:val="22"/>
          <w:szCs w:val="22"/>
        </w:rPr>
        <w:t xml:space="preserve"> fondų lėšų strateginėse srityse (mln. eurų)</w:t>
      </w:r>
    </w:p>
    <w:p w:rsidR="005331E3" w:rsidRPr="005331E3" w:rsidRDefault="00ED3790" w:rsidP="00C86EAC">
      <w:pPr>
        <w:pStyle w:val="tekstas"/>
        <w:ind w:firstLine="0"/>
        <w:jc w:val="center"/>
      </w:pPr>
      <w:r>
        <w:rPr>
          <w:noProof/>
          <w:lang w:eastAsia="lt-LT"/>
        </w:rPr>
        <w:drawing>
          <wp:inline distT="0" distB="0" distL="0" distR="0" wp14:anchorId="5D12CF4F" wp14:editId="35A80110">
            <wp:extent cx="5779698" cy="2924354"/>
            <wp:effectExtent l="0" t="0" r="12065" b="952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6EAC" w:rsidRDefault="00C86EAC" w:rsidP="00C86EAC">
      <w:pPr>
        <w:pStyle w:val="Antrat"/>
        <w:keepNext/>
        <w:spacing w:after="0"/>
        <w:jc w:val="center"/>
        <w:rPr>
          <w:noProof/>
          <w:color w:val="365F91" w:themeColor="accent1" w:themeShade="BF"/>
          <w:sz w:val="22"/>
          <w:szCs w:val="22"/>
        </w:rPr>
      </w:pPr>
    </w:p>
    <w:p w:rsidR="00C86EAC" w:rsidRDefault="00C86EAC" w:rsidP="00C86EAC">
      <w:pPr>
        <w:pStyle w:val="Antrat"/>
        <w:keepNext/>
        <w:spacing w:after="0"/>
        <w:jc w:val="center"/>
        <w:rPr>
          <w:noProof/>
          <w:color w:val="365F91" w:themeColor="accent1" w:themeShade="BF"/>
          <w:sz w:val="22"/>
          <w:szCs w:val="22"/>
        </w:rPr>
      </w:pPr>
      <w:r>
        <w:rPr>
          <w:noProof/>
          <w:color w:val="365F91" w:themeColor="accent1" w:themeShade="BF"/>
          <w:sz w:val="22"/>
          <w:szCs w:val="22"/>
        </w:rPr>
        <w:t xml:space="preserve">7 grafikas. </w:t>
      </w:r>
      <w:r w:rsidR="005331E3" w:rsidRPr="00C86EAC">
        <w:rPr>
          <w:noProof/>
          <w:color w:val="365F91" w:themeColor="accent1" w:themeShade="BF"/>
          <w:sz w:val="22"/>
          <w:szCs w:val="22"/>
        </w:rPr>
        <w:t xml:space="preserve">2019 m. biudžete suplanuota ir numatyta išmokėti strateginėse srityse pagal ministerijas </w:t>
      </w:r>
    </w:p>
    <w:p w:rsidR="005331E3" w:rsidRPr="00C86EAC" w:rsidRDefault="005331E3" w:rsidP="00C86EAC">
      <w:pPr>
        <w:pStyle w:val="Antrat"/>
        <w:keepNext/>
        <w:jc w:val="center"/>
        <w:rPr>
          <w:noProof/>
          <w:color w:val="365F91" w:themeColor="accent1" w:themeShade="BF"/>
          <w:sz w:val="22"/>
          <w:szCs w:val="22"/>
        </w:rPr>
      </w:pPr>
      <w:r w:rsidRPr="00C86EAC">
        <w:rPr>
          <w:noProof/>
          <w:color w:val="365F91" w:themeColor="accent1" w:themeShade="BF"/>
          <w:sz w:val="22"/>
          <w:szCs w:val="22"/>
        </w:rPr>
        <w:t>(mln. eurų ES fondų lėšų)</w:t>
      </w:r>
    </w:p>
    <w:p w:rsidR="00B15E2F" w:rsidRPr="00007F90" w:rsidRDefault="00ED3790" w:rsidP="00C86EAC">
      <w:pPr>
        <w:jc w:val="center"/>
        <w:rPr>
          <w:rFonts w:asciiTheme="minorHAnsi" w:hAnsiTheme="minorHAnsi"/>
          <w:color w:val="666666"/>
          <w:szCs w:val="24"/>
        </w:rPr>
      </w:pPr>
      <w:r>
        <w:rPr>
          <w:noProof/>
          <w:lang w:eastAsia="lt-LT"/>
        </w:rPr>
        <w:drawing>
          <wp:inline distT="0" distB="0" distL="0" distR="0" wp14:anchorId="093D83DB" wp14:editId="17F80F26">
            <wp:extent cx="5715000" cy="3600450"/>
            <wp:effectExtent l="0" t="0" r="19050" b="1905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F3B93" w:rsidRDefault="004F3B93" w:rsidP="004F3B93">
      <w:pPr>
        <w:pStyle w:val="tekstas"/>
        <w:ind w:left="786" w:firstLine="0"/>
      </w:pPr>
    </w:p>
    <w:p w:rsidR="004F3B93" w:rsidRDefault="005331E3" w:rsidP="004F3B93">
      <w:pPr>
        <w:pStyle w:val="tekstas"/>
        <w:numPr>
          <w:ilvl w:val="0"/>
          <w:numId w:val="6"/>
        </w:numPr>
      </w:pPr>
      <w:r w:rsidRPr="004F3B93">
        <w:rPr>
          <w:u w:val="single"/>
        </w:rPr>
        <w:t>Planuoti lėšas taikant investicinį požiūrį</w:t>
      </w:r>
      <w:r w:rsidR="004F3B93">
        <w:rPr>
          <w:u w:val="single"/>
        </w:rPr>
        <w:t>.</w:t>
      </w:r>
      <w:r w:rsidRPr="005331E3">
        <w:t xml:space="preserve"> </w:t>
      </w:r>
    </w:p>
    <w:p w:rsidR="004F3B93" w:rsidRDefault="004F3B93" w:rsidP="004F3B93">
      <w:pPr>
        <w:pStyle w:val="tekstas"/>
        <w:ind w:left="426" w:firstLine="0"/>
      </w:pPr>
      <w:r w:rsidRPr="004F3B93">
        <w:rPr>
          <w:i/>
        </w:rPr>
        <w:t xml:space="preserve">Rodiklis: </w:t>
      </w:r>
      <w:r w:rsidR="005331E3" w:rsidRPr="004F3B93">
        <w:rPr>
          <w:i/>
        </w:rPr>
        <w:t>80 proc. pe</w:t>
      </w:r>
      <w:r w:rsidRPr="004F3B93">
        <w:rPr>
          <w:i/>
        </w:rPr>
        <w:t>rskirstomų veiklos rezervo lėšų</w:t>
      </w:r>
      <w:r>
        <w:t>.</w:t>
      </w:r>
    </w:p>
    <w:p w:rsidR="005331E3" w:rsidRPr="005F3538" w:rsidRDefault="005331E3" w:rsidP="005F3538">
      <w:pPr>
        <w:pStyle w:val="tekstas"/>
        <w:numPr>
          <w:ilvl w:val="0"/>
          <w:numId w:val="6"/>
        </w:numPr>
        <w:rPr>
          <w:u w:val="single"/>
        </w:rPr>
      </w:pPr>
      <w:r w:rsidRPr="004F3B93">
        <w:rPr>
          <w:u w:val="single"/>
        </w:rPr>
        <w:t xml:space="preserve">Taikyti </w:t>
      </w:r>
      <w:proofErr w:type="spellStart"/>
      <w:r w:rsidRPr="004F3B93">
        <w:rPr>
          <w:u w:val="single"/>
        </w:rPr>
        <w:t>inovatyvius</w:t>
      </w:r>
      <w:proofErr w:type="spellEnd"/>
      <w:r w:rsidRPr="004F3B93">
        <w:rPr>
          <w:u w:val="single"/>
        </w:rPr>
        <w:t xml:space="preserve"> investavimo metodus esamoms problemoms spręsti</w:t>
      </w:r>
      <w:r w:rsidR="004F3B93">
        <w:rPr>
          <w:u w:val="single"/>
        </w:rPr>
        <w:t>.</w:t>
      </w:r>
      <w:r w:rsidRPr="004F3B93">
        <w:rPr>
          <w:u w:val="single"/>
        </w:rPr>
        <w:t xml:space="preserve"> </w:t>
      </w:r>
      <w:r w:rsidRPr="004F3B93">
        <w:tab/>
      </w:r>
    </w:p>
    <w:p w:rsidR="005F11D7" w:rsidRDefault="005331E3" w:rsidP="005F11D7">
      <w:pPr>
        <w:pStyle w:val="tekstas"/>
        <w:numPr>
          <w:ilvl w:val="0"/>
          <w:numId w:val="6"/>
        </w:numPr>
        <w:rPr>
          <w:u w:val="single"/>
        </w:rPr>
      </w:pPr>
      <w:r w:rsidRPr="005F11D7">
        <w:rPr>
          <w:u w:val="single"/>
        </w:rPr>
        <w:t>Plėtoti alte</w:t>
      </w:r>
      <w:r w:rsidR="005F11D7">
        <w:rPr>
          <w:u w:val="single"/>
        </w:rPr>
        <w:t>rnatyvius finansavimo šaltinius.</w:t>
      </w:r>
    </w:p>
    <w:p w:rsidR="005F11D7" w:rsidRDefault="005F11D7" w:rsidP="005F3538">
      <w:pPr>
        <w:pStyle w:val="tekstas"/>
        <w:ind w:left="426" w:firstLine="0"/>
        <w:rPr>
          <w:i/>
        </w:rPr>
      </w:pPr>
      <w:r w:rsidRPr="005F11D7">
        <w:rPr>
          <w:i/>
        </w:rPr>
        <w:t xml:space="preserve">Rodikliai: </w:t>
      </w:r>
      <w:r w:rsidR="005331E3" w:rsidRPr="005F11D7">
        <w:rPr>
          <w:i/>
        </w:rPr>
        <w:t>finansinių priemonių įgyvendinimui pritraukta 111 mln. eurų, išmokėta 190</w:t>
      </w:r>
      <w:r w:rsidRPr="005F11D7">
        <w:rPr>
          <w:i/>
        </w:rPr>
        <w:t xml:space="preserve"> mln. eurų privačių investicijų.</w:t>
      </w:r>
    </w:p>
    <w:p w:rsidR="005331E3" w:rsidRDefault="005331E3" w:rsidP="005331E3">
      <w:pPr>
        <w:pStyle w:val="antrat3zz"/>
      </w:pPr>
      <w:bookmarkStart w:id="33" w:name="_Toc1041295"/>
      <w:r w:rsidRPr="005331E3">
        <w:lastRenderedPageBreak/>
        <w:t>GST Nr. 2 „</w:t>
      </w:r>
      <w:r>
        <w:t>P</w:t>
      </w:r>
      <w:r w:rsidRPr="005331E3">
        <w:t xml:space="preserve">asirengimas </w:t>
      </w:r>
      <w:proofErr w:type="spellStart"/>
      <w:r w:rsidRPr="005331E3">
        <w:t>post</w:t>
      </w:r>
      <w:proofErr w:type="spellEnd"/>
      <w:r w:rsidRPr="005331E3">
        <w:t xml:space="preserve"> 2020 investicijoms “</w:t>
      </w:r>
      <w:bookmarkEnd w:id="33"/>
    </w:p>
    <w:p w:rsidR="00336BBB" w:rsidRPr="005F11D7" w:rsidRDefault="005F11D7" w:rsidP="00336BBB">
      <w:pPr>
        <w:pStyle w:val="tekstas"/>
        <w:rPr>
          <w:b/>
        </w:rPr>
      </w:pPr>
      <w:r w:rsidRPr="005F11D7">
        <w:rPr>
          <w:b/>
        </w:rPr>
        <w:t>Uždaviniai:</w:t>
      </w:r>
    </w:p>
    <w:p w:rsidR="005F11D7" w:rsidRDefault="00336BBB" w:rsidP="005F11D7">
      <w:pPr>
        <w:pStyle w:val="tekstas"/>
        <w:numPr>
          <w:ilvl w:val="0"/>
          <w:numId w:val="10"/>
        </w:numPr>
      </w:pPr>
      <w:r w:rsidRPr="005F11D7">
        <w:rPr>
          <w:u w:val="single"/>
        </w:rPr>
        <w:t>Parengti pasiūlymus kaip sumažinti Lietuvos priklausomybę nuo ES lėšų</w:t>
      </w:r>
      <w:r w:rsidR="005F11D7">
        <w:t xml:space="preserve">. </w:t>
      </w:r>
    </w:p>
    <w:p w:rsidR="00336BBB" w:rsidRDefault="005F11D7" w:rsidP="005F11D7">
      <w:pPr>
        <w:pStyle w:val="tekstas"/>
        <w:ind w:left="426" w:firstLine="0"/>
      </w:pPr>
      <w:r w:rsidRPr="005F11D7">
        <w:rPr>
          <w:i/>
        </w:rPr>
        <w:t>Rodiklis: 1,8 mlrd. eurų</w:t>
      </w:r>
      <w:r w:rsidR="00336BBB" w:rsidRPr="005F11D7">
        <w:rPr>
          <w:i/>
        </w:rPr>
        <w:t xml:space="preserve"> pakeisti kitais finansavim</w:t>
      </w:r>
      <w:r w:rsidRPr="005F11D7">
        <w:rPr>
          <w:i/>
        </w:rPr>
        <w:t>o šaltiniais ir intervencijomis</w:t>
      </w:r>
      <w:r>
        <w:t>.</w:t>
      </w:r>
    </w:p>
    <w:p w:rsidR="005F11D7" w:rsidRDefault="00336BBB" w:rsidP="005F11D7">
      <w:pPr>
        <w:pStyle w:val="tekstas"/>
        <w:numPr>
          <w:ilvl w:val="0"/>
          <w:numId w:val="10"/>
        </w:numPr>
        <w:rPr>
          <w:u w:val="single"/>
        </w:rPr>
      </w:pPr>
      <w:r w:rsidRPr="005F11D7">
        <w:rPr>
          <w:u w:val="single"/>
        </w:rPr>
        <w:t xml:space="preserve">Iškelti tikslus ir parengti </w:t>
      </w:r>
      <w:proofErr w:type="spellStart"/>
      <w:r w:rsidRPr="005F11D7">
        <w:rPr>
          <w:u w:val="single"/>
        </w:rPr>
        <w:t>post</w:t>
      </w:r>
      <w:proofErr w:type="spellEnd"/>
      <w:r w:rsidRPr="005F11D7">
        <w:rPr>
          <w:u w:val="single"/>
        </w:rPr>
        <w:t xml:space="preserve"> 2020 VKS koncepciją </w:t>
      </w:r>
    </w:p>
    <w:p w:rsidR="005F11D7" w:rsidRDefault="005F11D7" w:rsidP="005F11D7">
      <w:pPr>
        <w:pStyle w:val="tekstas"/>
        <w:ind w:left="426" w:firstLine="0"/>
        <w:rPr>
          <w:i/>
        </w:rPr>
      </w:pPr>
      <w:r w:rsidRPr="005F11D7">
        <w:rPr>
          <w:i/>
        </w:rPr>
        <w:t xml:space="preserve">Rodiklis: </w:t>
      </w:r>
      <w:r w:rsidR="00336BBB" w:rsidRPr="005F11D7">
        <w:rPr>
          <w:i/>
        </w:rPr>
        <w:t>parengta</w:t>
      </w:r>
      <w:r w:rsidRPr="005F11D7">
        <w:rPr>
          <w:i/>
        </w:rPr>
        <w:t xml:space="preserve"> </w:t>
      </w:r>
      <w:proofErr w:type="spellStart"/>
      <w:r w:rsidRPr="005F11D7">
        <w:rPr>
          <w:i/>
        </w:rPr>
        <w:t>post</w:t>
      </w:r>
      <w:proofErr w:type="spellEnd"/>
      <w:r w:rsidRPr="005F11D7">
        <w:rPr>
          <w:i/>
        </w:rPr>
        <w:t xml:space="preserve"> 2020 koncepcija.</w:t>
      </w:r>
    </w:p>
    <w:p w:rsidR="00336BBB" w:rsidRDefault="00336BBB" w:rsidP="00336BBB">
      <w:pPr>
        <w:pStyle w:val="antrat3zz"/>
      </w:pPr>
      <w:bookmarkStart w:id="34" w:name="_Toc1041296"/>
      <w:r>
        <w:t>GST Nr. 3 „Efektyvi ir lanksti valdymo ir kontrolės sistema</w:t>
      </w:r>
      <w:r w:rsidRPr="00336BBB">
        <w:t>“</w:t>
      </w:r>
      <w:bookmarkEnd w:id="34"/>
    </w:p>
    <w:p w:rsidR="00336BBB" w:rsidRDefault="005F11D7" w:rsidP="00336BBB">
      <w:pPr>
        <w:pStyle w:val="tekstas"/>
      </w:pPr>
      <w:r w:rsidRPr="005F11D7">
        <w:rPr>
          <w:b/>
        </w:rPr>
        <w:t>Uždaviniai</w:t>
      </w:r>
      <w:r w:rsidR="00336BBB">
        <w:t>:</w:t>
      </w:r>
    </w:p>
    <w:p w:rsidR="005F11D7" w:rsidRDefault="00336BBB" w:rsidP="005F11D7">
      <w:pPr>
        <w:pStyle w:val="tekstas"/>
        <w:numPr>
          <w:ilvl w:val="0"/>
          <w:numId w:val="12"/>
        </w:numPr>
      </w:pPr>
      <w:r w:rsidRPr="005F11D7">
        <w:rPr>
          <w:u w:val="single"/>
        </w:rPr>
        <w:t>Supaprastinti VKS sistemą atsisakant vertės nekuriančių procesų</w:t>
      </w:r>
      <w:r w:rsidR="005F11D7">
        <w:rPr>
          <w:u w:val="single"/>
        </w:rPr>
        <w:t>.</w:t>
      </w:r>
      <w:r w:rsidR="005F11D7">
        <w:t xml:space="preserve"> </w:t>
      </w:r>
    </w:p>
    <w:p w:rsidR="00336BBB" w:rsidRDefault="005F11D7" w:rsidP="005F11D7">
      <w:pPr>
        <w:pStyle w:val="tekstas"/>
        <w:ind w:left="426" w:firstLine="0"/>
      </w:pPr>
      <w:r w:rsidRPr="005F11D7">
        <w:rPr>
          <w:i/>
        </w:rPr>
        <w:t xml:space="preserve">Rodiklis: </w:t>
      </w:r>
      <w:r w:rsidR="00336BBB" w:rsidRPr="005F11D7">
        <w:rPr>
          <w:i/>
        </w:rPr>
        <w:t>s</w:t>
      </w:r>
      <w:r w:rsidRPr="005F11D7">
        <w:rPr>
          <w:i/>
        </w:rPr>
        <w:t>utaupyta 2 500 darbo dienų</w:t>
      </w:r>
      <w:r>
        <w:t>.</w:t>
      </w:r>
    </w:p>
    <w:p w:rsidR="005F11D7" w:rsidRPr="005F11D7" w:rsidRDefault="00336BBB" w:rsidP="005F11D7">
      <w:pPr>
        <w:pStyle w:val="tekstas"/>
        <w:numPr>
          <w:ilvl w:val="0"/>
          <w:numId w:val="12"/>
        </w:numPr>
      </w:pPr>
      <w:r w:rsidRPr="005F11D7">
        <w:rPr>
          <w:u w:val="single"/>
        </w:rPr>
        <w:t>Didinti VKS darbuotojų įsitraukimą</w:t>
      </w:r>
      <w:r w:rsidR="005F11D7">
        <w:rPr>
          <w:u w:val="single"/>
        </w:rPr>
        <w:t>.</w:t>
      </w:r>
      <w:r w:rsidRPr="005F11D7">
        <w:rPr>
          <w:u w:val="single"/>
        </w:rPr>
        <w:t xml:space="preserve"> </w:t>
      </w:r>
    </w:p>
    <w:p w:rsidR="00336BBB" w:rsidRPr="005F11D7" w:rsidRDefault="005F11D7" w:rsidP="005F11D7">
      <w:pPr>
        <w:pStyle w:val="tekstas"/>
        <w:ind w:left="426" w:firstLine="0"/>
        <w:rPr>
          <w:i/>
        </w:rPr>
      </w:pPr>
      <w:r w:rsidRPr="005F11D7">
        <w:rPr>
          <w:i/>
        </w:rPr>
        <w:t xml:space="preserve">Rodiklis: </w:t>
      </w:r>
      <w:r w:rsidR="00336BBB" w:rsidRPr="005F11D7">
        <w:rPr>
          <w:i/>
        </w:rPr>
        <w:t>60 proc. VKS darbuotojų žino 2019 m. tikslus ir prie jų prisideda, darb</w:t>
      </w:r>
      <w:r w:rsidRPr="005F11D7">
        <w:rPr>
          <w:i/>
        </w:rPr>
        <w:t>uotojų kaita neviršija 10 proc.</w:t>
      </w:r>
      <w:r w:rsidR="00336BBB" w:rsidRPr="005F11D7">
        <w:rPr>
          <w:i/>
        </w:rPr>
        <w:tab/>
      </w:r>
      <w:r w:rsidR="00336BBB" w:rsidRPr="005F11D7">
        <w:rPr>
          <w:i/>
        </w:rPr>
        <w:tab/>
      </w:r>
    </w:p>
    <w:p w:rsidR="00007F90" w:rsidRPr="00007F90" w:rsidRDefault="00007F90" w:rsidP="005F3538">
      <w:pPr>
        <w:pStyle w:val="tekstas"/>
        <w:ind w:left="1146" w:firstLine="0"/>
      </w:pPr>
    </w:p>
    <w:p w:rsidR="005F3538" w:rsidRDefault="005F3538">
      <w:pPr>
        <w:spacing w:after="200" w:line="276" w:lineRule="auto"/>
        <w:rPr>
          <w:rFonts w:asciiTheme="minorHAnsi" w:hAnsiTheme="minorHAnsi"/>
          <w:color w:val="666666"/>
          <w:szCs w:val="24"/>
        </w:rPr>
      </w:pPr>
      <w:r>
        <w:rPr>
          <w:rFonts w:asciiTheme="minorHAnsi" w:hAnsiTheme="minorHAnsi"/>
          <w:color w:val="666666"/>
          <w:szCs w:val="24"/>
        </w:rPr>
        <w:br w:type="page"/>
      </w:r>
    </w:p>
    <w:p w:rsidR="00007F90" w:rsidRPr="00007F90" w:rsidRDefault="00007F90" w:rsidP="00007F90">
      <w:pPr>
        <w:jc w:val="both"/>
        <w:rPr>
          <w:rFonts w:asciiTheme="minorHAnsi" w:hAnsiTheme="minorHAnsi"/>
          <w:color w:val="666666"/>
          <w:szCs w:val="24"/>
        </w:rPr>
      </w:pPr>
    </w:p>
    <w:p w:rsidR="00007F90" w:rsidRPr="00007F90" w:rsidRDefault="00007F90" w:rsidP="00007F90">
      <w:pPr>
        <w:jc w:val="center"/>
        <w:rPr>
          <w:rFonts w:asciiTheme="minorHAnsi" w:eastAsia="Calibri" w:hAnsiTheme="minorHAnsi"/>
          <w:b/>
          <w:noProof/>
          <w:color w:val="0070C0"/>
          <w:szCs w:val="24"/>
          <w:lang w:eastAsia="lt-LT"/>
        </w:rPr>
      </w:pPr>
      <w:r w:rsidRPr="00007F90">
        <w:rPr>
          <w:rFonts w:asciiTheme="minorHAnsi" w:eastAsia="Calibri" w:hAnsiTheme="minorHAnsi"/>
          <w:b/>
          <w:noProof/>
          <w:color w:val="0070C0"/>
          <w:szCs w:val="24"/>
          <w:lang w:eastAsia="lt-LT"/>
        </w:rPr>
        <w:drawing>
          <wp:inline distT="0" distB="0" distL="0" distR="0" wp14:anchorId="2269ED30" wp14:editId="54BD0FBF">
            <wp:extent cx="2618483" cy="1350070"/>
            <wp:effectExtent l="0" t="0" r="0" b="254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0891" cy="1351311"/>
                    </a:xfrm>
                    <a:prstGeom prst="rect">
                      <a:avLst/>
                    </a:prstGeom>
                    <a:noFill/>
                    <a:ln>
                      <a:noFill/>
                    </a:ln>
                  </pic:spPr>
                </pic:pic>
              </a:graphicData>
            </a:graphic>
          </wp:inline>
        </w:drawing>
      </w:r>
      <w:r w:rsidRPr="00007F90">
        <w:rPr>
          <w:rFonts w:asciiTheme="minorHAnsi" w:eastAsia="Calibri" w:hAnsiTheme="minorHAnsi"/>
          <w:b/>
          <w:noProof/>
          <w:color w:val="0070C0"/>
          <w:szCs w:val="24"/>
          <w:lang w:eastAsia="lt-LT"/>
        </w:rPr>
        <w:drawing>
          <wp:inline distT="0" distB="0" distL="0" distR="0" wp14:anchorId="7411ECE6" wp14:editId="6EBA1D93">
            <wp:extent cx="2134725" cy="1283967"/>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7033" cy="1285355"/>
                    </a:xfrm>
                    <a:prstGeom prst="rect">
                      <a:avLst/>
                    </a:prstGeom>
                    <a:noFill/>
                    <a:ln>
                      <a:noFill/>
                    </a:ln>
                  </pic:spPr>
                </pic:pic>
              </a:graphicData>
            </a:graphic>
          </wp:inline>
        </w:drawing>
      </w: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r w:rsidRPr="00007F90">
        <w:rPr>
          <w:rFonts w:asciiTheme="minorHAnsi" w:eastAsia="Calibri" w:hAnsiTheme="minorHAnsi"/>
          <w:b/>
          <w:noProof/>
          <w:color w:val="0070C0"/>
          <w:szCs w:val="24"/>
          <w:lang w:eastAsia="lt-LT"/>
        </w:rPr>
        <w:drawing>
          <wp:inline distT="0" distB="0" distL="0" distR="0" wp14:anchorId="750D9180" wp14:editId="2493DA81">
            <wp:extent cx="2732567" cy="1351749"/>
            <wp:effectExtent l="0" t="0" r="0" b="127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5858" cy="1348430"/>
                    </a:xfrm>
                    <a:prstGeom prst="rect">
                      <a:avLst/>
                    </a:prstGeom>
                    <a:noFill/>
                    <a:ln>
                      <a:noFill/>
                    </a:ln>
                  </pic:spPr>
                </pic:pic>
              </a:graphicData>
            </a:graphic>
          </wp:inline>
        </w:drawing>
      </w: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hAnsiTheme="minorHAnsi"/>
          <w:color w:val="666666"/>
          <w:szCs w:val="24"/>
        </w:rPr>
      </w:pPr>
      <w:r w:rsidRPr="00007F90">
        <w:rPr>
          <w:rFonts w:asciiTheme="minorHAnsi" w:eastAsia="Calibri" w:hAnsiTheme="minorHAnsi"/>
          <w:b/>
          <w:noProof/>
          <w:color w:val="0070C0"/>
          <w:szCs w:val="24"/>
          <w:lang w:eastAsia="lt-LT"/>
        </w:rPr>
        <w:drawing>
          <wp:inline distT="0" distB="0" distL="0" distR="0" wp14:anchorId="57325C35" wp14:editId="420832D2">
            <wp:extent cx="1698683" cy="669851"/>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8292" cy="669697"/>
                    </a:xfrm>
                    <a:prstGeom prst="rect">
                      <a:avLst/>
                    </a:prstGeom>
                    <a:noFill/>
                    <a:ln>
                      <a:noFill/>
                    </a:ln>
                  </pic:spPr>
                </pic:pic>
              </a:graphicData>
            </a:graphic>
          </wp:inline>
        </w:drawing>
      </w:r>
    </w:p>
    <w:bookmarkEnd w:id="31"/>
    <w:p w:rsidR="009F53D9" w:rsidRPr="00D65621" w:rsidRDefault="009F53D9" w:rsidP="00A429C5">
      <w:pPr>
        <w:spacing w:after="200" w:line="276" w:lineRule="auto"/>
        <w:rPr>
          <w:rFonts w:asciiTheme="minorHAnsi" w:hAnsiTheme="minorHAnsi"/>
          <w:color w:val="666666"/>
          <w:szCs w:val="24"/>
        </w:rPr>
      </w:pPr>
    </w:p>
    <w:sectPr w:rsidR="009F53D9" w:rsidRPr="00D65621" w:rsidSect="0037767E">
      <w:type w:val="continuous"/>
      <w:pgSz w:w="11906" w:h="16838"/>
      <w:pgMar w:top="1100"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5FE" w:rsidRDefault="00F235FE" w:rsidP="00885DE2">
      <w:r>
        <w:separator/>
      </w:r>
    </w:p>
    <w:p w:rsidR="00F235FE" w:rsidRDefault="00F235FE"/>
  </w:endnote>
  <w:endnote w:type="continuationSeparator" w:id="0">
    <w:p w:rsidR="00F235FE" w:rsidRDefault="00F235FE" w:rsidP="00885DE2">
      <w:r>
        <w:continuationSeparator/>
      </w:r>
    </w:p>
    <w:p w:rsidR="00F235FE" w:rsidRDefault="00F23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647423"/>
      <w:docPartObj>
        <w:docPartGallery w:val="Page Numbers (Bottom of Page)"/>
        <w:docPartUnique/>
      </w:docPartObj>
    </w:sdtPr>
    <w:sdtEndPr/>
    <w:sdtContent>
      <w:p w:rsidR="00F235FE" w:rsidRDefault="00F235FE">
        <w:pPr>
          <w:pStyle w:val="Porat"/>
          <w:jc w:val="center"/>
        </w:pPr>
      </w:p>
      <w:p w:rsidR="00F235FE" w:rsidRDefault="00F235FE">
        <w:pPr>
          <w:pStyle w:val="Porat"/>
          <w:jc w:val="center"/>
        </w:pPr>
        <w:r>
          <w:fldChar w:fldCharType="begin"/>
        </w:r>
        <w:r>
          <w:instrText>PAGE   \* MERGEFORMAT</w:instrText>
        </w:r>
        <w:r>
          <w:fldChar w:fldCharType="separate"/>
        </w:r>
        <w:r w:rsidR="0034049F">
          <w:rPr>
            <w:noProof/>
          </w:rPr>
          <w:t>17</w:t>
        </w:r>
        <w:r>
          <w:fldChar w:fldCharType="end"/>
        </w:r>
      </w:p>
    </w:sdtContent>
  </w:sdt>
  <w:p w:rsidR="00F235FE" w:rsidRDefault="00F235FE">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5FE" w:rsidRDefault="00F235FE" w:rsidP="00885DE2">
      <w:r>
        <w:separator/>
      </w:r>
    </w:p>
    <w:p w:rsidR="00F235FE" w:rsidRDefault="00F235FE"/>
  </w:footnote>
  <w:footnote w:type="continuationSeparator" w:id="0">
    <w:p w:rsidR="00F235FE" w:rsidRDefault="00F235FE" w:rsidP="00885DE2">
      <w:r>
        <w:continuationSeparator/>
      </w:r>
    </w:p>
    <w:p w:rsidR="00F235FE" w:rsidRDefault="00F235FE"/>
  </w:footnote>
  <w:footnote w:id="1">
    <w:p w:rsidR="00F235FE" w:rsidRDefault="00F235FE">
      <w:pPr>
        <w:pStyle w:val="Puslapioinaostekstas"/>
      </w:pPr>
      <w:r>
        <w:rPr>
          <w:rStyle w:val="Puslapioinaosnuoroda"/>
        </w:rPr>
        <w:footnoteRef/>
      </w:r>
      <w:r>
        <w:t xml:space="preserve"> Į rodiklį įsiskaičiuoja bendri grynieji išmokėjimai (angl. </w:t>
      </w:r>
      <w:proofErr w:type="spellStart"/>
      <w:r w:rsidRPr="001E27E2">
        <w:rPr>
          <w:i/>
        </w:rPr>
        <w:t>total</w:t>
      </w:r>
      <w:proofErr w:type="spellEnd"/>
      <w:r w:rsidRPr="001E27E2">
        <w:rPr>
          <w:i/>
        </w:rPr>
        <w:t xml:space="preserve"> net </w:t>
      </w:r>
      <w:proofErr w:type="spellStart"/>
      <w:r w:rsidRPr="001E27E2">
        <w:rPr>
          <w:i/>
        </w:rPr>
        <w:t>payments</w:t>
      </w:r>
      <w:proofErr w:type="spellEnd"/>
      <w:r>
        <w:t xml:space="preserve">), t. y. pirminiai avansai, grynieji papildomi pirminiai avansai (papildomi pirminiai avansai be grąžintos dalies), grynieji metiniai avansai (metiniai avansai be grąžintos dalies), taip pat grynieji tarpiniai mokėjimai </w:t>
      </w:r>
      <w:proofErr w:type="gramStart"/>
      <w:r>
        <w:t>(</w:t>
      </w:r>
      <w:proofErr w:type="gramEnd"/>
      <w:r>
        <w:t>tarpiniai mokėjimai be grąžintos dalies ir metiniai avansai, padengti išlaidų).</w:t>
      </w:r>
    </w:p>
  </w:footnote>
  <w:footnote w:id="2">
    <w:p w:rsidR="00F235FE" w:rsidRDefault="00F235FE">
      <w:pPr>
        <w:pStyle w:val="Puslapioinaostekstas"/>
      </w:pPr>
      <w:r>
        <w:rPr>
          <w:rStyle w:val="Puslapioinaosnuoroda"/>
        </w:rPr>
        <w:footnoteRef/>
      </w:r>
      <w:r>
        <w:t xml:space="preserve"> </w:t>
      </w:r>
      <w:r w:rsidRPr="001726AE">
        <w:t>Pagal 2019 m. sausio mėn. įsigaliojusius pakeitimus Vyriausybės nutarime dėl Viešųjų pastatų energetinio efektyvumo didinimo programos nuostatų</w:t>
      </w:r>
      <w:r>
        <w:t>.</w:t>
      </w:r>
    </w:p>
  </w:footnote>
  <w:footnote w:id="3">
    <w:p w:rsidR="00F235FE" w:rsidRPr="002262C0" w:rsidRDefault="00F235FE" w:rsidP="005041CF">
      <w:pPr>
        <w:pStyle w:val="Puslapioinaostekstas"/>
        <w:jc w:val="both"/>
        <w:rPr>
          <w:rFonts w:ascii="Calibri" w:hAnsi="Calibri"/>
        </w:rPr>
      </w:pPr>
      <w:r>
        <w:rPr>
          <w:rStyle w:val="Puslapioinaosnuoroda"/>
        </w:rPr>
        <w:footnoteRef/>
      </w:r>
      <w:r>
        <w:t xml:space="preserve"> </w:t>
      </w:r>
      <w:r w:rsidRPr="002262C0">
        <w:rPr>
          <w:rFonts w:ascii="Calibri" w:hAnsi="Calibri"/>
        </w:rPr>
        <w:t>Europos Audito Rūmų 2018 m. padėties apžvalga ,,Siekiant sėkmingo transporto sektoriaus Europos Sąjungoje. Uždaviniai, kuriuos reikia išspręsti“, p. 21</w:t>
      </w:r>
      <w:r>
        <w:rPr>
          <w:rFonts w:ascii="Calibri" w:hAnsi="Calibri"/>
        </w:rPr>
        <w:t>–</w:t>
      </w:r>
      <w:r w:rsidRPr="002262C0">
        <w:rPr>
          <w:rFonts w:ascii="Calibri" w:hAnsi="Calibri"/>
        </w:rPr>
        <w:t>22 (Europos Komisija. 2011 m. baltosios knygos dėl transporto „</w:t>
      </w:r>
      <w:r w:rsidRPr="002262C0">
        <w:rPr>
          <w:rFonts w:ascii="Calibri" w:hAnsi="Calibri"/>
          <w:i/>
          <w:iCs/>
        </w:rPr>
        <w:t>Bendros Europos transporto erdvės kūrimo planas. Konkurencingos efektyviu išteklių naudojimu grindžiamos transporto sistemos kūrimas</w:t>
      </w:r>
      <w:r w:rsidRPr="002262C0">
        <w:rPr>
          <w:rFonts w:ascii="Calibri" w:hAnsi="Calibri"/>
        </w:rPr>
        <w:t xml:space="preserve">“ </w:t>
      </w:r>
      <w:r w:rsidRPr="002262C0">
        <w:rPr>
          <w:rFonts w:ascii="Calibri" w:hAnsi="Calibri"/>
          <w:i/>
          <w:iCs/>
        </w:rPr>
        <w:t>įgyvendinimas praėjus penkeriems metams nuo jos paskelbimo: laimėjimai ir uždaviniai</w:t>
      </w:r>
      <w:r w:rsidRPr="002262C0">
        <w:rPr>
          <w:rFonts w:ascii="Calibri" w:hAnsi="Calibri"/>
        </w:rPr>
        <w:t xml:space="preserve">“, SWD (2016) 226 </w:t>
      </w:r>
      <w:proofErr w:type="spellStart"/>
      <w:r w:rsidRPr="002262C0">
        <w:rPr>
          <w:rFonts w:ascii="Calibri" w:hAnsi="Calibri"/>
        </w:rPr>
        <w:t>final</w:t>
      </w:r>
      <w:proofErr w:type="spellEnd"/>
      <w:r w:rsidRPr="002262C0">
        <w:rPr>
          <w:rFonts w:ascii="Calibri" w:hAnsi="Calibri"/>
        </w:rPr>
        <w:t xml:space="preserve">, 2016 7 1, p. 24–25). </w:t>
      </w:r>
    </w:p>
    <w:p w:rsidR="00F235FE" w:rsidRDefault="00F235FE">
      <w:pPr>
        <w:pStyle w:val="Puslapioinaosteksta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5FE" w:rsidRDefault="00F235FE" w:rsidP="00B86403">
    <w:pPr>
      <w:pStyle w:val="Antrats"/>
      <w:jc w:val="center"/>
    </w:pPr>
  </w:p>
  <w:p w:rsidR="00F235FE" w:rsidRDefault="00F235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C3433"/>
    <w:multiLevelType w:val="hybridMultilevel"/>
    <w:tmpl w:val="5C7A19FC"/>
    <w:lvl w:ilvl="0" w:tplc="55C00410">
      <w:start w:val="1"/>
      <w:numFmt w:val="bullet"/>
      <w:lvlText w:val="-"/>
      <w:lvlJc w:val="left"/>
      <w:pPr>
        <w:ind w:left="720" w:hanging="360"/>
      </w:pPr>
      <w:rPr>
        <w:rFonts w:ascii="Calibri" w:eastAsia="Times New Roman"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DF0688D"/>
    <w:multiLevelType w:val="hybridMultilevel"/>
    <w:tmpl w:val="931E4962"/>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
    <w:nsid w:val="1B1D6C17"/>
    <w:multiLevelType w:val="hybridMultilevel"/>
    <w:tmpl w:val="E710D4F4"/>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
    <w:nsid w:val="1B3D2E45"/>
    <w:multiLevelType w:val="hybridMultilevel"/>
    <w:tmpl w:val="99F82BB4"/>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4">
    <w:nsid w:val="288F1E5E"/>
    <w:multiLevelType w:val="hybridMultilevel"/>
    <w:tmpl w:val="55A2844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nsid w:val="2CED31D9"/>
    <w:multiLevelType w:val="hybridMultilevel"/>
    <w:tmpl w:val="2884CF82"/>
    <w:lvl w:ilvl="0" w:tplc="12301B66">
      <w:start w:val="1"/>
      <w:numFmt w:val="upperRoman"/>
      <w:pStyle w:val="Antrat1"/>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2E245E01"/>
    <w:multiLevelType w:val="hybridMultilevel"/>
    <w:tmpl w:val="45A08C6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nsid w:val="340C6CDA"/>
    <w:multiLevelType w:val="hybridMultilevel"/>
    <w:tmpl w:val="3418E6EA"/>
    <w:lvl w:ilvl="0" w:tplc="F5A09518">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3E4B11B0"/>
    <w:multiLevelType w:val="hybridMultilevel"/>
    <w:tmpl w:val="61A8C188"/>
    <w:lvl w:ilvl="0" w:tplc="67385D50">
      <w:start w:val="1"/>
      <w:numFmt w:val="bullet"/>
      <w:lvlText w:val="-"/>
      <w:lvlJc w:val="left"/>
      <w:pPr>
        <w:ind w:left="786" w:hanging="360"/>
      </w:pPr>
      <w:rPr>
        <w:rFonts w:ascii="Calibri" w:eastAsia="Times New Roman" w:hAnsi="Calibri" w:cs="Calibri"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9">
    <w:nsid w:val="42916B38"/>
    <w:multiLevelType w:val="hybridMultilevel"/>
    <w:tmpl w:val="49F813B6"/>
    <w:lvl w:ilvl="0" w:tplc="799E16AC">
      <w:start w:val="1"/>
      <w:numFmt w:val="bullet"/>
      <w:lvlText w:val="-"/>
      <w:lvlJc w:val="left"/>
      <w:pPr>
        <w:ind w:left="720" w:hanging="360"/>
      </w:pPr>
      <w:rPr>
        <w:rFonts w:ascii="Calibri" w:eastAsia="Times New Roman"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44A36260"/>
    <w:multiLevelType w:val="hybridMultilevel"/>
    <w:tmpl w:val="928434C8"/>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1">
    <w:nsid w:val="55F852C9"/>
    <w:multiLevelType w:val="hybridMultilevel"/>
    <w:tmpl w:val="0ABC1B74"/>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2">
    <w:nsid w:val="5C77782B"/>
    <w:multiLevelType w:val="hybridMultilevel"/>
    <w:tmpl w:val="6052B306"/>
    <w:lvl w:ilvl="0" w:tplc="862AA444">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
    <w:nsid w:val="5CD8060A"/>
    <w:multiLevelType w:val="hybridMultilevel"/>
    <w:tmpl w:val="6052B306"/>
    <w:lvl w:ilvl="0" w:tplc="862AA444">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4">
    <w:nsid w:val="5E1B7C00"/>
    <w:multiLevelType w:val="hybridMultilevel"/>
    <w:tmpl w:val="9CB65AB2"/>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5">
    <w:nsid w:val="637716D9"/>
    <w:multiLevelType w:val="hybridMultilevel"/>
    <w:tmpl w:val="E37A7E62"/>
    <w:lvl w:ilvl="0" w:tplc="862AA444">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6">
    <w:nsid w:val="71052E22"/>
    <w:multiLevelType w:val="hybridMultilevel"/>
    <w:tmpl w:val="58029E66"/>
    <w:lvl w:ilvl="0" w:tplc="54DA9186">
      <w:start w:val="1"/>
      <w:numFmt w:val="bullet"/>
      <w:lvlText w:val="-"/>
      <w:lvlJc w:val="left"/>
      <w:pPr>
        <w:ind w:left="720" w:hanging="360"/>
      </w:pPr>
      <w:rPr>
        <w:rFonts w:ascii="Calibri" w:eastAsia="Times New Roman"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7603181E"/>
    <w:multiLevelType w:val="hybridMultilevel"/>
    <w:tmpl w:val="87E84D82"/>
    <w:lvl w:ilvl="0" w:tplc="7528E6C4">
      <w:numFmt w:val="bullet"/>
      <w:lvlText w:val="–"/>
      <w:lvlJc w:val="left"/>
      <w:pPr>
        <w:ind w:left="720" w:hanging="360"/>
      </w:pPr>
      <w:rPr>
        <w:rFonts w:ascii="Calibri" w:eastAsia="Times New Roman"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78FF1666"/>
    <w:multiLevelType w:val="hybridMultilevel"/>
    <w:tmpl w:val="9D8472E6"/>
    <w:lvl w:ilvl="0" w:tplc="08C263AE">
      <w:numFmt w:val="bullet"/>
      <w:lvlText w:val="-"/>
      <w:lvlJc w:val="left"/>
      <w:pPr>
        <w:ind w:left="720" w:hanging="360"/>
      </w:pPr>
      <w:rPr>
        <w:rFonts w:ascii="Calibri" w:eastAsia="Times New Roman"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7"/>
  </w:num>
  <w:num w:numId="5">
    <w:abstractNumId w:val="2"/>
  </w:num>
  <w:num w:numId="6">
    <w:abstractNumId w:val="13"/>
  </w:num>
  <w:num w:numId="7">
    <w:abstractNumId w:val="4"/>
  </w:num>
  <w:num w:numId="8">
    <w:abstractNumId w:val="6"/>
  </w:num>
  <w:num w:numId="9">
    <w:abstractNumId w:val="11"/>
  </w:num>
  <w:num w:numId="10">
    <w:abstractNumId w:val="12"/>
  </w:num>
  <w:num w:numId="11">
    <w:abstractNumId w:val="14"/>
  </w:num>
  <w:num w:numId="12">
    <w:abstractNumId w:val="15"/>
  </w:num>
  <w:num w:numId="13">
    <w:abstractNumId w:val="10"/>
  </w:num>
  <w:num w:numId="14">
    <w:abstractNumId w:val="3"/>
  </w:num>
  <w:num w:numId="15">
    <w:abstractNumId w:val="16"/>
  </w:num>
  <w:num w:numId="16">
    <w:abstractNumId w:val="0"/>
  </w:num>
  <w:num w:numId="17">
    <w:abstractNumId w:val="9"/>
  </w:num>
  <w:num w:numId="18">
    <w:abstractNumId w:val="17"/>
  </w:num>
  <w:num w:numId="19">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296"/>
  <w:hyphenationZone w:val="396"/>
  <w:characterSpacingControl w:val="doNotCompress"/>
  <w:hdrShapeDefaults>
    <o:shapedefaults v:ext="edit" spidmax="335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A36"/>
    <w:rsid w:val="00000A8B"/>
    <w:rsid w:val="00001905"/>
    <w:rsid w:val="0000192D"/>
    <w:rsid w:val="00001A53"/>
    <w:rsid w:val="0000262B"/>
    <w:rsid w:val="000038D6"/>
    <w:rsid w:val="00004454"/>
    <w:rsid w:val="000058CC"/>
    <w:rsid w:val="0000592B"/>
    <w:rsid w:val="00005D87"/>
    <w:rsid w:val="000061AD"/>
    <w:rsid w:val="0000643A"/>
    <w:rsid w:val="00007F90"/>
    <w:rsid w:val="000102C5"/>
    <w:rsid w:val="00010C7F"/>
    <w:rsid w:val="00010F32"/>
    <w:rsid w:val="00011121"/>
    <w:rsid w:val="0001113C"/>
    <w:rsid w:val="00011729"/>
    <w:rsid w:val="0001197F"/>
    <w:rsid w:val="0001198C"/>
    <w:rsid w:val="00011E10"/>
    <w:rsid w:val="00012338"/>
    <w:rsid w:val="0001242D"/>
    <w:rsid w:val="00012D02"/>
    <w:rsid w:val="0001301A"/>
    <w:rsid w:val="00013643"/>
    <w:rsid w:val="0001398C"/>
    <w:rsid w:val="0001517B"/>
    <w:rsid w:val="000153B4"/>
    <w:rsid w:val="00015444"/>
    <w:rsid w:val="00015BAD"/>
    <w:rsid w:val="00016210"/>
    <w:rsid w:val="000165E2"/>
    <w:rsid w:val="00016996"/>
    <w:rsid w:val="0001708F"/>
    <w:rsid w:val="0001737F"/>
    <w:rsid w:val="000175D7"/>
    <w:rsid w:val="0001784F"/>
    <w:rsid w:val="00017AE5"/>
    <w:rsid w:val="00020BAB"/>
    <w:rsid w:val="00020BE0"/>
    <w:rsid w:val="00020D31"/>
    <w:rsid w:val="00021951"/>
    <w:rsid w:val="00022531"/>
    <w:rsid w:val="000226EE"/>
    <w:rsid w:val="00022718"/>
    <w:rsid w:val="00022B97"/>
    <w:rsid w:val="0002379C"/>
    <w:rsid w:val="00023E5E"/>
    <w:rsid w:val="00024153"/>
    <w:rsid w:val="0002426C"/>
    <w:rsid w:val="000245F8"/>
    <w:rsid w:val="00024CF4"/>
    <w:rsid w:val="0002540D"/>
    <w:rsid w:val="00025633"/>
    <w:rsid w:val="00025986"/>
    <w:rsid w:val="00026181"/>
    <w:rsid w:val="00026605"/>
    <w:rsid w:val="00026979"/>
    <w:rsid w:val="00026DCF"/>
    <w:rsid w:val="00026E21"/>
    <w:rsid w:val="000270EE"/>
    <w:rsid w:val="000277AC"/>
    <w:rsid w:val="00027B58"/>
    <w:rsid w:val="00027DC5"/>
    <w:rsid w:val="00030B2B"/>
    <w:rsid w:val="00030E87"/>
    <w:rsid w:val="000319F9"/>
    <w:rsid w:val="00031E0B"/>
    <w:rsid w:val="000326F4"/>
    <w:rsid w:val="00033060"/>
    <w:rsid w:val="00033398"/>
    <w:rsid w:val="00033C1B"/>
    <w:rsid w:val="0003408E"/>
    <w:rsid w:val="0003478D"/>
    <w:rsid w:val="00034A12"/>
    <w:rsid w:val="00034BB3"/>
    <w:rsid w:val="00035123"/>
    <w:rsid w:val="0003583B"/>
    <w:rsid w:val="00035C9C"/>
    <w:rsid w:val="00035E4D"/>
    <w:rsid w:val="00036131"/>
    <w:rsid w:val="000361F4"/>
    <w:rsid w:val="000372DD"/>
    <w:rsid w:val="00037E5E"/>
    <w:rsid w:val="000406F5"/>
    <w:rsid w:val="000433B6"/>
    <w:rsid w:val="000435B9"/>
    <w:rsid w:val="00044E0F"/>
    <w:rsid w:val="00044F50"/>
    <w:rsid w:val="00045D29"/>
    <w:rsid w:val="00045F66"/>
    <w:rsid w:val="00046004"/>
    <w:rsid w:val="0004611B"/>
    <w:rsid w:val="0004665E"/>
    <w:rsid w:val="000466F5"/>
    <w:rsid w:val="0004739D"/>
    <w:rsid w:val="0004758C"/>
    <w:rsid w:val="000500A6"/>
    <w:rsid w:val="00050A45"/>
    <w:rsid w:val="00050C53"/>
    <w:rsid w:val="000514FF"/>
    <w:rsid w:val="00051619"/>
    <w:rsid w:val="00051BE5"/>
    <w:rsid w:val="00051CA2"/>
    <w:rsid w:val="00052893"/>
    <w:rsid w:val="00053130"/>
    <w:rsid w:val="0005332A"/>
    <w:rsid w:val="000534E5"/>
    <w:rsid w:val="00053534"/>
    <w:rsid w:val="00053645"/>
    <w:rsid w:val="0005370A"/>
    <w:rsid w:val="000540BD"/>
    <w:rsid w:val="00054913"/>
    <w:rsid w:val="00054C4D"/>
    <w:rsid w:val="000562E8"/>
    <w:rsid w:val="000564EB"/>
    <w:rsid w:val="00056557"/>
    <w:rsid w:val="00056949"/>
    <w:rsid w:val="00056DC0"/>
    <w:rsid w:val="000575C5"/>
    <w:rsid w:val="00057D22"/>
    <w:rsid w:val="00060F38"/>
    <w:rsid w:val="00061C76"/>
    <w:rsid w:val="0006214E"/>
    <w:rsid w:val="000628F2"/>
    <w:rsid w:val="000635ED"/>
    <w:rsid w:val="00063EF4"/>
    <w:rsid w:val="00064037"/>
    <w:rsid w:val="000648A5"/>
    <w:rsid w:val="00065231"/>
    <w:rsid w:val="000652F9"/>
    <w:rsid w:val="0006540D"/>
    <w:rsid w:val="00065EBA"/>
    <w:rsid w:val="00066926"/>
    <w:rsid w:val="00066F8D"/>
    <w:rsid w:val="000672AC"/>
    <w:rsid w:val="0007040F"/>
    <w:rsid w:val="000704F3"/>
    <w:rsid w:val="00070DE6"/>
    <w:rsid w:val="00071373"/>
    <w:rsid w:val="000719D4"/>
    <w:rsid w:val="000722AF"/>
    <w:rsid w:val="00072883"/>
    <w:rsid w:val="00072EA2"/>
    <w:rsid w:val="00073427"/>
    <w:rsid w:val="00073432"/>
    <w:rsid w:val="000734D2"/>
    <w:rsid w:val="00073F49"/>
    <w:rsid w:val="0007415C"/>
    <w:rsid w:val="000758EC"/>
    <w:rsid w:val="00076C3E"/>
    <w:rsid w:val="00077876"/>
    <w:rsid w:val="00077B70"/>
    <w:rsid w:val="00080B81"/>
    <w:rsid w:val="00080EFF"/>
    <w:rsid w:val="000813C4"/>
    <w:rsid w:val="00081B8D"/>
    <w:rsid w:val="00082902"/>
    <w:rsid w:val="00082E20"/>
    <w:rsid w:val="00083426"/>
    <w:rsid w:val="00083900"/>
    <w:rsid w:val="00084269"/>
    <w:rsid w:val="0008477E"/>
    <w:rsid w:val="00084B53"/>
    <w:rsid w:val="00084F7F"/>
    <w:rsid w:val="00085A1E"/>
    <w:rsid w:val="00085CCF"/>
    <w:rsid w:val="0008601D"/>
    <w:rsid w:val="00086AA8"/>
    <w:rsid w:val="00086CF9"/>
    <w:rsid w:val="00087DEF"/>
    <w:rsid w:val="0009043F"/>
    <w:rsid w:val="00090C5D"/>
    <w:rsid w:val="00091124"/>
    <w:rsid w:val="00091716"/>
    <w:rsid w:val="00091A08"/>
    <w:rsid w:val="00091D81"/>
    <w:rsid w:val="000924FC"/>
    <w:rsid w:val="00092B25"/>
    <w:rsid w:val="00092E74"/>
    <w:rsid w:val="000930DD"/>
    <w:rsid w:val="00093918"/>
    <w:rsid w:val="000939BB"/>
    <w:rsid w:val="00093FBE"/>
    <w:rsid w:val="000947E8"/>
    <w:rsid w:val="00094ABF"/>
    <w:rsid w:val="00095032"/>
    <w:rsid w:val="000950EE"/>
    <w:rsid w:val="0009510C"/>
    <w:rsid w:val="000954B9"/>
    <w:rsid w:val="00095E81"/>
    <w:rsid w:val="00095F43"/>
    <w:rsid w:val="00097180"/>
    <w:rsid w:val="00097564"/>
    <w:rsid w:val="00097652"/>
    <w:rsid w:val="0009776B"/>
    <w:rsid w:val="00097D5D"/>
    <w:rsid w:val="000A0269"/>
    <w:rsid w:val="000A04A2"/>
    <w:rsid w:val="000A0541"/>
    <w:rsid w:val="000A0917"/>
    <w:rsid w:val="000A0C4D"/>
    <w:rsid w:val="000A0E2E"/>
    <w:rsid w:val="000A1574"/>
    <w:rsid w:val="000A17E4"/>
    <w:rsid w:val="000A1C84"/>
    <w:rsid w:val="000A221E"/>
    <w:rsid w:val="000A23FE"/>
    <w:rsid w:val="000A2415"/>
    <w:rsid w:val="000A2CCA"/>
    <w:rsid w:val="000A3260"/>
    <w:rsid w:val="000A335F"/>
    <w:rsid w:val="000A336F"/>
    <w:rsid w:val="000A3A87"/>
    <w:rsid w:val="000A4A70"/>
    <w:rsid w:val="000A563F"/>
    <w:rsid w:val="000A5838"/>
    <w:rsid w:val="000A5C43"/>
    <w:rsid w:val="000A5D83"/>
    <w:rsid w:val="000A68B8"/>
    <w:rsid w:val="000A71BF"/>
    <w:rsid w:val="000A788A"/>
    <w:rsid w:val="000A7929"/>
    <w:rsid w:val="000B00FE"/>
    <w:rsid w:val="000B0356"/>
    <w:rsid w:val="000B0A89"/>
    <w:rsid w:val="000B0E1B"/>
    <w:rsid w:val="000B1A94"/>
    <w:rsid w:val="000B20A1"/>
    <w:rsid w:val="000B2202"/>
    <w:rsid w:val="000B2663"/>
    <w:rsid w:val="000B285E"/>
    <w:rsid w:val="000B2B31"/>
    <w:rsid w:val="000B3A28"/>
    <w:rsid w:val="000B3E6F"/>
    <w:rsid w:val="000B5082"/>
    <w:rsid w:val="000B549E"/>
    <w:rsid w:val="000B59A2"/>
    <w:rsid w:val="000B6072"/>
    <w:rsid w:val="000B6579"/>
    <w:rsid w:val="000B66F2"/>
    <w:rsid w:val="000B695A"/>
    <w:rsid w:val="000B7133"/>
    <w:rsid w:val="000B7F6C"/>
    <w:rsid w:val="000C00AF"/>
    <w:rsid w:val="000C0722"/>
    <w:rsid w:val="000C0CDE"/>
    <w:rsid w:val="000C0EE7"/>
    <w:rsid w:val="000C1001"/>
    <w:rsid w:val="000C1074"/>
    <w:rsid w:val="000C23B5"/>
    <w:rsid w:val="000C34C8"/>
    <w:rsid w:val="000C3B29"/>
    <w:rsid w:val="000C3F66"/>
    <w:rsid w:val="000C45F4"/>
    <w:rsid w:val="000C4C16"/>
    <w:rsid w:val="000C51D2"/>
    <w:rsid w:val="000C558A"/>
    <w:rsid w:val="000C58BB"/>
    <w:rsid w:val="000C593A"/>
    <w:rsid w:val="000C60E5"/>
    <w:rsid w:val="000C61CC"/>
    <w:rsid w:val="000C62AE"/>
    <w:rsid w:val="000C7211"/>
    <w:rsid w:val="000C7298"/>
    <w:rsid w:val="000D0954"/>
    <w:rsid w:val="000D1308"/>
    <w:rsid w:val="000D13F9"/>
    <w:rsid w:val="000D19A0"/>
    <w:rsid w:val="000D1A53"/>
    <w:rsid w:val="000D1AA6"/>
    <w:rsid w:val="000D1D56"/>
    <w:rsid w:val="000D1D7C"/>
    <w:rsid w:val="000D209E"/>
    <w:rsid w:val="000D3113"/>
    <w:rsid w:val="000D31EC"/>
    <w:rsid w:val="000D3F84"/>
    <w:rsid w:val="000D3FD5"/>
    <w:rsid w:val="000D40CB"/>
    <w:rsid w:val="000D43A9"/>
    <w:rsid w:val="000D45E0"/>
    <w:rsid w:val="000D4928"/>
    <w:rsid w:val="000D4CEA"/>
    <w:rsid w:val="000D4DF9"/>
    <w:rsid w:val="000D4E4B"/>
    <w:rsid w:val="000D6638"/>
    <w:rsid w:val="000D68A8"/>
    <w:rsid w:val="000D691B"/>
    <w:rsid w:val="000D6BBE"/>
    <w:rsid w:val="000D7106"/>
    <w:rsid w:val="000D7D76"/>
    <w:rsid w:val="000E19F5"/>
    <w:rsid w:val="000E20AC"/>
    <w:rsid w:val="000E2D43"/>
    <w:rsid w:val="000E3183"/>
    <w:rsid w:val="000E3377"/>
    <w:rsid w:val="000E378A"/>
    <w:rsid w:val="000E4034"/>
    <w:rsid w:val="000E531D"/>
    <w:rsid w:val="000E58EE"/>
    <w:rsid w:val="000E5A3A"/>
    <w:rsid w:val="000E5DB0"/>
    <w:rsid w:val="000E6459"/>
    <w:rsid w:val="000E6900"/>
    <w:rsid w:val="000E6F6A"/>
    <w:rsid w:val="000E78EE"/>
    <w:rsid w:val="000E78F3"/>
    <w:rsid w:val="000E7D08"/>
    <w:rsid w:val="000E7F29"/>
    <w:rsid w:val="000F090C"/>
    <w:rsid w:val="000F0E27"/>
    <w:rsid w:val="000F2185"/>
    <w:rsid w:val="000F22B7"/>
    <w:rsid w:val="000F2C09"/>
    <w:rsid w:val="000F34CA"/>
    <w:rsid w:val="000F353C"/>
    <w:rsid w:val="000F3F41"/>
    <w:rsid w:val="000F40E3"/>
    <w:rsid w:val="000F4230"/>
    <w:rsid w:val="000F4483"/>
    <w:rsid w:val="000F46ED"/>
    <w:rsid w:val="000F5159"/>
    <w:rsid w:val="000F648D"/>
    <w:rsid w:val="000F6A28"/>
    <w:rsid w:val="000F6A97"/>
    <w:rsid w:val="000F6C44"/>
    <w:rsid w:val="000F6D24"/>
    <w:rsid w:val="000F6F26"/>
    <w:rsid w:val="000F7101"/>
    <w:rsid w:val="000F750E"/>
    <w:rsid w:val="000F75A7"/>
    <w:rsid w:val="000F7AA4"/>
    <w:rsid w:val="001007A9"/>
    <w:rsid w:val="00100C9D"/>
    <w:rsid w:val="00100F76"/>
    <w:rsid w:val="0010181F"/>
    <w:rsid w:val="0010258D"/>
    <w:rsid w:val="001026FD"/>
    <w:rsid w:val="00102707"/>
    <w:rsid w:val="00102DE8"/>
    <w:rsid w:val="00102E65"/>
    <w:rsid w:val="00102FF0"/>
    <w:rsid w:val="00103021"/>
    <w:rsid w:val="00103ACF"/>
    <w:rsid w:val="0010403D"/>
    <w:rsid w:val="0010470F"/>
    <w:rsid w:val="00104CB5"/>
    <w:rsid w:val="00105616"/>
    <w:rsid w:val="00106330"/>
    <w:rsid w:val="00106792"/>
    <w:rsid w:val="0010694A"/>
    <w:rsid w:val="001074AE"/>
    <w:rsid w:val="00107D56"/>
    <w:rsid w:val="00107F5E"/>
    <w:rsid w:val="00110367"/>
    <w:rsid w:val="00110664"/>
    <w:rsid w:val="0011075C"/>
    <w:rsid w:val="00110AD0"/>
    <w:rsid w:val="00110F88"/>
    <w:rsid w:val="00110FD8"/>
    <w:rsid w:val="00111FAD"/>
    <w:rsid w:val="00112326"/>
    <w:rsid w:val="00112979"/>
    <w:rsid w:val="00112FA7"/>
    <w:rsid w:val="00113171"/>
    <w:rsid w:val="0011343C"/>
    <w:rsid w:val="0011385C"/>
    <w:rsid w:val="00113CD6"/>
    <w:rsid w:val="00113DB8"/>
    <w:rsid w:val="00113F16"/>
    <w:rsid w:val="001149EE"/>
    <w:rsid w:val="0011505C"/>
    <w:rsid w:val="001154C4"/>
    <w:rsid w:val="00115610"/>
    <w:rsid w:val="001159B4"/>
    <w:rsid w:val="00115EFF"/>
    <w:rsid w:val="00117707"/>
    <w:rsid w:val="001179A8"/>
    <w:rsid w:val="00117B40"/>
    <w:rsid w:val="00117BBF"/>
    <w:rsid w:val="0012087B"/>
    <w:rsid w:val="00120A6E"/>
    <w:rsid w:val="00120F5A"/>
    <w:rsid w:val="00120F6E"/>
    <w:rsid w:val="00121504"/>
    <w:rsid w:val="00121F18"/>
    <w:rsid w:val="001222E3"/>
    <w:rsid w:val="00122388"/>
    <w:rsid w:val="0012319B"/>
    <w:rsid w:val="00123380"/>
    <w:rsid w:val="00123C75"/>
    <w:rsid w:val="0012414F"/>
    <w:rsid w:val="00124292"/>
    <w:rsid w:val="00124404"/>
    <w:rsid w:val="00124E34"/>
    <w:rsid w:val="00124F7F"/>
    <w:rsid w:val="00125045"/>
    <w:rsid w:val="00125571"/>
    <w:rsid w:val="001259A4"/>
    <w:rsid w:val="00125D21"/>
    <w:rsid w:val="00126130"/>
    <w:rsid w:val="0012624E"/>
    <w:rsid w:val="00126CF4"/>
    <w:rsid w:val="00126D4B"/>
    <w:rsid w:val="0013060F"/>
    <w:rsid w:val="00130924"/>
    <w:rsid w:val="001325CE"/>
    <w:rsid w:val="001326D9"/>
    <w:rsid w:val="00132EE5"/>
    <w:rsid w:val="001333FD"/>
    <w:rsid w:val="00133FBD"/>
    <w:rsid w:val="001343CE"/>
    <w:rsid w:val="00134509"/>
    <w:rsid w:val="0013455D"/>
    <w:rsid w:val="00134652"/>
    <w:rsid w:val="00134A9D"/>
    <w:rsid w:val="00134D2C"/>
    <w:rsid w:val="00135F30"/>
    <w:rsid w:val="0013679D"/>
    <w:rsid w:val="0013704D"/>
    <w:rsid w:val="00137994"/>
    <w:rsid w:val="001400E4"/>
    <w:rsid w:val="001409D4"/>
    <w:rsid w:val="00140EB5"/>
    <w:rsid w:val="00141359"/>
    <w:rsid w:val="00141755"/>
    <w:rsid w:val="001419F4"/>
    <w:rsid w:val="0014204A"/>
    <w:rsid w:val="0014307F"/>
    <w:rsid w:val="0014330F"/>
    <w:rsid w:val="00143839"/>
    <w:rsid w:val="00143ACE"/>
    <w:rsid w:val="001448F5"/>
    <w:rsid w:val="00144B76"/>
    <w:rsid w:val="00144C56"/>
    <w:rsid w:val="00144DA5"/>
    <w:rsid w:val="00145365"/>
    <w:rsid w:val="0014577B"/>
    <w:rsid w:val="0014597B"/>
    <w:rsid w:val="00145E6F"/>
    <w:rsid w:val="00146642"/>
    <w:rsid w:val="00146705"/>
    <w:rsid w:val="00146EED"/>
    <w:rsid w:val="00147884"/>
    <w:rsid w:val="0014795B"/>
    <w:rsid w:val="00147DCD"/>
    <w:rsid w:val="0015005B"/>
    <w:rsid w:val="001508A6"/>
    <w:rsid w:val="00150BA3"/>
    <w:rsid w:val="00150C17"/>
    <w:rsid w:val="001515A3"/>
    <w:rsid w:val="001515AC"/>
    <w:rsid w:val="001525C4"/>
    <w:rsid w:val="001526C0"/>
    <w:rsid w:val="001529E2"/>
    <w:rsid w:val="0015338C"/>
    <w:rsid w:val="0015343C"/>
    <w:rsid w:val="001539CD"/>
    <w:rsid w:val="00154700"/>
    <w:rsid w:val="001547CA"/>
    <w:rsid w:val="001550C6"/>
    <w:rsid w:val="001554A6"/>
    <w:rsid w:val="00155832"/>
    <w:rsid w:val="00155C15"/>
    <w:rsid w:val="00156342"/>
    <w:rsid w:val="00156662"/>
    <w:rsid w:val="00156832"/>
    <w:rsid w:val="00156A0C"/>
    <w:rsid w:val="00156DD9"/>
    <w:rsid w:val="001574D0"/>
    <w:rsid w:val="00160412"/>
    <w:rsid w:val="00160494"/>
    <w:rsid w:val="00160D9B"/>
    <w:rsid w:val="0016138C"/>
    <w:rsid w:val="001617B3"/>
    <w:rsid w:val="00161843"/>
    <w:rsid w:val="00162012"/>
    <w:rsid w:val="001622F6"/>
    <w:rsid w:val="001624C7"/>
    <w:rsid w:val="00162867"/>
    <w:rsid w:val="00162A74"/>
    <w:rsid w:val="00162BAD"/>
    <w:rsid w:val="00162F14"/>
    <w:rsid w:val="00163257"/>
    <w:rsid w:val="001638D4"/>
    <w:rsid w:val="001639F6"/>
    <w:rsid w:val="00163CC0"/>
    <w:rsid w:val="0016457F"/>
    <w:rsid w:val="00164BCB"/>
    <w:rsid w:val="00164DAF"/>
    <w:rsid w:val="0016561A"/>
    <w:rsid w:val="00165BAD"/>
    <w:rsid w:val="00166266"/>
    <w:rsid w:val="001664F0"/>
    <w:rsid w:val="00166C68"/>
    <w:rsid w:val="001673DE"/>
    <w:rsid w:val="0016744A"/>
    <w:rsid w:val="001677B0"/>
    <w:rsid w:val="00170590"/>
    <w:rsid w:val="0017075D"/>
    <w:rsid w:val="001711BE"/>
    <w:rsid w:val="00171769"/>
    <w:rsid w:val="001717B0"/>
    <w:rsid w:val="00171C63"/>
    <w:rsid w:val="0017241C"/>
    <w:rsid w:val="001726AE"/>
    <w:rsid w:val="001727E6"/>
    <w:rsid w:val="0017297C"/>
    <w:rsid w:val="00172E0E"/>
    <w:rsid w:val="001741B6"/>
    <w:rsid w:val="00174A8C"/>
    <w:rsid w:val="00174CA1"/>
    <w:rsid w:val="00174D8E"/>
    <w:rsid w:val="00175FF2"/>
    <w:rsid w:val="001761B3"/>
    <w:rsid w:val="001762F6"/>
    <w:rsid w:val="00176970"/>
    <w:rsid w:val="00176A64"/>
    <w:rsid w:val="00176AB9"/>
    <w:rsid w:val="00176B4A"/>
    <w:rsid w:val="00176C75"/>
    <w:rsid w:val="00176D2A"/>
    <w:rsid w:val="0017737D"/>
    <w:rsid w:val="00180117"/>
    <w:rsid w:val="001803D3"/>
    <w:rsid w:val="00180694"/>
    <w:rsid w:val="00180CB0"/>
    <w:rsid w:val="00181662"/>
    <w:rsid w:val="001818E0"/>
    <w:rsid w:val="001821E6"/>
    <w:rsid w:val="0018247A"/>
    <w:rsid w:val="001832C0"/>
    <w:rsid w:val="0018397A"/>
    <w:rsid w:val="0018406B"/>
    <w:rsid w:val="0018477F"/>
    <w:rsid w:val="00185654"/>
    <w:rsid w:val="00185F34"/>
    <w:rsid w:val="0018613E"/>
    <w:rsid w:val="0018660C"/>
    <w:rsid w:val="001868F2"/>
    <w:rsid w:val="00187028"/>
    <w:rsid w:val="00187059"/>
    <w:rsid w:val="001871EE"/>
    <w:rsid w:val="00187496"/>
    <w:rsid w:val="001876D9"/>
    <w:rsid w:val="00187C30"/>
    <w:rsid w:val="001909EC"/>
    <w:rsid w:val="00191B70"/>
    <w:rsid w:val="00191CB1"/>
    <w:rsid w:val="0019264E"/>
    <w:rsid w:val="00192BEC"/>
    <w:rsid w:val="001930E9"/>
    <w:rsid w:val="00193104"/>
    <w:rsid w:val="00193AEC"/>
    <w:rsid w:val="00193C82"/>
    <w:rsid w:val="00194115"/>
    <w:rsid w:val="001957F8"/>
    <w:rsid w:val="00196426"/>
    <w:rsid w:val="00197829"/>
    <w:rsid w:val="00197952"/>
    <w:rsid w:val="00197C63"/>
    <w:rsid w:val="001A06A7"/>
    <w:rsid w:val="001A07C5"/>
    <w:rsid w:val="001A1048"/>
    <w:rsid w:val="001A19A8"/>
    <w:rsid w:val="001A1EC3"/>
    <w:rsid w:val="001A2101"/>
    <w:rsid w:val="001A2317"/>
    <w:rsid w:val="001A23B9"/>
    <w:rsid w:val="001A27F2"/>
    <w:rsid w:val="001A2B7B"/>
    <w:rsid w:val="001A301D"/>
    <w:rsid w:val="001A30F7"/>
    <w:rsid w:val="001A3418"/>
    <w:rsid w:val="001A365A"/>
    <w:rsid w:val="001A48EC"/>
    <w:rsid w:val="001A4D29"/>
    <w:rsid w:val="001A4E4D"/>
    <w:rsid w:val="001A51A9"/>
    <w:rsid w:val="001A534B"/>
    <w:rsid w:val="001A6299"/>
    <w:rsid w:val="001A63D4"/>
    <w:rsid w:val="001A7051"/>
    <w:rsid w:val="001A7174"/>
    <w:rsid w:val="001B0BE9"/>
    <w:rsid w:val="001B10D8"/>
    <w:rsid w:val="001B11A6"/>
    <w:rsid w:val="001B1456"/>
    <w:rsid w:val="001B1655"/>
    <w:rsid w:val="001B1A7C"/>
    <w:rsid w:val="001B1D69"/>
    <w:rsid w:val="001B245A"/>
    <w:rsid w:val="001B26EA"/>
    <w:rsid w:val="001B2A46"/>
    <w:rsid w:val="001B3DDC"/>
    <w:rsid w:val="001B3F92"/>
    <w:rsid w:val="001B4313"/>
    <w:rsid w:val="001B4771"/>
    <w:rsid w:val="001B4A8D"/>
    <w:rsid w:val="001B4D96"/>
    <w:rsid w:val="001B4EAA"/>
    <w:rsid w:val="001B60BE"/>
    <w:rsid w:val="001B61CB"/>
    <w:rsid w:val="001B62DA"/>
    <w:rsid w:val="001B643B"/>
    <w:rsid w:val="001B66B4"/>
    <w:rsid w:val="001B68D6"/>
    <w:rsid w:val="001B70E9"/>
    <w:rsid w:val="001C03DD"/>
    <w:rsid w:val="001C0904"/>
    <w:rsid w:val="001C0D00"/>
    <w:rsid w:val="001C147F"/>
    <w:rsid w:val="001C15CE"/>
    <w:rsid w:val="001C1872"/>
    <w:rsid w:val="001C2944"/>
    <w:rsid w:val="001C2F3C"/>
    <w:rsid w:val="001C383D"/>
    <w:rsid w:val="001C3F22"/>
    <w:rsid w:val="001C4325"/>
    <w:rsid w:val="001C4977"/>
    <w:rsid w:val="001C4A10"/>
    <w:rsid w:val="001C4C98"/>
    <w:rsid w:val="001C4F2F"/>
    <w:rsid w:val="001C52A0"/>
    <w:rsid w:val="001C52A1"/>
    <w:rsid w:val="001C554F"/>
    <w:rsid w:val="001C5C85"/>
    <w:rsid w:val="001C6370"/>
    <w:rsid w:val="001C6B5A"/>
    <w:rsid w:val="001C74DC"/>
    <w:rsid w:val="001C7605"/>
    <w:rsid w:val="001C7DF6"/>
    <w:rsid w:val="001D0325"/>
    <w:rsid w:val="001D080D"/>
    <w:rsid w:val="001D0859"/>
    <w:rsid w:val="001D0EC0"/>
    <w:rsid w:val="001D0F90"/>
    <w:rsid w:val="001D1A2B"/>
    <w:rsid w:val="001D2187"/>
    <w:rsid w:val="001D3045"/>
    <w:rsid w:val="001D3241"/>
    <w:rsid w:val="001D3246"/>
    <w:rsid w:val="001D3B23"/>
    <w:rsid w:val="001D45D6"/>
    <w:rsid w:val="001D495D"/>
    <w:rsid w:val="001D4F93"/>
    <w:rsid w:val="001D52BA"/>
    <w:rsid w:val="001D572F"/>
    <w:rsid w:val="001D5EA8"/>
    <w:rsid w:val="001D5FD3"/>
    <w:rsid w:val="001D679F"/>
    <w:rsid w:val="001D70E5"/>
    <w:rsid w:val="001D7532"/>
    <w:rsid w:val="001D757F"/>
    <w:rsid w:val="001D7D43"/>
    <w:rsid w:val="001E0188"/>
    <w:rsid w:val="001E034E"/>
    <w:rsid w:val="001E0E9B"/>
    <w:rsid w:val="001E1465"/>
    <w:rsid w:val="001E1E22"/>
    <w:rsid w:val="001E1ECD"/>
    <w:rsid w:val="001E201D"/>
    <w:rsid w:val="001E27E2"/>
    <w:rsid w:val="001E2A30"/>
    <w:rsid w:val="001E35E9"/>
    <w:rsid w:val="001E3784"/>
    <w:rsid w:val="001E44F9"/>
    <w:rsid w:val="001E46E9"/>
    <w:rsid w:val="001E48D5"/>
    <w:rsid w:val="001E4ACE"/>
    <w:rsid w:val="001E53AA"/>
    <w:rsid w:val="001E5415"/>
    <w:rsid w:val="001E5468"/>
    <w:rsid w:val="001E5FDE"/>
    <w:rsid w:val="001E6672"/>
    <w:rsid w:val="001E66F8"/>
    <w:rsid w:val="001E6876"/>
    <w:rsid w:val="001E716C"/>
    <w:rsid w:val="001E7F51"/>
    <w:rsid w:val="001F0005"/>
    <w:rsid w:val="001F0260"/>
    <w:rsid w:val="001F06FB"/>
    <w:rsid w:val="001F11B0"/>
    <w:rsid w:val="001F1302"/>
    <w:rsid w:val="001F211F"/>
    <w:rsid w:val="001F215A"/>
    <w:rsid w:val="001F241F"/>
    <w:rsid w:val="001F2585"/>
    <w:rsid w:val="001F2C3B"/>
    <w:rsid w:val="001F2F5E"/>
    <w:rsid w:val="001F3196"/>
    <w:rsid w:val="001F32FF"/>
    <w:rsid w:val="001F345D"/>
    <w:rsid w:val="001F3594"/>
    <w:rsid w:val="001F36FD"/>
    <w:rsid w:val="001F4269"/>
    <w:rsid w:val="001F48E5"/>
    <w:rsid w:val="001F52AB"/>
    <w:rsid w:val="001F5670"/>
    <w:rsid w:val="001F71CA"/>
    <w:rsid w:val="001F745A"/>
    <w:rsid w:val="001F798F"/>
    <w:rsid w:val="001F7AFD"/>
    <w:rsid w:val="001F7C7A"/>
    <w:rsid w:val="001F7C83"/>
    <w:rsid w:val="001F7F6F"/>
    <w:rsid w:val="00200217"/>
    <w:rsid w:val="00200324"/>
    <w:rsid w:val="002004D0"/>
    <w:rsid w:val="00200B79"/>
    <w:rsid w:val="00200CF0"/>
    <w:rsid w:val="00200E31"/>
    <w:rsid w:val="002010C0"/>
    <w:rsid w:val="002011B7"/>
    <w:rsid w:val="0020179B"/>
    <w:rsid w:val="00201E6B"/>
    <w:rsid w:val="0020212F"/>
    <w:rsid w:val="00202925"/>
    <w:rsid w:val="00202CA1"/>
    <w:rsid w:val="0020402F"/>
    <w:rsid w:val="002040B5"/>
    <w:rsid w:val="00205638"/>
    <w:rsid w:val="00207F4E"/>
    <w:rsid w:val="00207F62"/>
    <w:rsid w:val="00210639"/>
    <w:rsid w:val="00210876"/>
    <w:rsid w:val="00210B4D"/>
    <w:rsid w:val="00211C85"/>
    <w:rsid w:val="00211C98"/>
    <w:rsid w:val="00212068"/>
    <w:rsid w:val="0021213A"/>
    <w:rsid w:val="002121E2"/>
    <w:rsid w:val="002122CC"/>
    <w:rsid w:val="00212C9D"/>
    <w:rsid w:val="00212E55"/>
    <w:rsid w:val="00212E66"/>
    <w:rsid w:val="00213176"/>
    <w:rsid w:val="002132B0"/>
    <w:rsid w:val="0021339C"/>
    <w:rsid w:val="00213F14"/>
    <w:rsid w:val="00214032"/>
    <w:rsid w:val="002147D9"/>
    <w:rsid w:val="0021483E"/>
    <w:rsid w:val="002148A2"/>
    <w:rsid w:val="002157D9"/>
    <w:rsid w:val="00215B56"/>
    <w:rsid w:val="00215B8B"/>
    <w:rsid w:val="0021694B"/>
    <w:rsid w:val="0021699C"/>
    <w:rsid w:val="00216D3C"/>
    <w:rsid w:val="00217253"/>
    <w:rsid w:val="0021773D"/>
    <w:rsid w:val="00217C67"/>
    <w:rsid w:val="00217CE3"/>
    <w:rsid w:val="00217E7C"/>
    <w:rsid w:val="00220C24"/>
    <w:rsid w:val="00221E5F"/>
    <w:rsid w:val="00221FB6"/>
    <w:rsid w:val="0022377F"/>
    <w:rsid w:val="002239B8"/>
    <w:rsid w:val="002241CB"/>
    <w:rsid w:val="002246DF"/>
    <w:rsid w:val="002246FA"/>
    <w:rsid w:val="00224955"/>
    <w:rsid w:val="00224B58"/>
    <w:rsid w:val="002250E1"/>
    <w:rsid w:val="0022547C"/>
    <w:rsid w:val="002254A0"/>
    <w:rsid w:val="002255C3"/>
    <w:rsid w:val="0022571A"/>
    <w:rsid w:val="002257F8"/>
    <w:rsid w:val="00225CA0"/>
    <w:rsid w:val="00226791"/>
    <w:rsid w:val="0022746C"/>
    <w:rsid w:val="00227751"/>
    <w:rsid w:val="00227DB8"/>
    <w:rsid w:val="0023024D"/>
    <w:rsid w:val="002302BC"/>
    <w:rsid w:val="00230C27"/>
    <w:rsid w:val="00231145"/>
    <w:rsid w:val="00231775"/>
    <w:rsid w:val="002322AD"/>
    <w:rsid w:val="00232F80"/>
    <w:rsid w:val="0023589A"/>
    <w:rsid w:val="00235966"/>
    <w:rsid w:val="00235A38"/>
    <w:rsid w:val="00235BAA"/>
    <w:rsid w:val="00235DE7"/>
    <w:rsid w:val="002362BC"/>
    <w:rsid w:val="00240304"/>
    <w:rsid w:val="00240584"/>
    <w:rsid w:val="00240753"/>
    <w:rsid w:val="00240980"/>
    <w:rsid w:val="002417E9"/>
    <w:rsid w:val="00241A57"/>
    <w:rsid w:val="00241B30"/>
    <w:rsid w:val="00241D3E"/>
    <w:rsid w:val="00241FE1"/>
    <w:rsid w:val="00242404"/>
    <w:rsid w:val="00242795"/>
    <w:rsid w:val="00242A8C"/>
    <w:rsid w:val="00242D6C"/>
    <w:rsid w:val="00243E04"/>
    <w:rsid w:val="0024472B"/>
    <w:rsid w:val="00244B2A"/>
    <w:rsid w:val="00244F4E"/>
    <w:rsid w:val="002452D7"/>
    <w:rsid w:val="0024536B"/>
    <w:rsid w:val="0024566C"/>
    <w:rsid w:val="00245CF8"/>
    <w:rsid w:val="00245FF1"/>
    <w:rsid w:val="00246040"/>
    <w:rsid w:val="00246140"/>
    <w:rsid w:val="00246567"/>
    <w:rsid w:val="002465E2"/>
    <w:rsid w:val="002468A1"/>
    <w:rsid w:val="00247047"/>
    <w:rsid w:val="002502A6"/>
    <w:rsid w:val="00250E1A"/>
    <w:rsid w:val="00250E40"/>
    <w:rsid w:val="0025104F"/>
    <w:rsid w:val="0025111E"/>
    <w:rsid w:val="00251559"/>
    <w:rsid w:val="00251717"/>
    <w:rsid w:val="00251AA5"/>
    <w:rsid w:val="00251D94"/>
    <w:rsid w:val="002525F6"/>
    <w:rsid w:val="0025297E"/>
    <w:rsid w:val="00252C86"/>
    <w:rsid w:val="00252FF3"/>
    <w:rsid w:val="00253966"/>
    <w:rsid w:val="00254019"/>
    <w:rsid w:val="00254506"/>
    <w:rsid w:val="00254CA7"/>
    <w:rsid w:val="00255044"/>
    <w:rsid w:val="0025505F"/>
    <w:rsid w:val="00255415"/>
    <w:rsid w:val="002562D7"/>
    <w:rsid w:val="00256661"/>
    <w:rsid w:val="00256AB7"/>
    <w:rsid w:val="00256BDD"/>
    <w:rsid w:val="0025721E"/>
    <w:rsid w:val="0025754A"/>
    <w:rsid w:val="00257657"/>
    <w:rsid w:val="00257A74"/>
    <w:rsid w:val="00260659"/>
    <w:rsid w:val="0026070E"/>
    <w:rsid w:val="00260AF8"/>
    <w:rsid w:val="00260D7C"/>
    <w:rsid w:val="002613DA"/>
    <w:rsid w:val="00261D00"/>
    <w:rsid w:val="00261DFE"/>
    <w:rsid w:val="00262765"/>
    <w:rsid w:val="0026300D"/>
    <w:rsid w:val="002633B5"/>
    <w:rsid w:val="002636E7"/>
    <w:rsid w:val="002638CD"/>
    <w:rsid w:val="00263AB1"/>
    <w:rsid w:val="00263EA1"/>
    <w:rsid w:val="00264870"/>
    <w:rsid w:val="00264F29"/>
    <w:rsid w:val="00265A85"/>
    <w:rsid w:val="00266A96"/>
    <w:rsid w:val="00266B4C"/>
    <w:rsid w:val="00266EC8"/>
    <w:rsid w:val="00267084"/>
    <w:rsid w:val="00270B59"/>
    <w:rsid w:val="002715CF"/>
    <w:rsid w:val="002717C5"/>
    <w:rsid w:val="002729BE"/>
    <w:rsid w:val="00272A88"/>
    <w:rsid w:val="002743FE"/>
    <w:rsid w:val="002747E4"/>
    <w:rsid w:val="002749FF"/>
    <w:rsid w:val="002750B5"/>
    <w:rsid w:val="0027536F"/>
    <w:rsid w:val="0027573C"/>
    <w:rsid w:val="00275CA2"/>
    <w:rsid w:val="00276F89"/>
    <w:rsid w:val="00277858"/>
    <w:rsid w:val="00277932"/>
    <w:rsid w:val="00277A0C"/>
    <w:rsid w:val="00277B87"/>
    <w:rsid w:val="00280855"/>
    <w:rsid w:val="00280C71"/>
    <w:rsid w:val="00280D29"/>
    <w:rsid w:val="00280FF5"/>
    <w:rsid w:val="0028102C"/>
    <w:rsid w:val="002810F2"/>
    <w:rsid w:val="00281664"/>
    <w:rsid w:val="002816FA"/>
    <w:rsid w:val="00281736"/>
    <w:rsid w:val="00282DFA"/>
    <w:rsid w:val="002830B5"/>
    <w:rsid w:val="00283223"/>
    <w:rsid w:val="00283A8F"/>
    <w:rsid w:val="00283C07"/>
    <w:rsid w:val="0028409F"/>
    <w:rsid w:val="00284507"/>
    <w:rsid w:val="00284927"/>
    <w:rsid w:val="00285916"/>
    <w:rsid w:val="00285CC0"/>
    <w:rsid w:val="0028606E"/>
    <w:rsid w:val="00286A1B"/>
    <w:rsid w:val="00286C0F"/>
    <w:rsid w:val="00286FAB"/>
    <w:rsid w:val="00287BEF"/>
    <w:rsid w:val="00287D37"/>
    <w:rsid w:val="0029086D"/>
    <w:rsid w:val="00290E3A"/>
    <w:rsid w:val="0029162C"/>
    <w:rsid w:val="00291EB9"/>
    <w:rsid w:val="00292D89"/>
    <w:rsid w:val="00292FB9"/>
    <w:rsid w:val="00293BE2"/>
    <w:rsid w:val="0029437D"/>
    <w:rsid w:val="002944A8"/>
    <w:rsid w:val="00294930"/>
    <w:rsid w:val="00296332"/>
    <w:rsid w:val="00296850"/>
    <w:rsid w:val="002A0070"/>
    <w:rsid w:val="002A0208"/>
    <w:rsid w:val="002A02A3"/>
    <w:rsid w:val="002A03D5"/>
    <w:rsid w:val="002A0973"/>
    <w:rsid w:val="002A0D84"/>
    <w:rsid w:val="002A1B6A"/>
    <w:rsid w:val="002A2A51"/>
    <w:rsid w:val="002A30F7"/>
    <w:rsid w:val="002A3CC0"/>
    <w:rsid w:val="002A3E0C"/>
    <w:rsid w:val="002A407C"/>
    <w:rsid w:val="002A4E7F"/>
    <w:rsid w:val="002A5825"/>
    <w:rsid w:val="002A5E6F"/>
    <w:rsid w:val="002A6017"/>
    <w:rsid w:val="002A6108"/>
    <w:rsid w:val="002A69D6"/>
    <w:rsid w:val="002A7760"/>
    <w:rsid w:val="002B056D"/>
    <w:rsid w:val="002B0B74"/>
    <w:rsid w:val="002B11B9"/>
    <w:rsid w:val="002B1433"/>
    <w:rsid w:val="002B1727"/>
    <w:rsid w:val="002B1A87"/>
    <w:rsid w:val="002B2445"/>
    <w:rsid w:val="002B276B"/>
    <w:rsid w:val="002B3830"/>
    <w:rsid w:val="002B3B27"/>
    <w:rsid w:val="002B3B4F"/>
    <w:rsid w:val="002B40B5"/>
    <w:rsid w:val="002B43F5"/>
    <w:rsid w:val="002B467F"/>
    <w:rsid w:val="002B4B4D"/>
    <w:rsid w:val="002B4D00"/>
    <w:rsid w:val="002B587B"/>
    <w:rsid w:val="002B58A9"/>
    <w:rsid w:val="002B5A81"/>
    <w:rsid w:val="002B66CE"/>
    <w:rsid w:val="002B6E33"/>
    <w:rsid w:val="002B7968"/>
    <w:rsid w:val="002C0D17"/>
    <w:rsid w:val="002C13DD"/>
    <w:rsid w:val="002C1D2A"/>
    <w:rsid w:val="002C1E96"/>
    <w:rsid w:val="002C214D"/>
    <w:rsid w:val="002C2E64"/>
    <w:rsid w:val="002C3009"/>
    <w:rsid w:val="002C37F4"/>
    <w:rsid w:val="002C3DB6"/>
    <w:rsid w:val="002C3E2D"/>
    <w:rsid w:val="002C3F06"/>
    <w:rsid w:val="002C3FB4"/>
    <w:rsid w:val="002C4D76"/>
    <w:rsid w:val="002C51F5"/>
    <w:rsid w:val="002C6099"/>
    <w:rsid w:val="002C636B"/>
    <w:rsid w:val="002C7543"/>
    <w:rsid w:val="002C75BD"/>
    <w:rsid w:val="002C789D"/>
    <w:rsid w:val="002C7F15"/>
    <w:rsid w:val="002D0A51"/>
    <w:rsid w:val="002D0C55"/>
    <w:rsid w:val="002D1084"/>
    <w:rsid w:val="002D1347"/>
    <w:rsid w:val="002D23F0"/>
    <w:rsid w:val="002D27A6"/>
    <w:rsid w:val="002D2A87"/>
    <w:rsid w:val="002D2C9E"/>
    <w:rsid w:val="002D3120"/>
    <w:rsid w:val="002D326D"/>
    <w:rsid w:val="002D32F2"/>
    <w:rsid w:val="002D3D45"/>
    <w:rsid w:val="002D3F49"/>
    <w:rsid w:val="002D43D9"/>
    <w:rsid w:val="002D4D02"/>
    <w:rsid w:val="002D4DB3"/>
    <w:rsid w:val="002D52C5"/>
    <w:rsid w:val="002D6066"/>
    <w:rsid w:val="002D6BD9"/>
    <w:rsid w:val="002D6DCA"/>
    <w:rsid w:val="002D6E41"/>
    <w:rsid w:val="002D6EF7"/>
    <w:rsid w:val="002D75E0"/>
    <w:rsid w:val="002D7D3F"/>
    <w:rsid w:val="002E05C1"/>
    <w:rsid w:val="002E08E2"/>
    <w:rsid w:val="002E09D8"/>
    <w:rsid w:val="002E12CE"/>
    <w:rsid w:val="002E12F5"/>
    <w:rsid w:val="002E2B46"/>
    <w:rsid w:val="002E2FBC"/>
    <w:rsid w:val="002E356D"/>
    <w:rsid w:val="002E3A12"/>
    <w:rsid w:val="002E3B59"/>
    <w:rsid w:val="002E3D4F"/>
    <w:rsid w:val="002E3FD5"/>
    <w:rsid w:val="002E411D"/>
    <w:rsid w:val="002E4FFD"/>
    <w:rsid w:val="002E51B6"/>
    <w:rsid w:val="002E553D"/>
    <w:rsid w:val="002E588D"/>
    <w:rsid w:val="002E58C9"/>
    <w:rsid w:val="002E5B8A"/>
    <w:rsid w:val="002E64FA"/>
    <w:rsid w:val="002E6890"/>
    <w:rsid w:val="002E7440"/>
    <w:rsid w:val="002E7769"/>
    <w:rsid w:val="002E7FB3"/>
    <w:rsid w:val="002F0AE3"/>
    <w:rsid w:val="002F0E62"/>
    <w:rsid w:val="002F1702"/>
    <w:rsid w:val="002F1EB2"/>
    <w:rsid w:val="002F2A7D"/>
    <w:rsid w:val="002F3011"/>
    <w:rsid w:val="002F37BD"/>
    <w:rsid w:val="002F39C2"/>
    <w:rsid w:val="002F39D9"/>
    <w:rsid w:val="002F3DDB"/>
    <w:rsid w:val="002F414B"/>
    <w:rsid w:val="002F455C"/>
    <w:rsid w:val="002F571F"/>
    <w:rsid w:val="002F5A4E"/>
    <w:rsid w:val="002F6102"/>
    <w:rsid w:val="002F625A"/>
    <w:rsid w:val="002F650B"/>
    <w:rsid w:val="00300694"/>
    <w:rsid w:val="00300A76"/>
    <w:rsid w:val="00300CDF"/>
    <w:rsid w:val="00301671"/>
    <w:rsid w:val="003016C7"/>
    <w:rsid w:val="00301B2F"/>
    <w:rsid w:val="00301DB5"/>
    <w:rsid w:val="00302465"/>
    <w:rsid w:val="003043F4"/>
    <w:rsid w:val="0030462D"/>
    <w:rsid w:val="00304924"/>
    <w:rsid w:val="00304E76"/>
    <w:rsid w:val="00305097"/>
    <w:rsid w:val="00305103"/>
    <w:rsid w:val="00305455"/>
    <w:rsid w:val="00305AD4"/>
    <w:rsid w:val="003061F0"/>
    <w:rsid w:val="003062BD"/>
    <w:rsid w:val="00307066"/>
    <w:rsid w:val="003073CD"/>
    <w:rsid w:val="0030744A"/>
    <w:rsid w:val="00307857"/>
    <w:rsid w:val="00307F64"/>
    <w:rsid w:val="00310841"/>
    <w:rsid w:val="00310BB5"/>
    <w:rsid w:val="00310D66"/>
    <w:rsid w:val="0031171B"/>
    <w:rsid w:val="00311860"/>
    <w:rsid w:val="003120FA"/>
    <w:rsid w:val="00312BE0"/>
    <w:rsid w:val="00312C78"/>
    <w:rsid w:val="00313028"/>
    <w:rsid w:val="003130CA"/>
    <w:rsid w:val="003138B6"/>
    <w:rsid w:val="00313B4E"/>
    <w:rsid w:val="00314318"/>
    <w:rsid w:val="0031447F"/>
    <w:rsid w:val="00314522"/>
    <w:rsid w:val="00314679"/>
    <w:rsid w:val="00314B63"/>
    <w:rsid w:val="00315F53"/>
    <w:rsid w:val="00316544"/>
    <w:rsid w:val="003169B5"/>
    <w:rsid w:val="00316F01"/>
    <w:rsid w:val="00316FA0"/>
    <w:rsid w:val="00317686"/>
    <w:rsid w:val="00317770"/>
    <w:rsid w:val="00317F55"/>
    <w:rsid w:val="003206B5"/>
    <w:rsid w:val="003207A3"/>
    <w:rsid w:val="0032086D"/>
    <w:rsid w:val="00320926"/>
    <w:rsid w:val="00320B35"/>
    <w:rsid w:val="00321647"/>
    <w:rsid w:val="00322D0E"/>
    <w:rsid w:val="00323E21"/>
    <w:rsid w:val="00324019"/>
    <w:rsid w:val="003241CF"/>
    <w:rsid w:val="00324376"/>
    <w:rsid w:val="00324F9B"/>
    <w:rsid w:val="003250FA"/>
    <w:rsid w:val="003252C2"/>
    <w:rsid w:val="0032619B"/>
    <w:rsid w:val="003261FB"/>
    <w:rsid w:val="003262DF"/>
    <w:rsid w:val="00326408"/>
    <w:rsid w:val="003266E1"/>
    <w:rsid w:val="00327D9A"/>
    <w:rsid w:val="00327F66"/>
    <w:rsid w:val="00330FBD"/>
    <w:rsid w:val="00332258"/>
    <w:rsid w:val="003322C3"/>
    <w:rsid w:val="0033293D"/>
    <w:rsid w:val="00332AC2"/>
    <w:rsid w:val="00333038"/>
    <w:rsid w:val="00333E36"/>
    <w:rsid w:val="00333FC2"/>
    <w:rsid w:val="003342A0"/>
    <w:rsid w:val="00334584"/>
    <w:rsid w:val="00334AD3"/>
    <w:rsid w:val="00334DB0"/>
    <w:rsid w:val="00335ACD"/>
    <w:rsid w:val="00335BBA"/>
    <w:rsid w:val="00335E22"/>
    <w:rsid w:val="00336264"/>
    <w:rsid w:val="00336780"/>
    <w:rsid w:val="0033694F"/>
    <w:rsid w:val="00336BBB"/>
    <w:rsid w:val="0033758C"/>
    <w:rsid w:val="0033774C"/>
    <w:rsid w:val="00340010"/>
    <w:rsid w:val="003400EB"/>
    <w:rsid w:val="0034049F"/>
    <w:rsid w:val="00341541"/>
    <w:rsid w:val="00341602"/>
    <w:rsid w:val="0034172B"/>
    <w:rsid w:val="00341F6A"/>
    <w:rsid w:val="00342CDC"/>
    <w:rsid w:val="00342DA3"/>
    <w:rsid w:val="00343017"/>
    <w:rsid w:val="003438D1"/>
    <w:rsid w:val="003439E7"/>
    <w:rsid w:val="00343B86"/>
    <w:rsid w:val="00343DFE"/>
    <w:rsid w:val="00344226"/>
    <w:rsid w:val="003442FE"/>
    <w:rsid w:val="00344320"/>
    <w:rsid w:val="003446B6"/>
    <w:rsid w:val="00344CE5"/>
    <w:rsid w:val="00345553"/>
    <w:rsid w:val="0034599B"/>
    <w:rsid w:val="00345CB1"/>
    <w:rsid w:val="0034693A"/>
    <w:rsid w:val="00346F7E"/>
    <w:rsid w:val="00347FD9"/>
    <w:rsid w:val="00350112"/>
    <w:rsid w:val="00350351"/>
    <w:rsid w:val="003504A3"/>
    <w:rsid w:val="00350744"/>
    <w:rsid w:val="0035131B"/>
    <w:rsid w:val="0035134B"/>
    <w:rsid w:val="00351BF2"/>
    <w:rsid w:val="00351D4A"/>
    <w:rsid w:val="0035212C"/>
    <w:rsid w:val="003522B9"/>
    <w:rsid w:val="00352303"/>
    <w:rsid w:val="00352403"/>
    <w:rsid w:val="003524AF"/>
    <w:rsid w:val="003525B6"/>
    <w:rsid w:val="00352968"/>
    <w:rsid w:val="00352C21"/>
    <w:rsid w:val="0035348F"/>
    <w:rsid w:val="0035362B"/>
    <w:rsid w:val="00354B15"/>
    <w:rsid w:val="00355113"/>
    <w:rsid w:val="00355711"/>
    <w:rsid w:val="00355F63"/>
    <w:rsid w:val="00356006"/>
    <w:rsid w:val="0035669F"/>
    <w:rsid w:val="00356CE5"/>
    <w:rsid w:val="003576D6"/>
    <w:rsid w:val="0035796B"/>
    <w:rsid w:val="00357DE9"/>
    <w:rsid w:val="003605C4"/>
    <w:rsid w:val="00360D68"/>
    <w:rsid w:val="00360EE1"/>
    <w:rsid w:val="003617DB"/>
    <w:rsid w:val="0036242A"/>
    <w:rsid w:val="0036295B"/>
    <w:rsid w:val="00362CB7"/>
    <w:rsid w:val="00362F93"/>
    <w:rsid w:val="0036336F"/>
    <w:rsid w:val="00363DE8"/>
    <w:rsid w:val="00363FA8"/>
    <w:rsid w:val="0036407C"/>
    <w:rsid w:val="0036439B"/>
    <w:rsid w:val="00364A37"/>
    <w:rsid w:val="00365F13"/>
    <w:rsid w:val="00365FA4"/>
    <w:rsid w:val="0036619A"/>
    <w:rsid w:val="003661B4"/>
    <w:rsid w:val="003662E2"/>
    <w:rsid w:val="00366DD6"/>
    <w:rsid w:val="0037019C"/>
    <w:rsid w:val="00370810"/>
    <w:rsid w:val="00370C74"/>
    <w:rsid w:val="003715C7"/>
    <w:rsid w:val="003717C4"/>
    <w:rsid w:val="003730A2"/>
    <w:rsid w:val="00373EEE"/>
    <w:rsid w:val="00373F82"/>
    <w:rsid w:val="0037402C"/>
    <w:rsid w:val="00374605"/>
    <w:rsid w:val="00375442"/>
    <w:rsid w:val="003754CC"/>
    <w:rsid w:val="00375E8D"/>
    <w:rsid w:val="00375FE3"/>
    <w:rsid w:val="0037678F"/>
    <w:rsid w:val="00376929"/>
    <w:rsid w:val="003770FE"/>
    <w:rsid w:val="00377248"/>
    <w:rsid w:val="00377454"/>
    <w:rsid w:val="0037767E"/>
    <w:rsid w:val="00377BB1"/>
    <w:rsid w:val="003801AB"/>
    <w:rsid w:val="00380B8D"/>
    <w:rsid w:val="00380C51"/>
    <w:rsid w:val="00381044"/>
    <w:rsid w:val="0038175D"/>
    <w:rsid w:val="00381F10"/>
    <w:rsid w:val="0038232D"/>
    <w:rsid w:val="00382D92"/>
    <w:rsid w:val="0038305F"/>
    <w:rsid w:val="003833F9"/>
    <w:rsid w:val="003841B2"/>
    <w:rsid w:val="00384285"/>
    <w:rsid w:val="00384850"/>
    <w:rsid w:val="00384B30"/>
    <w:rsid w:val="00384BCC"/>
    <w:rsid w:val="00384E3C"/>
    <w:rsid w:val="0038508D"/>
    <w:rsid w:val="003855BD"/>
    <w:rsid w:val="003866AB"/>
    <w:rsid w:val="00386E16"/>
    <w:rsid w:val="00387507"/>
    <w:rsid w:val="003900F0"/>
    <w:rsid w:val="0039013D"/>
    <w:rsid w:val="003904A1"/>
    <w:rsid w:val="0039079E"/>
    <w:rsid w:val="00390866"/>
    <w:rsid w:val="0039092F"/>
    <w:rsid w:val="00391003"/>
    <w:rsid w:val="0039150E"/>
    <w:rsid w:val="00391611"/>
    <w:rsid w:val="00391775"/>
    <w:rsid w:val="00391A36"/>
    <w:rsid w:val="00391C30"/>
    <w:rsid w:val="003928F1"/>
    <w:rsid w:val="00392D99"/>
    <w:rsid w:val="00392EF2"/>
    <w:rsid w:val="0039342C"/>
    <w:rsid w:val="003935EF"/>
    <w:rsid w:val="003936E2"/>
    <w:rsid w:val="00394950"/>
    <w:rsid w:val="00395676"/>
    <w:rsid w:val="00395689"/>
    <w:rsid w:val="003959DE"/>
    <w:rsid w:val="00395C7C"/>
    <w:rsid w:val="00395CCC"/>
    <w:rsid w:val="00396156"/>
    <w:rsid w:val="00396446"/>
    <w:rsid w:val="00396715"/>
    <w:rsid w:val="00396C79"/>
    <w:rsid w:val="00396DC9"/>
    <w:rsid w:val="00396FF7"/>
    <w:rsid w:val="00397207"/>
    <w:rsid w:val="00397528"/>
    <w:rsid w:val="0039759F"/>
    <w:rsid w:val="00397C53"/>
    <w:rsid w:val="00397CE0"/>
    <w:rsid w:val="003A0937"/>
    <w:rsid w:val="003A0AD6"/>
    <w:rsid w:val="003A1046"/>
    <w:rsid w:val="003A1862"/>
    <w:rsid w:val="003A25D7"/>
    <w:rsid w:val="003A27F9"/>
    <w:rsid w:val="003A2804"/>
    <w:rsid w:val="003A2FE7"/>
    <w:rsid w:val="003A3C65"/>
    <w:rsid w:val="003A40EB"/>
    <w:rsid w:val="003A4ADE"/>
    <w:rsid w:val="003A4B77"/>
    <w:rsid w:val="003A590B"/>
    <w:rsid w:val="003A5C4C"/>
    <w:rsid w:val="003A64BF"/>
    <w:rsid w:val="003A703B"/>
    <w:rsid w:val="003A7152"/>
    <w:rsid w:val="003A75BD"/>
    <w:rsid w:val="003B093A"/>
    <w:rsid w:val="003B0BAF"/>
    <w:rsid w:val="003B0F7F"/>
    <w:rsid w:val="003B10D5"/>
    <w:rsid w:val="003B1585"/>
    <w:rsid w:val="003B1AA8"/>
    <w:rsid w:val="003B1ACB"/>
    <w:rsid w:val="003B1C45"/>
    <w:rsid w:val="003B22FC"/>
    <w:rsid w:val="003B25A8"/>
    <w:rsid w:val="003B28CE"/>
    <w:rsid w:val="003B328B"/>
    <w:rsid w:val="003B39C3"/>
    <w:rsid w:val="003B47AB"/>
    <w:rsid w:val="003B4F96"/>
    <w:rsid w:val="003B53DF"/>
    <w:rsid w:val="003B55A5"/>
    <w:rsid w:val="003B68DE"/>
    <w:rsid w:val="003B6BBD"/>
    <w:rsid w:val="003B7098"/>
    <w:rsid w:val="003B769B"/>
    <w:rsid w:val="003B7C0A"/>
    <w:rsid w:val="003B7CED"/>
    <w:rsid w:val="003C028A"/>
    <w:rsid w:val="003C04A3"/>
    <w:rsid w:val="003C0BAE"/>
    <w:rsid w:val="003C0C7C"/>
    <w:rsid w:val="003C0CFF"/>
    <w:rsid w:val="003C1515"/>
    <w:rsid w:val="003C19DC"/>
    <w:rsid w:val="003C1A1D"/>
    <w:rsid w:val="003C1B33"/>
    <w:rsid w:val="003C1DC0"/>
    <w:rsid w:val="003C202C"/>
    <w:rsid w:val="003C32F7"/>
    <w:rsid w:val="003C3688"/>
    <w:rsid w:val="003C3872"/>
    <w:rsid w:val="003C3D48"/>
    <w:rsid w:val="003C40CC"/>
    <w:rsid w:val="003C4108"/>
    <w:rsid w:val="003C4399"/>
    <w:rsid w:val="003C43C8"/>
    <w:rsid w:val="003C4D8E"/>
    <w:rsid w:val="003C509D"/>
    <w:rsid w:val="003C5919"/>
    <w:rsid w:val="003C5D53"/>
    <w:rsid w:val="003C6069"/>
    <w:rsid w:val="003C7131"/>
    <w:rsid w:val="003C7158"/>
    <w:rsid w:val="003C73B2"/>
    <w:rsid w:val="003C7E22"/>
    <w:rsid w:val="003D0805"/>
    <w:rsid w:val="003D0A4A"/>
    <w:rsid w:val="003D1219"/>
    <w:rsid w:val="003D1256"/>
    <w:rsid w:val="003D17B5"/>
    <w:rsid w:val="003D19FA"/>
    <w:rsid w:val="003D2506"/>
    <w:rsid w:val="003D2772"/>
    <w:rsid w:val="003D2D50"/>
    <w:rsid w:val="003D3657"/>
    <w:rsid w:val="003D379B"/>
    <w:rsid w:val="003D3A68"/>
    <w:rsid w:val="003D4169"/>
    <w:rsid w:val="003D49B1"/>
    <w:rsid w:val="003D4DA9"/>
    <w:rsid w:val="003D5D64"/>
    <w:rsid w:val="003D5E51"/>
    <w:rsid w:val="003D6A36"/>
    <w:rsid w:val="003D6C2C"/>
    <w:rsid w:val="003D7955"/>
    <w:rsid w:val="003D7A54"/>
    <w:rsid w:val="003D7A78"/>
    <w:rsid w:val="003D7F2E"/>
    <w:rsid w:val="003E0225"/>
    <w:rsid w:val="003E022E"/>
    <w:rsid w:val="003E05D7"/>
    <w:rsid w:val="003E0703"/>
    <w:rsid w:val="003E1005"/>
    <w:rsid w:val="003E1136"/>
    <w:rsid w:val="003E113B"/>
    <w:rsid w:val="003E13B9"/>
    <w:rsid w:val="003E1C37"/>
    <w:rsid w:val="003E20BB"/>
    <w:rsid w:val="003E28EB"/>
    <w:rsid w:val="003E2E39"/>
    <w:rsid w:val="003E3CF9"/>
    <w:rsid w:val="003E41C4"/>
    <w:rsid w:val="003E41CD"/>
    <w:rsid w:val="003E4CDC"/>
    <w:rsid w:val="003E4DC9"/>
    <w:rsid w:val="003E4FE0"/>
    <w:rsid w:val="003E520E"/>
    <w:rsid w:val="003E554F"/>
    <w:rsid w:val="003E589D"/>
    <w:rsid w:val="003E7205"/>
    <w:rsid w:val="003E726A"/>
    <w:rsid w:val="003E768A"/>
    <w:rsid w:val="003F0475"/>
    <w:rsid w:val="003F07F7"/>
    <w:rsid w:val="003F0F18"/>
    <w:rsid w:val="003F1768"/>
    <w:rsid w:val="003F183B"/>
    <w:rsid w:val="003F20D9"/>
    <w:rsid w:val="003F2736"/>
    <w:rsid w:val="003F2F48"/>
    <w:rsid w:val="003F3127"/>
    <w:rsid w:val="003F3533"/>
    <w:rsid w:val="003F43E4"/>
    <w:rsid w:val="003F47EA"/>
    <w:rsid w:val="003F488B"/>
    <w:rsid w:val="003F4A48"/>
    <w:rsid w:val="003F584B"/>
    <w:rsid w:val="003F5C48"/>
    <w:rsid w:val="003F6384"/>
    <w:rsid w:val="003F6880"/>
    <w:rsid w:val="003F6D01"/>
    <w:rsid w:val="003F70DB"/>
    <w:rsid w:val="003F7296"/>
    <w:rsid w:val="003F7647"/>
    <w:rsid w:val="0040037A"/>
    <w:rsid w:val="00400A2D"/>
    <w:rsid w:val="00401555"/>
    <w:rsid w:val="00401A61"/>
    <w:rsid w:val="00401FF5"/>
    <w:rsid w:val="004022B7"/>
    <w:rsid w:val="004026C1"/>
    <w:rsid w:val="00403861"/>
    <w:rsid w:val="00405332"/>
    <w:rsid w:val="0040558F"/>
    <w:rsid w:val="004055B7"/>
    <w:rsid w:val="00405B0D"/>
    <w:rsid w:val="004063BC"/>
    <w:rsid w:val="004077C6"/>
    <w:rsid w:val="00407C3D"/>
    <w:rsid w:val="00410A3D"/>
    <w:rsid w:val="00410D80"/>
    <w:rsid w:val="00411712"/>
    <w:rsid w:val="00411784"/>
    <w:rsid w:val="0041191C"/>
    <w:rsid w:val="00411F63"/>
    <w:rsid w:val="00411F72"/>
    <w:rsid w:val="004126C9"/>
    <w:rsid w:val="004127C4"/>
    <w:rsid w:val="00412A12"/>
    <w:rsid w:val="00413432"/>
    <w:rsid w:val="00413F3E"/>
    <w:rsid w:val="00413FC5"/>
    <w:rsid w:val="004145CE"/>
    <w:rsid w:val="00415A13"/>
    <w:rsid w:val="00416690"/>
    <w:rsid w:val="00416DC8"/>
    <w:rsid w:val="00417331"/>
    <w:rsid w:val="00417384"/>
    <w:rsid w:val="00421154"/>
    <w:rsid w:val="0042161F"/>
    <w:rsid w:val="00421E94"/>
    <w:rsid w:val="0042448E"/>
    <w:rsid w:val="004248F4"/>
    <w:rsid w:val="004249AC"/>
    <w:rsid w:val="0042581B"/>
    <w:rsid w:val="00426292"/>
    <w:rsid w:val="00426BBE"/>
    <w:rsid w:val="00427683"/>
    <w:rsid w:val="00427855"/>
    <w:rsid w:val="00427C59"/>
    <w:rsid w:val="00427C99"/>
    <w:rsid w:val="00427EE7"/>
    <w:rsid w:val="00427F8D"/>
    <w:rsid w:val="004303DA"/>
    <w:rsid w:val="00430C4B"/>
    <w:rsid w:val="00430F79"/>
    <w:rsid w:val="004318A1"/>
    <w:rsid w:val="00431CFE"/>
    <w:rsid w:val="00432380"/>
    <w:rsid w:val="00432490"/>
    <w:rsid w:val="00433336"/>
    <w:rsid w:val="004333BC"/>
    <w:rsid w:val="0043361A"/>
    <w:rsid w:val="00433A9A"/>
    <w:rsid w:val="00434009"/>
    <w:rsid w:val="00435FDC"/>
    <w:rsid w:val="00436A71"/>
    <w:rsid w:val="00436D5E"/>
    <w:rsid w:val="004371B5"/>
    <w:rsid w:val="00437AE8"/>
    <w:rsid w:val="00437C39"/>
    <w:rsid w:val="00437F0B"/>
    <w:rsid w:val="00437FE6"/>
    <w:rsid w:val="00440071"/>
    <w:rsid w:val="0044018E"/>
    <w:rsid w:val="0044046A"/>
    <w:rsid w:val="00440729"/>
    <w:rsid w:val="00441532"/>
    <w:rsid w:val="00441928"/>
    <w:rsid w:val="004420A7"/>
    <w:rsid w:val="0044240D"/>
    <w:rsid w:val="0044241E"/>
    <w:rsid w:val="00442AEC"/>
    <w:rsid w:val="00443A13"/>
    <w:rsid w:val="00443A70"/>
    <w:rsid w:val="00443BE7"/>
    <w:rsid w:val="00443E3F"/>
    <w:rsid w:val="00443EB5"/>
    <w:rsid w:val="004440A5"/>
    <w:rsid w:val="00444214"/>
    <w:rsid w:val="004446F3"/>
    <w:rsid w:val="00444CE0"/>
    <w:rsid w:val="00444F15"/>
    <w:rsid w:val="004451C7"/>
    <w:rsid w:val="00446754"/>
    <w:rsid w:val="00446996"/>
    <w:rsid w:val="00446AB5"/>
    <w:rsid w:val="00446EAE"/>
    <w:rsid w:val="004473EB"/>
    <w:rsid w:val="0045072E"/>
    <w:rsid w:val="00450DE8"/>
    <w:rsid w:val="00451714"/>
    <w:rsid w:val="004517BF"/>
    <w:rsid w:val="00451A58"/>
    <w:rsid w:val="00451ABE"/>
    <w:rsid w:val="00451E81"/>
    <w:rsid w:val="004521CB"/>
    <w:rsid w:val="0045246B"/>
    <w:rsid w:val="004528B0"/>
    <w:rsid w:val="004540C0"/>
    <w:rsid w:val="0045476D"/>
    <w:rsid w:val="00454858"/>
    <w:rsid w:val="004554C5"/>
    <w:rsid w:val="0045656A"/>
    <w:rsid w:val="00456B45"/>
    <w:rsid w:val="00456C24"/>
    <w:rsid w:val="00456CCE"/>
    <w:rsid w:val="00456D14"/>
    <w:rsid w:val="00457534"/>
    <w:rsid w:val="00457C96"/>
    <w:rsid w:val="00457F1A"/>
    <w:rsid w:val="00460A87"/>
    <w:rsid w:val="00460B33"/>
    <w:rsid w:val="00461EB4"/>
    <w:rsid w:val="004622E6"/>
    <w:rsid w:val="00462573"/>
    <w:rsid w:val="00462C48"/>
    <w:rsid w:val="00462DD2"/>
    <w:rsid w:val="0046309D"/>
    <w:rsid w:val="00463377"/>
    <w:rsid w:val="00463B61"/>
    <w:rsid w:val="00464219"/>
    <w:rsid w:val="00465339"/>
    <w:rsid w:val="004659EF"/>
    <w:rsid w:val="00465FF4"/>
    <w:rsid w:val="0046740D"/>
    <w:rsid w:val="0046784E"/>
    <w:rsid w:val="00467E10"/>
    <w:rsid w:val="0047007B"/>
    <w:rsid w:val="004703CF"/>
    <w:rsid w:val="00470B37"/>
    <w:rsid w:val="00471472"/>
    <w:rsid w:val="004716A2"/>
    <w:rsid w:val="00471AD1"/>
    <w:rsid w:val="00471C32"/>
    <w:rsid w:val="00472400"/>
    <w:rsid w:val="004731D9"/>
    <w:rsid w:val="00473599"/>
    <w:rsid w:val="00473C0A"/>
    <w:rsid w:val="004748FE"/>
    <w:rsid w:val="00474DB1"/>
    <w:rsid w:val="004760AF"/>
    <w:rsid w:val="004760CE"/>
    <w:rsid w:val="004763EC"/>
    <w:rsid w:val="00476E74"/>
    <w:rsid w:val="00477A96"/>
    <w:rsid w:val="00477AA1"/>
    <w:rsid w:val="0048002A"/>
    <w:rsid w:val="004800E4"/>
    <w:rsid w:val="00480BCE"/>
    <w:rsid w:val="00480F55"/>
    <w:rsid w:val="004812A3"/>
    <w:rsid w:val="00481719"/>
    <w:rsid w:val="00481C64"/>
    <w:rsid w:val="004828B3"/>
    <w:rsid w:val="004836B2"/>
    <w:rsid w:val="004839A8"/>
    <w:rsid w:val="00483AC7"/>
    <w:rsid w:val="00483D55"/>
    <w:rsid w:val="00483EAA"/>
    <w:rsid w:val="0048524B"/>
    <w:rsid w:val="00486C35"/>
    <w:rsid w:val="00487199"/>
    <w:rsid w:val="0048767F"/>
    <w:rsid w:val="00487749"/>
    <w:rsid w:val="004878F0"/>
    <w:rsid w:val="00490529"/>
    <w:rsid w:val="00490AC4"/>
    <w:rsid w:val="00490F31"/>
    <w:rsid w:val="004910B6"/>
    <w:rsid w:val="00491189"/>
    <w:rsid w:val="00491228"/>
    <w:rsid w:val="004914AA"/>
    <w:rsid w:val="004922A7"/>
    <w:rsid w:val="00492B03"/>
    <w:rsid w:val="00493489"/>
    <w:rsid w:val="004934CE"/>
    <w:rsid w:val="00493C5B"/>
    <w:rsid w:val="00493E7D"/>
    <w:rsid w:val="00494658"/>
    <w:rsid w:val="00495125"/>
    <w:rsid w:val="0049569D"/>
    <w:rsid w:val="00495713"/>
    <w:rsid w:val="00495871"/>
    <w:rsid w:val="00495D68"/>
    <w:rsid w:val="004964C2"/>
    <w:rsid w:val="00496A36"/>
    <w:rsid w:val="00497340"/>
    <w:rsid w:val="00497369"/>
    <w:rsid w:val="004973BC"/>
    <w:rsid w:val="00497535"/>
    <w:rsid w:val="004A02D3"/>
    <w:rsid w:val="004A1407"/>
    <w:rsid w:val="004A1896"/>
    <w:rsid w:val="004A1B40"/>
    <w:rsid w:val="004A1C25"/>
    <w:rsid w:val="004A1FC0"/>
    <w:rsid w:val="004A2272"/>
    <w:rsid w:val="004A22F3"/>
    <w:rsid w:val="004A279D"/>
    <w:rsid w:val="004A2C02"/>
    <w:rsid w:val="004A31FC"/>
    <w:rsid w:val="004A322B"/>
    <w:rsid w:val="004A35FF"/>
    <w:rsid w:val="004A37CE"/>
    <w:rsid w:val="004A3852"/>
    <w:rsid w:val="004A451E"/>
    <w:rsid w:val="004A51BD"/>
    <w:rsid w:val="004A59C9"/>
    <w:rsid w:val="004A5F71"/>
    <w:rsid w:val="004A6666"/>
    <w:rsid w:val="004A72C1"/>
    <w:rsid w:val="004A7A29"/>
    <w:rsid w:val="004A7EE9"/>
    <w:rsid w:val="004B0AA0"/>
    <w:rsid w:val="004B1C6A"/>
    <w:rsid w:val="004B1F23"/>
    <w:rsid w:val="004B305C"/>
    <w:rsid w:val="004B3C5C"/>
    <w:rsid w:val="004B5047"/>
    <w:rsid w:val="004B51DA"/>
    <w:rsid w:val="004B5B0D"/>
    <w:rsid w:val="004B5B35"/>
    <w:rsid w:val="004B5C6A"/>
    <w:rsid w:val="004B5CC0"/>
    <w:rsid w:val="004B6825"/>
    <w:rsid w:val="004B6E37"/>
    <w:rsid w:val="004B7337"/>
    <w:rsid w:val="004B779B"/>
    <w:rsid w:val="004B7A9D"/>
    <w:rsid w:val="004B7B4D"/>
    <w:rsid w:val="004B7BA0"/>
    <w:rsid w:val="004C07E8"/>
    <w:rsid w:val="004C08AD"/>
    <w:rsid w:val="004C0D0C"/>
    <w:rsid w:val="004C0DBE"/>
    <w:rsid w:val="004C0F88"/>
    <w:rsid w:val="004C1820"/>
    <w:rsid w:val="004C19C0"/>
    <w:rsid w:val="004C1F33"/>
    <w:rsid w:val="004C2927"/>
    <w:rsid w:val="004C2A86"/>
    <w:rsid w:val="004C2F61"/>
    <w:rsid w:val="004C3279"/>
    <w:rsid w:val="004C39AF"/>
    <w:rsid w:val="004C3D07"/>
    <w:rsid w:val="004C3E2C"/>
    <w:rsid w:val="004C4AB5"/>
    <w:rsid w:val="004C55B2"/>
    <w:rsid w:val="004C6AFC"/>
    <w:rsid w:val="004C7416"/>
    <w:rsid w:val="004C7CA1"/>
    <w:rsid w:val="004C7DD6"/>
    <w:rsid w:val="004D0FA5"/>
    <w:rsid w:val="004D100E"/>
    <w:rsid w:val="004D26C9"/>
    <w:rsid w:val="004D28C0"/>
    <w:rsid w:val="004D2E84"/>
    <w:rsid w:val="004D30EE"/>
    <w:rsid w:val="004D376C"/>
    <w:rsid w:val="004D3793"/>
    <w:rsid w:val="004D3B59"/>
    <w:rsid w:val="004D4695"/>
    <w:rsid w:val="004D4CA4"/>
    <w:rsid w:val="004D53E2"/>
    <w:rsid w:val="004D5554"/>
    <w:rsid w:val="004D5AD1"/>
    <w:rsid w:val="004D65E4"/>
    <w:rsid w:val="004D68E7"/>
    <w:rsid w:val="004D6DE1"/>
    <w:rsid w:val="004D6E05"/>
    <w:rsid w:val="004D6FF2"/>
    <w:rsid w:val="004D7498"/>
    <w:rsid w:val="004E0595"/>
    <w:rsid w:val="004E1095"/>
    <w:rsid w:val="004E14B0"/>
    <w:rsid w:val="004E1AA3"/>
    <w:rsid w:val="004E1DD1"/>
    <w:rsid w:val="004E1F09"/>
    <w:rsid w:val="004E2048"/>
    <w:rsid w:val="004E2489"/>
    <w:rsid w:val="004E26EE"/>
    <w:rsid w:val="004E2941"/>
    <w:rsid w:val="004E2EBC"/>
    <w:rsid w:val="004E3380"/>
    <w:rsid w:val="004E42E0"/>
    <w:rsid w:val="004E4ABF"/>
    <w:rsid w:val="004E4CDB"/>
    <w:rsid w:val="004E4E3F"/>
    <w:rsid w:val="004E641F"/>
    <w:rsid w:val="004E6435"/>
    <w:rsid w:val="004E678B"/>
    <w:rsid w:val="004E7430"/>
    <w:rsid w:val="004E7AE4"/>
    <w:rsid w:val="004F0790"/>
    <w:rsid w:val="004F0E5F"/>
    <w:rsid w:val="004F15AE"/>
    <w:rsid w:val="004F1B3A"/>
    <w:rsid w:val="004F1BDC"/>
    <w:rsid w:val="004F2980"/>
    <w:rsid w:val="004F2F37"/>
    <w:rsid w:val="004F3B93"/>
    <w:rsid w:val="004F3C3D"/>
    <w:rsid w:val="004F3D93"/>
    <w:rsid w:val="004F40BB"/>
    <w:rsid w:val="004F5360"/>
    <w:rsid w:val="004F55E0"/>
    <w:rsid w:val="004F5EEC"/>
    <w:rsid w:val="004F69A4"/>
    <w:rsid w:val="004F6BC7"/>
    <w:rsid w:val="004F7027"/>
    <w:rsid w:val="004F7699"/>
    <w:rsid w:val="004F7919"/>
    <w:rsid w:val="004F79BB"/>
    <w:rsid w:val="004F7C2C"/>
    <w:rsid w:val="00500162"/>
    <w:rsid w:val="00500BBE"/>
    <w:rsid w:val="005018C2"/>
    <w:rsid w:val="00501FE5"/>
    <w:rsid w:val="0050206E"/>
    <w:rsid w:val="005021A4"/>
    <w:rsid w:val="005027A3"/>
    <w:rsid w:val="00502925"/>
    <w:rsid w:val="00503B1E"/>
    <w:rsid w:val="00503E90"/>
    <w:rsid w:val="005041CF"/>
    <w:rsid w:val="0050471D"/>
    <w:rsid w:val="0050579C"/>
    <w:rsid w:val="00505EB1"/>
    <w:rsid w:val="00505F0B"/>
    <w:rsid w:val="0050616B"/>
    <w:rsid w:val="0050694C"/>
    <w:rsid w:val="00506969"/>
    <w:rsid w:val="005069F6"/>
    <w:rsid w:val="0050704E"/>
    <w:rsid w:val="0050722F"/>
    <w:rsid w:val="00510179"/>
    <w:rsid w:val="00510F1B"/>
    <w:rsid w:val="00511576"/>
    <w:rsid w:val="00511A3F"/>
    <w:rsid w:val="00511AC3"/>
    <w:rsid w:val="00511E2E"/>
    <w:rsid w:val="0051288B"/>
    <w:rsid w:val="00512E7D"/>
    <w:rsid w:val="0051317D"/>
    <w:rsid w:val="00513253"/>
    <w:rsid w:val="00513BAF"/>
    <w:rsid w:val="00515355"/>
    <w:rsid w:val="005159FF"/>
    <w:rsid w:val="005164D8"/>
    <w:rsid w:val="00516748"/>
    <w:rsid w:val="00516B6D"/>
    <w:rsid w:val="00516E62"/>
    <w:rsid w:val="00516EEA"/>
    <w:rsid w:val="00516F6C"/>
    <w:rsid w:val="0051701E"/>
    <w:rsid w:val="005171C0"/>
    <w:rsid w:val="0052017D"/>
    <w:rsid w:val="00520EA8"/>
    <w:rsid w:val="00522487"/>
    <w:rsid w:val="00522E2C"/>
    <w:rsid w:val="0052351F"/>
    <w:rsid w:val="005236E5"/>
    <w:rsid w:val="00525D27"/>
    <w:rsid w:val="00525DB2"/>
    <w:rsid w:val="0052686B"/>
    <w:rsid w:val="0052760C"/>
    <w:rsid w:val="00530255"/>
    <w:rsid w:val="00530316"/>
    <w:rsid w:val="00530852"/>
    <w:rsid w:val="00530B46"/>
    <w:rsid w:val="00531000"/>
    <w:rsid w:val="005310A3"/>
    <w:rsid w:val="005316BA"/>
    <w:rsid w:val="00531797"/>
    <w:rsid w:val="0053196B"/>
    <w:rsid w:val="00531CE1"/>
    <w:rsid w:val="00532378"/>
    <w:rsid w:val="0053246E"/>
    <w:rsid w:val="00532587"/>
    <w:rsid w:val="0053260B"/>
    <w:rsid w:val="00532807"/>
    <w:rsid w:val="005331E3"/>
    <w:rsid w:val="0053351C"/>
    <w:rsid w:val="005339DB"/>
    <w:rsid w:val="00533E60"/>
    <w:rsid w:val="00534A50"/>
    <w:rsid w:val="00535364"/>
    <w:rsid w:val="0053541A"/>
    <w:rsid w:val="005354C2"/>
    <w:rsid w:val="00535746"/>
    <w:rsid w:val="00535D47"/>
    <w:rsid w:val="00536480"/>
    <w:rsid w:val="0053658A"/>
    <w:rsid w:val="005365F4"/>
    <w:rsid w:val="00536E59"/>
    <w:rsid w:val="005374B4"/>
    <w:rsid w:val="00540128"/>
    <w:rsid w:val="00540148"/>
    <w:rsid w:val="00541655"/>
    <w:rsid w:val="00541A52"/>
    <w:rsid w:val="00541B01"/>
    <w:rsid w:val="00541DF2"/>
    <w:rsid w:val="00543782"/>
    <w:rsid w:val="005437B2"/>
    <w:rsid w:val="00543A5B"/>
    <w:rsid w:val="0054414D"/>
    <w:rsid w:val="00544334"/>
    <w:rsid w:val="0054464B"/>
    <w:rsid w:val="00544ADC"/>
    <w:rsid w:val="00544E8D"/>
    <w:rsid w:val="00545038"/>
    <w:rsid w:val="0054509A"/>
    <w:rsid w:val="005450A0"/>
    <w:rsid w:val="00545C5D"/>
    <w:rsid w:val="00547256"/>
    <w:rsid w:val="00547516"/>
    <w:rsid w:val="00547A29"/>
    <w:rsid w:val="00547D49"/>
    <w:rsid w:val="00547EB7"/>
    <w:rsid w:val="00547F6B"/>
    <w:rsid w:val="00550DF6"/>
    <w:rsid w:val="00550FD5"/>
    <w:rsid w:val="0055173D"/>
    <w:rsid w:val="00552C2A"/>
    <w:rsid w:val="00553170"/>
    <w:rsid w:val="005532D2"/>
    <w:rsid w:val="0055336D"/>
    <w:rsid w:val="00553525"/>
    <w:rsid w:val="0055411E"/>
    <w:rsid w:val="00554670"/>
    <w:rsid w:val="00554CB7"/>
    <w:rsid w:val="00555069"/>
    <w:rsid w:val="005552CB"/>
    <w:rsid w:val="0055549D"/>
    <w:rsid w:val="00555E56"/>
    <w:rsid w:val="005565F6"/>
    <w:rsid w:val="0055672F"/>
    <w:rsid w:val="00556FBE"/>
    <w:rsid w:val="0055714C"/>
    <w:rsid w:val="005612B3"/>
    <w:rsid w:val="0056198B"/>
    <w:rsid w:val="00561E14"/>
    <w:rsid w:val="00561F57"/>
    <w:rsid w:val="005621C9"/>
    <w:rsid w:val="00562773"/>
    <w:rsid w:val="00562800"/>
    <w:rsid w:val="00563626"/>
    <w:rsid w:val="005639CD"/>
    <w:rsid w:val="00563A49"/>
    <w:rsid w:val="005646F0"/>
    <w:rsid w:val="00564929"/>
    <w:rsid w:val="005654D5"/>
    <w:rsid w:val="005657D5"/>
    <w:rsid w:val="00565917"/>
    <w:rsid w:val="00565DD9"/>
    <w:rsid w:val="00566533"/>
    <w:rsid w:val="00566A39"/>
    <w:rsid w:val="00567053"/>
    <w:rsid w:val="005670D5"/>
    <w:rsid w:val="00567492"/>
    <w:rsid w:val="0056798D"/>
    <w:rsid w:val="00567E52"/>
    <w:rsid w:val="0057124E"/>
    <w:rsid w:val="005712AB"/>
    <w:rsid w:val="00571D79"/>
    <w:rsid w:val="005723F2"/>
    <w:rsid w:val="0057245B"/>
    <w:rsid w:val="00572E40"/>
    <w:rsid w:val="005735B8"/>
    <w:rsid w:val="00573F98"/>
    <w:rsid w:val="00574F9C"/>
    <w:rsid w:val="005752A6"/>
    <w:rsid w:val="00575BFC"/>
    <w:rsid w:val="00577127"/>
    <w:rsid w:val="005771B9"/>
    <w:rsid w:val="00577CBB"/>
    <w:rsid w:val="00580A6B"/>
    <w:rsid w:val="00580CE9"/>
    <w:rsid w:val="00580D9B"/>
    <w:rsid w:val="00580E44"/>
    <w:rsid w:val="00580FFF"/>
    <w:rsid w:val="005817F2"/>
    <w:rsid w:val="005818D1"/>
    <w:rsid w:val="00581B92"/>
    <w:rsid w:val="005823C9"/>
    <w:rsid w:val="0058270B"/>
    <w:rsid w:val="00582893"/>
    <w:rsid w:val="00582A0A"/>
    <w:rsid w:val="00582F6E"/>
    <w:rsid w:val="00582FDB"/>
    <w:rsid w:val="00584195"/>
    <w:rsid w:val="005843F5"/>
    <w:rsid w:val="00584F7E"/>
    <w:rsid w:val="00590BC2"/>
    <w:rsid w:val="00590D80"/>
    <w:rsid w:val="00590EA2"/>
    <w:rsid w:val="00591D54"/>
    <w:rsid w:val="00591DB9"/>
    <w:rsid w:val="00592857"/>
    <w:rsid w:val="00592A37"/>
    <w:rsid w:val="00592FF3"/>
    <w:rsid w:val="005934D0"/>
    <w:rsid w:val="0059366E"/>
    <w:rsid w:val="00594CCC"/>
    <w:rsid w:val="005956C8"/>
    <w:rsid w:val="0059571F"/>
    <w:rsid w:val="005957B5"/>
    <w:rsid w:val="00595D6B"/>
    <w:rsid w:val="00595DC2"/>
    <w:rsid w:val="00595FA9"/>
    <w:rsid w:val="005968A7"/>
    <w:rsid w:val="005971F2"/>
    <w:rsid w:val="005972C3"/>
    <w:rsid w:val="00597585"/>
    <w:rsid w:val="005978B9"/>
    <w:rsid w:val="00597AB2"/>
    <w:rsid w:val="00597AE0"/>
    <w:rsid w:val="005A00ED"/>
    <w:rsid w:val="005A1269"/>
    <w:rsid w:val="005A1339"/>
    <w:rsid w:val="005A1D79"/>
    <w:rsid w:val="005A23F6"/>
    <w:rsid w:val="005A261F"/>
    <w:rsid w:val="005A2867"/>
    <w:rsid w:val="005A2B6E"/>
    <w:rsid w:val="005A2C6E"/>
    <w:rsid w:val="005A35EC"/>
    <w:rsid w:val="005A4426"/>
    <w:rsid w:val="005A49F5"/>
    <w:rsid w:val="005A5017"/>
    <w:rsid w:val="005A5102"/>
    <w:rsid w:val="005A5369"/>
    <w:rsid w:val="005A5C95"/>
    <w:rsid w:val="005A5E03"/>
    <w:rsid w:val="005A5EB4"/>
    <w:rsid w:val="005A621D"/>
    <w:rsid w:val="005A6CE8"/>
    <w:rsid w:val="005A6F60"/>
    <w:rsid w:val="005A76EA"/>
    <w:rsid w:val="005A7784"/>
    <w:rsid w:val="005A779A"/>
    <w:rsid w:val="005A7E34"/>
    <w:rsid w:val="005B044B"/>
    <w:rsid w:val="005B050B"/>
    <w:rsid w:val="005B0555"/>
    <w:rsid w:val="005B06D8"/>
    <w:rsid w:val="005B0752"/>
    <w:rsid w:val="005B08D3"/>
    <w:rsid w:val="005B11C4"/>
    <w:rsid w:val="005B1ECF"/>
    <w:rsid w:val="005B3005"/>
    <w:rsid w:val="005B36EF"/>
    <w:rsid w:val="005B3859"/>
    <w:rsid w:val="005B3953"/>
    <w:rsid w:val="005B3A8C"/>
    <w:rsid w:val="005B3D83"/>
    <w:rsid w:val="005B3EFE"/>
    <w:rsid w:val="005B45D0"/>
    <w:rsid w:val="005B47FA"/>
    <w:rsid w:val="005B4F04"/>
    <w:rsid w:val="005B52C0"/>
    <w:rsid w:val="005B5947"/>
    <w:rsid w:val="005B61A6"/>
    <w:rsid w:val="005B6F1A"/>
    <w:rsid w:val="005B7B9C"/>
    <w:rsid w:val="005C0514"/>
    <w:rsid w:val="005C0A5C"/>
    <w:rsid w:val="005C1E01"/>
    <w:rsid w:val="005C1FD7"/>
    <w:rsid w:val="005C242A"/>
    <w:rsid w:val="005C2521"/>
    <w:rsid w:val="005C2D8E"/>
    <w:rsid w:val="005C2EEB"/>
    <w:rsid w:val="005C3766"/>
    <w:rsid w:val="005C469A"/>
    <w:rsid w:val="005C49E6"/>
    <w:rsid w:val="005C4F89"/>
    <w:rsid w:val="005C6227"/>
    <w:rsid w:val="005C6A23"/>
    <w:rsid w:val="005C731E"/>
    <w:rsid w:val="005C751C"/>
    <w:rsid w:val="005C7858"/>
    <w:rsid w:val="005C7AB6"/>
    <w:rsid w:val="005D0634"/>
    <w:rsid w:val="005D0BA3"/>
    <w:rsid w:val="005D0BDD"/>
    <w:rsid w:val="005D0C86"/>
    <w:rsid w:val="005D1F72"/>
    <w:rsid w:val="005D23E0"/>
    <w:rsid w:val="005D246E"/>
    <w:rsid w:val="005D2A0E"/>
    <w:rsid w:val="005D3067"/>
    <w:rsid w:val="005D337A"/>
    <w:rsid w:val="005D36BD"/>
    <w:rsid w:val="005D36EB"/>
    <w:rsid w:val="005D3A90"/>
    <w:rsid w:val="005D4304"/>
    <w:rsid w:val="005D45A1"/>
    <w:rsid w:val="005D5153"/>
    <w:rsid w:val="005D515B"/>
    <w:rsid w:val="005D576A"/>
    <w:rsid w:val="005D5E4E"/>
    <w:rsid w:val="005D6015"/>
    <w:rsid w:val="005D6144"/>
    <w:rsid w:val="005D633A"/>
    <w:rsid w:val="005D6AA5"/>
    <w:rsid w:val="005D6F48"/>
    <w:rsid w:val="005D7450"/>
    <w:rsid w:val="005D7F6C"/>
    <w:rsid w:val="005E0320"/>
    <w:rsid w:val="005E039B"/>
    <w:rsid w:val="005E1BCA"/>
    <w:rsid w:val="005E249F"/>
    <w:rsid w:val="005E24F9"/>
    <w:rsid w:val="005E2BD9"/>
    <w:rsid w:val="005E338E"/>
    <w:rsid w:val="005E34F3"/>
    <w:rsid w:val="005E3C07"/>
    <w:rsid w:val="005E3C84"/>
    <w:rsid w:val="005E427A"/>
    <w:rsid w:val="005E429E"/>
    <w:rsid w:val="005E44EC"/>
    <w:rsid w:val="005E450C"/>
    <w:rsid w:val="005E461A"/>
    <w:rsid w:val="005E4DDF"/>
    <w:rsid w:val="005E4FBF"/>
    <w:rsid w:val="005E50EF"/>
    <w:rsid w:val="005E5D6D"/>
    <w:rsid w:val="005E5EAB"/>
    <w:rsid w:val="005E61FB"/>
    <w:rsid w:val="005E781F"/>
    <w:rsid w:val="005E7C02"/>
    <w:rsid w:val="005F07EF"/>
    <w:rsid w:val="005F094B"/>
    <w:rsid w:val="005F0B45"/>
    <w:rsid w:val="005F0FE8"/>
    <w:rsid w:val="005F11A9"/>
    <w:rsid w:val="005F11D7"/>
    <w:rsid w:val="005F170B"/>
    <w:rsid w:val="005F1B5C"/>
    <w:rsid w:val="005F1BE2"/>
    <w:rsid w:val="005F1BE4"/>
    <w:rsid w:val="005F1C2F"/>
    <w:rsid w:val="005F252F"/>
    <w:rsid w:val="005F2DE6"/>
    <w:rsid w:val="005F3538"/>
    <w:rsid w:val="005F4BA6"/>
    <w:rsid w:val="005F4EC9"/>
    <w:rsid w:val="005F54DB"/>
    <w:rsid w:val="005F57FC"/>
    <w:rsid w:val="005F69BF"/>
    <w:rsid w:val="005F6B0E"/>
    <w:rsid w:val="005F6D27"/>
    <w:rsid w:val="005F744A"/>
    <w:rsid w:val="005F7867"/>
    <w:rsid w:val="006001EA"/>
    <w:rsid w:val="00600225"/>
    <w:rsid w:val="006002BC"/>
    <w:rsid w:val="00600EEF"/>
    <w:rsid w:val="00600F02"/>
    <w:rsid w:val="006010B9"/>
    <w:rsid w:val="006023D5"/>
    <w:rsid w:val="00602518"/>
    <w:rsid w:val="00602667"/>
    <w:rsid w:val="00602C9F"/>
    <w:rsid w:val="006032F4"/>
    <w:rsid w:val="0060339F"/>
    <w:rsid w:val="00603570"/>
    <w:rsid w:val="00603D18"/>
    <w:rsid w:val="00603D65"/>
    <w:rsid w:val="00604615"/>
    <w:rsid w:val="00604A39"/>
    <w:rsid w:val="00604CA1"/>
    <w:rsid w:val="00605046"/>
    <w:rsid w:val="00605C3E"/>
    <w:rsid w:val="00605FAA"/>
    <w:rsid w:val="0060613B"/>
    <w:rsid w:val="006068D8"/>
    <w:rsid w:val="006070B2"/>
    <w:rsid w:val="00607AEB"/>
    <w:rsid w:val="0061018D"/>
    <w:rsid w:val="0061126B"/>
    <w:rsid w:val="006118DC"/>
    <w:rsid w:val="00611D1C"/>
    <w:rsid w:val="0061247F"/>
    <w:rsid w:val="00612558"/>
    <w:rsid w:val="00612824"/>
    <w:rsid w:val="00612C13"/>
    <w:rsid w:val="00612D64"/>
    <w:rsid w:val="00612FB8"/>
    <w:rsid w:val="00613CB3"/>
    <w:rsid w:val="00613EB3"/>
    <w:rsid w:val="00614840"/>
    <w:rsid w:val="0061489B"/>
    <w:rsid w:val="00614B7B"/>
    <w:rsid w:val="00616026"/>
    <w:rsid w:val="00616466"/>
    <w:rsid w:val="00616587"/>
    <w:rsid w:val="00616E70"/>
    <w:rsid w:val="00616EFC"/>
    <w:rsid w:val="00616FF9"/>
    <w:rsid w:val="00617AFE"/>
    <w:rsid w:val="00617B92"/>
    <w:rsid w:val="00617C6C"/>
    <w:rsid w:val="0062055C"/>
    <w:rsid w:val="00620718"/>
    <w:rsid w:val="006209E4"/>
    <w:rsid w:val="00620E92"/>
    <w:rsid w:val="00621054"/>
    <w:rsid w:val="0062123F"/>
    <w:rsid w:val="00621561"/>
    <w:rsid w:val="00622987"/>
    <w:rsid w:val="00622B6F"/>
    <w:rsid w:val="0062309E"/>
    <w:rsid w:val="00623761"/>
    <w:rsid w:val="0062476F"/>
    <w:rsid w:val="0062485E"/>
    <w:rsid w:val="00624C3C"/>
    <w:rsid w:val="00624CCB"/>
    <w:rsid w:val="00624ED5"/>
    <w:rsid w:val="006253F9"/>
    <w:rsid w:val="00625CCD"/>
    <w:rsid w:val="00625D61"/>
    <w:rsid w:val="006263DE"/>
    <w:rsid w:val="00626B73"/>
    <w:rsid w:val="00626DBE"/>
    <w:rsid w:val="00627422"/>
    <w:rsid w:val="006278C9"/>
    <w:rsid w:val="00627A1D"/>
    <w:rsid w:val="00627ED8"/>
    <w:rsid w:val="006302B1"/>
    <w:rsid w:val="00630575"/>
    <w:rsid w:val="006306D3"/>
    <w:rsid w:val="00630A17"/>
    <w:rsid w:val="00630DBA"/>
    <w:rsid w:val="00630DCE"/>
    <w:rsid w:val="0063140E"/>
    <w:rsid w:val="006314EF"/>
    <w:rsid w:val="006315D9"/>
    <w:rsid w:val="006316DC"/>
    <w:rsid w:val="00631844"/>
    <w:rsid w:val="00631D65"/>
    <w:rsid w:val="00631FA7"/>
    <w:rsid w:val="00632577"/>
    <w:rsid w:val="0063334C"/>
    <w:rsid w:val="006333D0"/>
    <w:rsid w:val="00633969"/>
    <w:rsid w:val="006339D0"/>
    <w:rsid w:val="00633A7B"/>
    <w:rsid w:val="00633DE3"/>
    <w:rsid w:val="00633F7C"/>
    <w:rsid w:val="0063441D"/>
    <w:rsid w:val="0063477F"/>
    <w:rsid w:val="00635029"/>
    <w:rsid w:val="0063507D"/>
    <w:rsid w:val="006352ED"/>
    <w:rsid w:val="00635572"/>
    <w:rsid w:val="00635616"/>
    <w:rsid w:val="006356AF"/>
    <w:rsid w:val="00635EC3"/>
    <w:rsid w:val="006362AE"/>
    <w:rsid w:val="00636A3E"/>
    <w:rsid w:val="00636E2B"/>
    <w:rsid w:val="0063733C"/>
    <w:rsid w:val="00637EE1"/>
    <w:rsid w:val="006405FD"/>
    <w:rsid w:val="006409A1"/>
    <w:rsid w:val="00640C43"/>
    <w:rsid w:val="00642716"/>
    <w:rsid w:val="00643440"/>
    <w:rsid w:val="00643CD3"/>
    <w:rsid w:val="00645777"/>
    <w:rsid w:val="00645A76"/>
    <w:rsid w:val="006463BF"/>
    <w:rsid w:val="00646B45"/>
    <w:rsid w:val="00646FA9"/>
    <w:rsid w:val="006473CF"/>
    <w:rsid w:val="006476E4"/>
    <w:rsid w:val="00647B6A"/>
    <w:rsid w:val="006500B2"/>
    <w:rsid w:val="00651448"/>
    <w:rsid w:val="00651548"/>
    <w:rsid w:val="00651836"/>
    <w:rsid w:val="00651C2F"/>
    <w:rsid w:val="00651DA2"/>
    <w:rsid w:val="00653682"/>
    <w:rsid w:val="00653B9B"/>
    <w:rsid w:val="00653DEC"/>
    <w:rsid w:val="00654226"/>
    <w:rsid w:val="006551BD"/>
    <w:rsid w:val="006552FA"/>
    <w:rsid w:val="00655917"/>
    <w:rsid w:val="00655B41"/>
    <w:rsid w:val="00655C8B"/>
    <w:rsid w:val="00655F49"/>
    <w:rsid w:val="00656319"/>
    <w:rsid w:val="00656980"/>
    <w:rsid w:val="00657539"/>
    <w:rsid w:val="00660641"/>
    <w:rsid w:val="0066074F"/>
    <w:rsid w:val="006607CE"/>
    <w:rsid w:val="0066096B"/>
    <w:rsid w:val="006619D9"/>
    <w:rsid w:val="00661E75"/>
    <w:rsid w:val="00662134"/>
    <w:rsid w:val="006624CF"/>
    <w:rsid w:val="00662612"/>
    <w:rsid w:val="006627F4"/>
    <w:rsid w:val="00662F95"/>
    <w:rsid w:val="00663E58"/>
    <w:rsid w:val="00663F8E"/>
    <w:rsid w:val="006643C6"/>
    <w:rsid w:val="006652A0"/>
    <w:rsid w:val="006658CE"/>
    <w:rsid w:val="00665E73"/>
    <w:rsid w:val="0066691B"/>
    <w:rsid w:val="00666B5C"/>
    <w:rsid w:val="00666CFD"/>
    <w:rsid w:val="00667407"/>
    <w:rsid w:val="00667553"/>
    <w:rsid w:val="0067003C"/>
    <w:rsid w:val="00670073"/>
    <w:rsid w:val="00670A6A"/>
    <w:rsid w:val="00671485"/>
    <w:rsid w:val="00671508"/>
    <w:rsid w:val="00671B7E"/>
    <w:rsid w:val="00671DE5"/>
    <w:rsid w:val="00671E6A"/>
    <w:rsid w:val="006722F1"/>
    <w:rsid w:val="00672E8F"/>
    <w:rsid w:val="00673E4D"/>
    <w:rsid w:val="00674535"/>
    <w:rsid w:val="00674AC4"/>
    <w:rsid w:val="00674D80"/>
    <w:rsid w:val="00675D3B"/>
    <w:rsid w:val="00675E37"/>
    <w:rsid w:val="00676468"/>
    <w:rsid w:val="006766FB"/>
    <w:rsid w:val="00677268"/>
    <w:rsid w:val="006803C9"/>
    <w:rsid w:val="00680646"/>
    <w:rsid w:val="006807E0"/>
    <w:rsid w:val="00680909"/>
    <w:rsid w:val="006814A9"/>
    <w:rsid w:val="006823E4"/>
    <w:rsid w:val="00682824"/>
    <w:rsid w:val="00682D3B"/>
    <w:rsid w:val="00682FB3"/>
    <w:rsid w:val="006830A7"/>
    <w:rsid w:val="00683926"/>
    <w:rsid w:val="00683BD2"/>
    <w:rsid w:val="00683DAC"/>
    <w:rsid w:val="00683F9C"/>
    <w:rsid w:val="006841CD"/>
    <w:rsid w:val="00684471"/>
    <w:rsid w:val="006847C4"/>
    <w:rsid w:val="00684A52"/>
    <w:rsid w:val="00684A5C"/>
    <w:rsid w:val="00684B2C"/>
    <w:rsid w:val="00684EEB"/>
    <w:rsid w:val="00687257"/>
    <w:rsid w:val="006878E8"/>
    <w:rsid w:val="00687A54"/>
    <w:rsid w:val="0069010A"/>
    <w:rsid w:val="006901D5"/>
    <w:rsid w:val="00690BCA"/>
    <w:rsid w:val="00691D2D"/>
    <w:rsid w:val="006927AB"/>
    <w:rsid w:val="006928DB"/>
    <w:rsid w:val="00693438"/>
    <w:rsid w:val="00693A62"/>
    <w:rsid w:val="00693BD6"/>
    <w:rsid w:val="00693F91"/>
    <w:rsid w:val="00694249"/>
    <w:rsid w:val="006947B8"/>
    <w:rsid w:val="00694922"/>
    <w:rsid w:val="006949BB"/>
    <w:rsid w:val="00694C13"/>
    <w:rsid w:val="00694ECF"/>
    <w:rsid w:val="006955DB"/>
    <w:rsid w:val="00695709"/>
    <w:rsid w:val="00695769"/>
    <w:rsid w:val="00695FF0"/>
    <w:rsid w:val="00696556"/>
    <w:rsid w:val="006966FF"/>
    <w:rsid w:val="00697725"/>
    <w:rsid w:val="00697942"/>
    <w:rsid w:val="006A0697"/>
    <w:rsid w:val="006A0935"/>
    <w:rsid w:val="006A0A09"/>
    <w:rsid w:val="006A0BF7"/>
    <w:rsid w:val="006A111F"/>
    <w:rsid w:val="006A16CC"/>
    <w:rsid w:val="006A17D4"/>
    <w:rsid w:val="006A1CA3"/>
    <w:rsid w:val="006A1F39"/>
    <w:rsid w:val="006A243B"/>
    <w:rsid w:val="006A243F"/>
    <w:rsid w:val="006A250E"/>
    <w:rsid w:val="006A2717"/>
    <w:rsid w:val="006A27C5"/>
    <w:rsid w:val="006A3A5D"/>
    <w:rsid w:val="006A4427"/>
    <w:rsid w:val="006A44F0"/>
    <w:rsid w:val="006A456E"/>
    <w:rsid w:val="006A471A"/>
    <w:rsid w:val="006A4C1D"/>
    <w:rsid w:val="006A4EEB"/>
    <w:rsid w:val="006A5307"/>
    <w:rsid w:val="006A5405"/>
    <w:rsid w:val="006A5702"/>
    <w:rsid w:val="006A58F4"/>
    <w:rsid w:val="006A5EF3"/>
    <w:rsid w:val="006A68D9"/>
    <w:rsid w:val="006A7510"/>
    <w:rsid w:val="006A7CF6"/>
    <w:rsid w:val="006A7DA8"/>
    <w:rsid w:val="006B0049"/>
    <w:rsid w:val="006B1E05"/>
    <w:rsid w:val="006B239F"/>
    <w:rsid w:val="006B25BD"/>
    <w:rsid w:val="006B2777"/>
    <w:rsid w:val="006B29F5"/>
    <w:rsid w:val="006B321A"/>
    <w:rsid w:val="006B3643"/>
    <w:rsid w:val="006B3CFD"/>
    <w:rsid w:val="006B3ECE"/>
    <w:rsid w:val="006B4126"/>
    <w:rsid w:val="006B456B"/>
    <w:rsid w:val="006B45BA"/>
    <w:rsid w:val="006B4999"/>
    <w:rsid w:val="006B4E83"/>
    <w:rsid w:val="006B51D2"/>
    <w:rsid w:val="006B551A"/>
    <w:rsid w:val="006B6338"/>
    <w:rsid w:val="006B6481"/>
    <w:rsid w:val="006B6707"/>
    <w:rsid w:val="006B6C3E"/>
    <w:rsid w:val="006B705E"/>
    <w:rsid w:val="006B7194"/>
    <w:rsid w:val="006B765A"/>
    <w:rsid w:val="006B76BB"/>
    <w:rsid w:val="006B7A5E"/>
    <w:rsid w:val="006C03A7"/>
    <w:rsid w:val="006C071D"/>
    <w:rsid w:val="006C0966"/>
    <w:rsid w:val="006C0A68"/>
    <w:rsid w:val="006C0E63"/>
    <w:rsid w:val="006C0F62"/>
    <w:rsid w:val="006C16BA"/>
    <w:rsid w:val="006C1F08"/>
    <w:rsid w:val="006C286C"/>
    <w:rsid w:val="006C2BF5"/>
    <w:rsid w:val="006C2D1F"/>
    <w:rsid w:val="006C3843"/>
    <w:rsid w:val="006C3A06"/>
    <w:rsid w:val="006C4B09"/>
    <w:rsid w:val="006C4B9B"/>
    <w:rsid w:val="006C4F7D"/>
    <w:rsid w:val="006C4FBE"/>
    <w:rsid w:val="006C52D6"/>
    <w:rsid w:val="006C55F5"/>
    <w:rsid w:val="006C5E34"/>
    <w:rsid w:val="006C6ACB"/>
    <w:rsid w:val="006C6DE6"/>
    <w:rsid w:val="006C72F9"/>
    <w:rsid w:val="006C7543"/>
    <w:rsid w:val="006C7DAC"/>
    <w:rsid w:val="006D0914"/>
    <w:rsid w:val="006D0B96"/>
    <w:rsid w:val="006D11F8"/>
    <w:rsid w:val="006D142D"/>
    <w:rsid w:val="006D17E3"/>
    <w:rsid w:val="006D1D2E"/>
    <w:rsid w:val="006D1DB0"/>
    <w:rsid w:val="006D1FF2"/>
    <w:rsid w:val="006D20D2"/>
    <w:rsid w:val="006D225A"/>
    <w:rsid w:val="006D22AC"/>
    <w:rsid w:val="006D25DB"/>
    <w:rsid w:val="006D2810"/>
    <w:rsid w:val="006D2E64"/>
    <w:rsid w:val="006D38BD"/>
    <w:rsid w:val="006D4376"/>
    <w:rsid w:val="006D49C7"/>
    <w:rsid w:val="006D5617"/>
    <w:rsid w:val="006D562B"/>
    <w:rsid w:val="006D5661"/>
    <w:rsid w:val="006D570E"/>
    <w:rsid w:val="006D6383"/>
    <w:rsid w:val="006D671B"/>
    <w:rsid w:val="006D6982"/>
    <w:rsid w:val="006D74EA"/>
    <w:rsid w:val="006D7F2E"/>
    <w:rsid w:val="006E027C"/>
    <w:rsid w:val="006E0648"/>
    <w:rsid w:val="006E0B01"/>
    <w:rsid w:val="006E11F9"/>
    <w:rsid w:val="006E15FE"/>
    <w:rsid w:val="006E2335"/>
    <w:rsid w:val="006E3EBC"/>
    <w:rsid w:val="006E446D"/>
    <w:rsid w:val="006E4DCF"/>
    <w:rsid w:val="006E50E3"/>
    <w:rsid w:val="006E5663"/>
    <w:rsid w:val="006E598C"/>
    <w:rsid w:val="006E5BAF"/>
    <w:rsid w:val="006E5CA6"/>
    <w:rsid w:val="006E61CE"/>
    <w:rsid w:val="006E651D"/>
    <w:rsid w:val="006E661E"/>
    <w:rsid w:val="006E6857"/>
    <w:rsid w:val="006E7800"/>
    <w:rsid w:val="006E79FF"/>
    <w:rsid w:val="006E7ECF"/>
    <w:rsid w:val="006F0293"/>
    <w:rsid w:val="006F0368"/>
    <w:rsid w:val="006F0459"/>
    <w:rsid w:val="006F04D1"/>
    <w:rsid w:val="006F05BE"/>
    <w:rsid w:val="006F074E"/>
    <w:rsid w:val="006F0DCB"/>
    <w:rsid w:val="006F0EB7"/>
    <w:rsid w:val="006F1222"/>
    <w:rsid w:val="006F1810"/>
    <w:rsid w:val="006F1A6A"/>
    <w:rsid w:val="006F1A91"/>
    <w:rsid w:val="006F1C21"/>
    <w:rsid w:val="006F1F56"/>
    <w:rsid w:val="006F287C"/>
    <w:rsid w:val="006F28A0"/>
    <w:rsid w:val="006F3C1E"/>
    <w:rsid w:val="006F3C20"/>
    <w:rsid w:val="006F4775"/>
    <w:rsid w:val="006F4899"/>
    <w:rsid w:val="006F4E82"/>
    <w:rsid w:val="006F5154"/>
    <w:rsid w:val="006F52E0"/>
    <w:rsid w:val="006F54D3"/>
    <w:rsid w:val="006F629B"/>
    <w:rsid w:val="006F6494"/>
    <w:rsid w:val="006F780E"/>
    <w:rsid w:val="007003F0"/>
    <w:rsid w:val="00700D4C"/>
    <w:rsid w:val="007014D1"/>
    <w:rsid w:val="0070183E"/>
    <w:rsid w:val="00701BB8"/>
    <w:rsid w:val="007023E6"/>
    <w:rsid w:val="0070298A"/>
    <w:rsid w:val="0070564F"/>
    <w:rsid w:val="00705DD7"/>
    <w:rsid w:val="0070625D"/>
    <w:rsid w:val="007062C4"/>
    <w:rsid w:val="00706518"/>
    <w:rsid w:val="007069AB"/>
    <w:rsid w:val="0070702E"/>
    <w:rsid w:val="00707963"/>
    <w:rsid w:val="007101E4"/>
    <w:rsid w:val="0071038C"/>
    <w:rsid w:val="007105F3"/>
    <w:rsid w:val="00710A61"/>
    <w:rsid w:val="007110FF"/>
    <w:rsid w:val="0071136D"/>
    <w:rsid w:val="00711BD6"/>
    <w:rsid w:val="00711E26"/>
    <w:rsid w:val="007122EF"/>
    <w:rsid w:val="007125DC"/>
    <w:rsid w:val="007135F1"/>
    <w:rsid w:val="00714121"/>
    <w:rsid w:val="007151B2"/>
    <w:rsid w:val="00715810"/>
    <w:rsid w:val="00715A55"/>
    <w:rsid w:val="00715BBF"/>
    <w:rsid w:val="00716958"/>
    <w:rsid w:val="007169B8"/>
    <w:rsid w:val="0071768F"/>
    <w:rsid w:val="00720CB0"/>
    <w:rsid w:val="00720D96"/>
    <w:rsid w:val="007210C1"/>
    <w:rsid w:val="0072169C"/>
    <w:rsid w:val="007218CF"/>
    <w:rsid w:val="00721E10"/>
    <w:rsid w:val="0072200B"/>
    <w:rsid w:val="007226C1"/>
    <w:rsid w:val="00722B19"/>
    <w:rsid w:val="0072306D"/>
    <w:rsid w:val="00723785"/>
    <w:rsid w:val="00723DD9"/>
    <w:rsid w:val="00724307"/>
    <w:rsid w:val="00724364"/>
    <w:rsid w:val="00724DA1"/>
    <w:rsid w:val="00725451"/>
    <w:rsid w:val="00725C0B"/>
    <w:rsid w:val="007264A7"/>
    <w:rsid w:val="00727FE1"/>
    <w:rsid w:val="00730061"/>
    <w:rsid w:val="0073006E"/>
    <w:rsid w:val="007302F5"/>
    <w:rsid w:val="007308A8"/>
    <w:rsid w:val="007317DC"/>
    <w:rsid w:val="00732038"/>
    <w:rsid w:val="007324C2"/>
    <w:rsid w:val="00732834"/>
    <w:rsid w:val="007328BC"/>
    <w:rsid w:val="00732CF0"/>
    <w:rsid w:val="007331CA"/>
    <w:rsid w:val="00733494"/>
    <w:rsid w:val="00734034"/>
    <w:rsid w:val="00734089"/>
    <w:rsid w:val="0073460C"/>
    <w:rsid w:val="00734E91"/>
    <w:rsid w:val="00735054"/>
    <w:rsid w:val="00735064"/>
    <w:rsid w:val="007350F6"/>
    <w:rsid w:val="00735271"/>
    <w:rsid w:val="00735373"/>
    <w:rsid w:val="007365F9"/>
    <w:rsid w:val="007370B2"/>
    <w:rsid w:val="007376B2"/>
    <w:rsid w:val="007377D2"/>
    <w:rsid w:val="00737DAB"/>
    <w:rsid w:val="0074006A"/>
    <w:rsid w:val="007402A9"/>
    <w:rsid w:val="00740889"/>
    <w:rsid w:val="00740A8E"/>
    <w:rsid w:val="00740F1A"/>
    <w:rsid w:val="00741106"/>
    <w:rsid w:val="00741199"/>
    <w:rsid w:val="007414D1"/>
    <w:rsid w:val="007420B5"/>
    <w:rsid w:val="0074254F"/>
    <w:rsid w:val="007435DA"/>
    <w:rsid w:val="00743680"/>
    <w:rsid w:val="007436E6"/>
    <w:rsid w:val="00743C10"/>
    <w:rsid w:val="00743FBA"/>
    <w:rsid w:val="007441D1"/>
    <w:rsid w:val="00744A4E"/>
    <w:rsid w:val="00744F92"/>
    <w:rsid w:val="00745100"/>
    <w:rsid w:val="00745192"/>
    <w:rsid w:val="00745519"/>
    <w:rsid w:val="00745611"/>
    <w:rsid w:val="0074638C"/>
    <w:rsid w:val="0074642D"/>
    <w:rsid w:val="00746CC0"/>
    <w:rsid w:val="00747A0F"/>
    <w:rsid w:val="00750607"/>
    <w:rsid w:val="0075090E"/>
    <w:rsid w:val="007509A7"/>
    <w:rsid w:val="00750E74"/>
    <w:rsid w:val="007518DC"/>
    <w:rsid w:val="00751A31"/>
    <w:rsid w:val="00751F38"/>
    <w:rsid w:val="007525FF"/>
    <w:rsid w:val="007526E9"/>
    <w:rsid w:val="00752EE1"/>
    <w:rsid w:val="007536D8"/>
    <w:rsid w:val="00753C53"/>
    <w:rsid w:val="00754027"/>
    <w:rsid w:val="00754AB4"/>
    <w:rsid w:val="007566F8"/>
    <w:rsid w:val="0075684D"/>
    <w:rsid w:val="00756D81"/>
    <w:rsid w:val="00756E6F"/>
    <w:rsid w:val="00757706"/>
    <w:rsid w:val="00757E40"/>
    <w:rsid w:val="00760011"/>
    <w:rsid w:val="007600CF"/>
    <w:rsid w:val="00760173"/>
    <w:rsid w:val="00760369"/>
    <w:rsid w:val="007607CD"/>
    <w:rsid w:val="00761CA0"/>
    <w:rsid w:val="00761DCA"/>
    <w:rsid w:val="00761E73"/>
    <w:rsid w:val="007622E1"/>
    <w:rsid w:val="00762EA4"/>
    <w:rsid w:val="0076317C"/>
    <w:rsid w:val="007631AF"/>
    <w:rsid w:val="00763393"/>
    <w:rsid w:val="00763502"/>
    <w:rsid w:val="00763C14"/>
    <w:rsid w:val="00764446"/>
    <w:rsid w:val="007648E3"/>
    <w:rsid w:val="00765474"/>
    <w:rsid w:val="0076633E"/>
    <w:rsid w:val="007666FF"/>
    <w:rsid w:val="00766DDA"/>
    <w:rsid w:val="0076714D"/>
    <w:rsid w:val="007679EE"/>
    <w:rsid w:val="00767A54"/>
    <w:rsid w:val="00770A5D"/>
    <w:rsid w:val="00770DC8"/>
    <w:rsid w:val="00770ED9"/>
    <w:rsid w:val="00772B27"/>
    <w:rsid w:val="00772CF2"/>
    <w:rsid w:val="00773FD2"/>
    <w:rsid w:val="00774719"/>
    <w:rsid w:val="00774900"/>
    <w:rsid w:val="00774B19"/>
    <w:rsid w:val="00774BB3"/>
    <w:rsid w:val="00774E3F"/>
    <w:rsid w:val="007754FB"/>
    <w:rsid w:val="007759D2"/>
    <w:rsid w:val="007759D9"/>
    <w:rsid w:val="0077611F"/>
    <w:rsid w:val="0077633C"/>
    <w:rsid w:val="00776F41"/>
    <w:rsid w:val="00777B57"/>
    <w:rsid w:val="00777E57"/>
    <w:rsid w:val="00777EB3"/>
    <w:rsid w:val="00777EBF"/>
    <w:rsid w:val="00780BEC"/>
    <w:rsid w:val="007815E8"/>
    <w:rsid w:val="007817E6"/>
    <w:rsid w:val="00781B73"/>
    <w:rsid w:val="00781F88"/>
    <w:rsid w:val="0078277B"/>
    <w:rsid w:val="00782986"/>
    <w:rsid w:val="00782A58"/>
    <w:rsid w:val="00782D93"/>
    <w:rsid w:val="00783C83"/>
    <w:rsid w:val="00783FA8"/>
    <w:rsid w:val="00784223"/>
    <w:rsid w:val="00784D70"/>
    <w:rsid w:val="00785DB3"/>
    <w:rsid w:val="00786DBD"/>
    <w:rsid w:val="00787317"/>
    <w:rsid w:val="00787760"/>
    <w:rsid w:val="00787F16"/>
    <w:rsid w:val="00790DD2"/>
    <w:rsid w:val="00790EED"/>
    <w:rsid w:val="00791769"/>
    <w:rsid w:val="00791FF4"/>
    <w:rsid w:val="00792260"/>
    <w:rsid w:val="007926DC"/>
    <w:rsid w:val="00792994"/>
    <w:rsid w:val="00792A7D"/>
    <w:rsid w:val="0079325C"/>
    <w:rsid w:val="007949A4"/>
    <w:rsid w:val="00794B02"/>
    <w:rsid w:val="007954D6"/>
    <w:rsid w:val="007958AC"/>
    <w:rsid w:val="007959B1"/>
    <w:rsid w:val="00795DB0"/>
    <w:rsid w:val="00795E0D"/>
    <w:rsid w:val="00796A57"/>
    <w:rsid w:val="00796C7C"/>
    <w:rsid w:val="00797127"/>
    <w:rsid w:val="00797553"/>
    <w:rsid w:val="00797A4C"/>
    <w:rsid w:val="00797E09"/>
    <w:rsid w:val="00797E32"/>
    <w:rsid w:val="007A043F"/>
    <w:rsid w:val="007A0554"/>
    <w:rsid w:val="007A0D78"/>
    <w:rsid w:val="007A1FD0"/>
    <w:rsid w:val="007A2C6C"/>
    <w:rsid w:val="007A32A1"/>
    <w:rsid w:val="007A378A"/>
    <w:rsid w:val="007A3794"/>
    <w:rsid w:val="007A3A46"/>
    <w:rsid w:val="007A3DEB"/>
    <w:rsid w:val="007A3E64"/>
    <w:rsid w:val="007A4DC3"/>
    <w:rsid w:val="007A535F"/>
    <w:rsid w:val="007A5A1D"/>
    <w:rsid w:val="007A5EC7"/>
    <w:rsid w:val="007A68BE"/>
    <w:rsid w:val="007A6CEE"/>
    <w:rsid w:val="007A6EAE"/>
    <w:rsid w:val="007A7626"/>
    <w:rsid w:val="007A7955"/>
    <w:rsid w:val="007A7C10"/>
    <w:rsid w:val="007A7C4F"/>
    <w:rsid w:val="007A7CA6"/>
    <w:rsid w:val="007A7FF1"/>
    <w:rsid w:val="007B0806"/>
    <w:rsid w:val="007B0CE0"/>
    <w:rsid w:val="007B1A9C"/>
    <w:rsid w:val="007B1C33"/>
    <w:rsid w:val="007B1E33"/>
    <w:rsid w:val="007B1F00"/>
    <w:rsid w:val="007B2583"/>
    <w:rsid w:val="007B25A2"/>
    <w:rsid w:val="007B3354"/>
    <w:rsid w:val="007B3FFB"/>
    <w:rsid w:val="007B537C"/>
    <w:rsid w:val="007B563C"/>
    <w:rsid w:val="007B5ADC"/>
    <w:rsid w:val="007B5C96"/>
    <w:rsid w:val="007B6918"/>
    <w:rsid w:val="007B71A5"/>
    <w:rsid w:val="007B721F"/>
    <w:rsid w:val="007B74BE"/>
    <w:rsid w:val="007B7EB2"/>
    <w:rsid w:val="007C03FB"/>
    <w:rsid w:val="007C09FE"/>
    <w:rsid w:val="007C1D34"/>
    <w:rsid w:val="007C1EBA"/>
    <w:rsid w:val="007C25B9"/>
    <w:rsid w:val="007C27AE"/>
    <w:rsid w:val="007C28CF"/>
    <w:rsid w:val="007C2945"/>
    <w:rsid w:val="007C2E76"/>
    <w:rsid w:val="007C35F7"/>
    <w:rsid w:val="007C3BC7"/>
    <w:rsid w:val="007C3C94"/>
    <w:rsid w:val="007C4749"/>
    <w:rsid w:val="007C528F"/>
    <w:rsid w:val="007C5349"/>
    <w:rsid w:val="007C57E4"/>
    <w:rsid w:val="007C5AEE"/>
    <w:rsid w:val="007C63B7"/>
    <w:rsid w:val="007C7972"/>
    <w:rsid w:val="007C7E46"/>
    <w:rsid w:val="007D091D"/>
    <w:rsid w:val="007D107C"/>
    <w:rsid w:val="007D129F"/>
    <w:rsid w:val="007D1BDA"/>
    <w:rsid w:val="007D1DA8"/>
    <w:rsid w:val="007D1FA1"/>
    <w:rsid w:val="007D2058"/>
    <w:rsid w:val="007D2177"/>
    <w:rsid w:val="007D25F4"/>
    <w:rsid w:val="007D2785"/>
    <w:rsid w:val="007D2AB0"/>
    <w:rsid w:val="007D3201"/>
    <w:rsid w:val="007D3240"/>
    <w:rsid w:val="007D34BF"/>
    <w:rsid w:val="007D370D"/>
    <w:rsid w:val="007D4A5C"/>
    <w:rsid w:val="007D5927"/>
    <w:rsid w:val="007D6169"/>
    <w:rsid w:val="007D65E5"/>
    <w:rsid w:val="007D6656"/>
    <w:rsid w:val="007D6D8A"/>
    <w:rsid w:val="007D701F"/>
    <w:rsid w:val="007D72B1"/>
    <w:rsid w:val="007D7CE7"/>
    <w:rsid w:val="007E0A0A"/>
    <w:rsid w:val="007E0AC6"/>
    <w:rsid w:val="007E0B92"/>
    <w:rsid w:val="007E0C81"/>
    <w:rsid w:val="007E0E0B"/>
    <w:rsid w:val="007E1FDF"/>
    <w:rsid w:val="007E2070"/>
    <w:rsid w:val="007E21B7"/>
    <w:rsid w:val="007E2272"/>
    <w:rsid w:val="007E245C"/>
    <w:rsid w:val="007E2AD0"/>
    <w:rsid w:val="007E30AB"/>
    <w:rsid w:val="007E37A5"/>
    <w:rsid w:val="007E40F1"/>
    <w:rsid w:val="007E4229"/>
    <w:rsid w:val="007E42E1"/>
    <w:rsid w:val="007E43F1"/>
    <w:rsid w:val="007E445C"/>
    <w:rsid w:val="007E499D"/>
    <w:rsid w:val="007E5145"/>
    <w:rsid w:val="007E51AA"/>
    <w:rsid w:val="007E5759"/>
    <w:rsid w:val="007E5D04"/>
    <w:rsid w:val="007E5F04"/>
    <w:rsid w:val="007E6DDB"/>
    <w:rsid w:val="007E7732"/>
    <w:rsid w:val="007E7F4B"/>
    <w:rsid w:val="007F0A2E"/>
    <w:rsid w:val="007F0BA7"/>
    <w:rsid w:val="007F0BDC"/>
    <w:rsid w:val="007F1446"/>
    <w:rsid w:val="007F182F"/>
    <w:rsid w:val="007F184B"/>
    <w:rsid w:val="007F1CBB"/>
    <w:rsid w:val="007F1E19"/>
    <w:rsid w:val="007F2EA5"/>
    <w:rsid w:val="007F3D47"/>
    <w:rsid w:val="007F4801"/>
    <w:rsid w:val="007F4BE4"/>
    <w:rsid w:val="007F509F"/>
    <w:rsid w:val="007F58C7"/>
    <w:rsid w:val="007F5C35"/>
    <w:rsid w:val="007F6002"/>
    <w:rsid w:val="007F60A1"/>
    <w:rsid w:val="007F7A0F"/>
    <w:rsid w:val="008001A1"/>
    <w:rsid w:val="00800839"/>
    <w:rsid w:val="00800CC6"/>
    <w:rsid w:val="008010B2"/>
    <w:rsid w:val="0080140D"/>
    <w:rsid w:val="00802160"/>
    <w:rsid w:val="00802A05"/>
    <w:rsid w:val="00802DDF"/>
    <w:rsid w:val="00803326"/>
    <w:rsid w:val="0080348B"/>
    <w:rsid w:val="0080367B"/>
    <w:rsid w:val="00803AD7"/>
    <w:rsid w:val="00803C45"/>
    <w:rsid w:val="00804184"/>
    <w:rsid w:val="00804442"/>
    <w:rsid w:val="00805502"/>
    <w:rsid w:val="00805696"/>
    <w:rsid w:val="00805956"/>
    <w:rsid w:val="00805C45"/>
    <w:rsid w:val="00805E1A"/>
    <w:rsid w:val="00806237"/>
    <w:rsid w:val="00806DE5"/>
    <w:rsid w:val="008077AE"/>
    <w:rsid w:val="00807BF5"/>
    <w:rsid w:val="008100E6"/>
    <w:rsid w:val="008101A3"/>
    <w:rsid w:val="00810537"/>
    <w:rsid w:val="0081056C"/>
    <w:rsid w:val="0081082C"/>
    <w:rsid w:val="00810838"/>
    <w:rsid w:val="00811141"/>
    <w:rsid w:val="0081179C"/>
    <w:rsid w:val="008119A5"/>
    <w:rsid w:val="00811B7C"/>
    <w:rsid w:val="008123D4"/>
    <w:rsid w:val="00812445"/>
    <w:rsid w:val="00812B37"/>
    <w:rsid w:val="00812F69"/>
    <w:rsid w:val="00813285"/>
    <w:rsid w:val="008147F5"/>
    <w:rsid w:val="00814E54"/>
    <w:rsid w:val="00814FC8"/>
    <w:rsid w:val="00815566"/>
    <w:rsid w:val="00815584"/>
    <w:rsid w:val="00815A4C"/>
    <w:rsid w:val="00815D8F"/>
    <w:rsid w:val="00816B49"/>
    <w:rsid w:val="00816D92"/>
    <w:rsid w:val="008174E6"/>
    <w:rsid w:val="00817D6A"/>
    <w:rsid w:val="008207E0"/>
    <w:rsid w:val="00820EA3"/>
    <w:rsid w:val="0082229F"/>
    <w:rsid w:val="00822BD5"/>
    <w:rsid w:val="00822E24"/>
    <w:rsid w:val="00822F2E"/>
    <w:rsid w:val="00822F7C"/>
    <w:rsid w:val="0082323B"/>
    <w:rsid w:val="00823307"/>
    <w:rsid w:val="008234D6"/>
    <w:rsid w:val="00823578"/>
    <w:rsid w:val="0082397A"/>
    <w:rsid w:val="00823BC8"/>
    <w:rsid w:val="00823F0C"/>
    <w:rsid w:val="00824528"/>
    <w:rsid w:val="00824D18"/>
    <w:rsid w:val="008258BC"/>
    <w:rsid w:val="00826491"/>
    <w:rsid w:val="00826C34"/>
    <w:rsid w:val="00826D2F"/>
    <w:rsid w:val="0082753F"/>
    <w:rsid w:val="0082787A"/>
    <w:rsid w:val="00827F12"/>
    <w:rsid w:val="00830286"/>
    <w:rsid w:val="00830320"/>
    <w:rsid w:val="00830816"/>
    <w:rsid w:val="00830DE1"/>
    <w:rsid w:val="00831058"/>
    <w:rsid w:val="0083175D"/>
    <w:rsid w:val="00832493"/>
    <w:rsid w:val="0083291D"/>
    <w:rsid w:val="00832BB4"/>
    <w:rsid w:val="00832E35"/>
    <w:rsid w:val="00832F64"/>
    <w:rsid w:val="008331A2"/>
    <w:rsid w:val="00833D39"/>
    <w:rsid w:val="008358BF"/>
    <w:rsid w:val="00835B2E"/>
    <w:rsid w:val="00835FC9"/>
    <w:rsid w:val="00836C9C"/>
    <w:rsid w:val="0083755E"/>
    <w:rsid w:val="00840426"/>
    <w:rsid w:val="008406B4"/>
    <w:rsid w:val="00840C7C"/>
    <w:rsid w:val="008412AC"/>
    <w:rsid w:val="0084135A"/>
    <w:rsid w:val="00842873"/>
    <w:rsid w:val="00842C77"/>
    <w:rsid w:val="00843801"/>
    <w:rsid w:val="00843B4A"/>
    <w:rsid w:val="0084434B"/>
    <w:rsid w:val="00844972"/>
    <w:rsid w:val="00844D8E"/>
    <w:rsid w:val="0084548B"/>
    <w:rsid w:val="008464E3"/>
    <w:rsid w:val="00846AB8"/>
    <w:rsid w:val="00846D0B"/>
    <w:rsid w:val="008471A8"/>
    <w:rsid w:val="008505A4"/>
    <w:rsid w:val="008506ED"/>
    <w:rsid w:val="00850CFC"/>
    <w:rsid w:val="00852590"/>
    <w:rsid w:val="00852865"/>
    <w:rsid w:val="0085358F"/>
    <w:rsid w:val="0085360D"/>
    <w:rsid w:val="00853CD7"/>
    <w:rsid w:val="00853F71"/>
    <w:rsid w:val="00854954"/>
    <w:rsid w:val="008549B0"/>
    <w:rsid w:val="00855016"/>
    <w:rsid w:val="008555E0"/>
    <w:rsid w:val="00856C67"/>
    <w:rsid w:val="0085768D"/>
    <w:rsid w:val="00857DEE"/>
    <w:rsid w:val="00857FB3"/>
    <w:rsid w:val="008606B9"/>
    <w:rsid w:val="00860DAB"/>
    <w:rsid w:val="00861110"/>
    <w:rsid w:val="00862551"/>
    <w:rsid w:val="00862ACC"/>
    <w:rsid w:val="00862E55"/>
    <w:rsid w:val="00862EE8"/>
    <w:rsid w:val="00863086"/>
    <w:rsid w:val="008632E2"/>
    <w:rsid w:val="00863695"/>
    <w:rsid w:val="00864154"/>
    <w:rsid w:val="0086456F"/>
    <w:rsid w:val="00864B68"/>
    <w:rsid w:val="00865E52"/>
    <w:rsid w:val="00865ECB"/>
    <w:rsid w:val="00866041"/>
    <w:rsid w:val="008667F2"/>
    <w:rsid w:val="00866DFB"/>
    <w:rsid w:val="00866E48"/>
    <w:rsid w:val="00866FC5"/>
    <w:rsid w:val="00867767"/>
    <w:rsid w:val="00867A63"/>
    <w:rsid w:val="00870350"/>
    <w:rsid w:val="00870627"/>
    <w:rsid w:val="00870A88"/>
    <w:rsid w:val="008719FB"/>
    <w:rsid w:val="00872247"/>
    <w:rsid w:val="00872403"/>
    <w:rsid w:val="008724AA"/>
    <w:rsid w:val="0087304F"/>
    <w:rsid w:val="00873087"/>
    <w:rsid w:val="008733FE"/>
    <w:rsid w:val="00873F9D"/>
    <w:rsid w:val="008742A8"/>
    <w:rsid w:val="0087489E"/>
    <w:rsid w:val="00875895"/>
    <w:rsid w:val="00876143"/>
    <w:rsid w:val="008764DB"/>
    <w:rsid w:val="00876628"/>
    <w:rsid w:val="00877270"/>
    <w:rsid w:val="00877376"/>
    <w:rsid w:val="008775D0"/>
    <w:rsid w:val="00877DCB"/>
    <w:rsid w:val="00880A4F"/>
    <w:rsid w:val="00881228"/>
    <w:rsid w:val="00881999"/>
    <w:rsid w:val="00881DB6"/>
    <w:rsid w:val="008823D9"/>
    <w:rsid w:val="008826E8"/>
    <w:rsid w:val="00883240"/>
    <w:rsid w:val="00883478"/>
    <w:rsid w:val="00883AD0"/>
    <w:rsid w:val="00883D28"/>
    <w:rsid w:val="0088499A"/>
    <w:rsid w:val="00884DE8"/>
    <w:rsid w:val="0088502F"/>
    <w:rsid w:val="0088510F"/>
    <w:rsid w:val="008853CB"/>
    <w:rsid w:val="00885C39"/>
    <w:rsid w:val="00885DE2"/>
    <w:rsid w:val="008863FA"/>
    <w:rsid w:val="008866D0"/>
    <w:rsid w:val="00887141"/>
    <w:rsid w:val="008878A5"/>
    <w:rsid w:val="00890014"/>
    <w:rsid w:val="0089063A"/>
    <w:rsid w:val="00891C8C"/>
    <w:rsid w:val="00892280"/>
    <w:rsid w:val="008922D3"/>
    <w:rsid w:val="00892D7B"/>
    <w:rsid w:val="00893202"/>
    <w:rsid w:val="008940BB"/>
    <w:rsid w:val="008941EC"/>
    <w:rsid w:val="00894504"/>
    <w:rsid w:val="00894E92"/>
    <w:rsid w:val="008952EC"/>
    <w:rsid w:val="00895D6B"/>
    <w:rsid w:val="00895F34"/>
    <w:rsid w:val="008963F8"/>
    <w:rsid w:val="008966B2"/>
    <w:rsid w:val="00896A2B"/>
    <w:rsid w:val="00896BA2"/>
    <w:rsid w:val="00897546"/>
    <w:rsid w:val="00897932"/>
    <w:rsid w:val="00897CA2"/>
    <w:rsid w:val="008A03FD"/>
    <w:rsid w:val="008A0B3C"/>
    <w:rsid w:val="008A0D90"/>
    <w:rsid w:val="008A15CB"/>
    <w:rsid w:val="008A29B7"/>
    <w:rsid w:val="008A2D89"/>
    <w:rsid w:val="008A2EAE"/>
    <w:rsid w:val="008A3206"/>
    <w:rsid w:val="008A3E56"/>
    <w:rsid w:val="008A5291"/>
    <w:rsid w:val="008A54CD"/>
    <w:rsid w:val="008A5B79"/>
    <w:rsid w:val="008A6189"/>
    <w:rsid w:val="008A677E"/>
    <w:rsid w:val="008A6F73"/>
    <w:rsid w:val="008A709C"/>
    <w:rsid w:val="008A7398"/>
    <w:rsid w:val="008A73C7"/>
    <w:rsid w:val="008A75BA"/>
    <w:rsid w:val="008A75CE"/>
    <w:rsid w:val="008B06D9"/>
    <w:rsid w:val="008B0BD3"/>
    <w:rsid w:val="008B0F28"/>
    <w:rsid w:val="008B2065"/>
    <w:rsid w:val="008B265B"/>
    <w:rsid w:val="008B2EF7"/>
    <w:rsid w:val="008B30E2"/>
    <w:rsid w:val="008B351B"/>
    <w:rsid w:val="008B36B9"/>
    <w:rsid w:val="008B3725"/>
    <w:rsid w:val="008B3852"/>
    <w:rsid w:val="008B3946"/>
    <w:rsid w:val="008B42DA"/>
    <w:rsid w:val="008B473C"/>
    <w:rsid w:val="008B4A9A"/>
    <w:rsid w:val="008B54B0"/>
    <w:rsid w:val="008B5BA2"/>
    <w:rsid w:val="008B5D1F"/>
    <w:rsid w:val="008B5E3B"/>
    <w:rsid w:val="008B6DBE"/>
    <w:rsid w:val="008C05A0"/>
    <w:rsid w:val="008C085F"/>
    <w:rsid w:val="008C0D1A"/>
    <w:rsid w:val="008C0EB7"/>
    <w:rsid w:val="008C18E4"/>
    <w:rsid w:val="008C1A36"/>
    <w:rsid w:val="008C1A48"/>
    <w:rsid w:val="008C1D07"/>
    <w:rsid w:val="008C1D0B"/>
    <w:rsid w:val="008C1F31"/>
    <w:rsid w:val="008C1FBD"/>
    <w:rsid w:val="008C211F"/>
    <w:rsid w:val="008C228B"/>
    <w:rsid w:val="008C23F7"/>
    <w:rsid w:val="008C2994"/>
    <w:rsid w:val="008C2B9F"/>
    <w:rsid w:val="008C2C7E"/>
    <w:rsid w:val="008C2CF8"/>
    <w:rsid w:val="008C31A0"/>
    <w:rsid w:val="008C3ABE"/>
    <w:rsid w:val="008C3E1F"/>
    <w:rsid w:val="008C4570"/>
    <w:rsid w:val="008C49D3"/>
    <w:rsid w:val="008C49D8"/>
    <w:rsid w:val="008C501F"/>
    <w:rsid w:val="008C5794"/>
    <w:rsid w:val="008C5CFC"/>
    <w:rsid w:val="008C5D41"/>
    <w:rsid w:val="008C63EC"/>
    <w:rsid w:val="008C6844"/>
    <w:rsid w:val="008C6FDF"/>
    <w:rsid w:val="008C7582"/>
    <w:rsid w:val="008C795E"/>
    <w:rsid w:val="008C79D4"/>
    <w:rsid w:val="008D0BA8"/>
    <w:rsid w:val="008D18EC"/>
    <w:rsid w:val="008D1F9E"/>
    <w:rsid w:val="008D372A"/>
    <w:rsid w:val="008D3752"/>
    <w:rsid w:val="008D3C0B"/>
    <w:rsid w:val="008D4D7E"/>
    <w:rsid w:val="008D59BB"/>
    <w:rsid w:val="008D64F4"/>
    <w:rsid w:val="008D694B"/>
    <w:rsid w:val="008D6C9D"/>
    <w:rsid w:val="008D6EDB"/>
    <w:rsid w:val="008D71FB"/>
    <w:rsid w:val="008D7377"/>
    <w:rsid w:val="008D7524"/>
    <w:rsid w:val="008D78B0"/>
    <w:rsid w:val="008E1B1E"/>
    <w:rsid w:val="008E1FA5"/>
    <w:rsid w:val="008E20BA"/>
    <w:rsid w:val="008E27BD"/>
    <w:rsid w:val="008E2810"/>
    <w:rsid w:val="008E2DBB"/>
    <w:rsid w:val="008E364D"/>
    <w:rsid w:val="008E387A"/>
    <w:rsid w:val="008E3E83"/>
    <w:rsid w:val="008E438D"/>
    <w:rsid w:val="008E4E86"/>
    <w:rsid w:val="008E4F5B"/>
    <w:rsid w:val="008E5013"/>
    <w:rsid w:val="008E550A"/>
    <w:rsid w:val="008E5959"/>
    <w:rsid w:val="008E5AB2"/>
    <w:rsid w:val="008E5BA5"/>
    <w:rsid w:val="008E5CB2"/>
    <w:rsid w:val="008E5FFD"/>
    <w:rsid w:val="008E706C"/>
    <w:rsid w:val="008E75C7"/>
    <w:rsid w:val="008E75D5"/>
    <w:rsid w:val="008E7777"/>
    <w:rsid w:val="008F0225"/>
    <w:rsid w:val="008F0342"/>
    <w:rsid w:val="008F0849"/>
    <w:rsid w:val="008F0D6A"/>
    <w:rsid w:val="008F12A5"/>
    <w:rsid w:val="008F14AA"/>
    <w:rsid w:val="008F1A64"/>
    <w:rsid w:val="008F1B3E"/>
    <w:rsid w:val="008F2375"/>
    <w:rsid w:val="008F404B"/>
    <w:rsid w:val="008F4880"/>
    <w:rsid w:val="008F4907"/>
    <w:rsid w:val="008F5E1F"/>
    <w:rsid w:val="008F5ED0"/>
    <w:rsid w:val="008F65EF"/>
    <w:rsid w:val="008F6A97"/>
    <w:rsid w:val="008F6C38"/>
    <w:rsid w:val="008F6D77"/>
    <w:rsid w:val="00900AFC"/>
    <w:rsid w:val="009011C3"/>
    <w:rsid w:val="00901204"/>
    <w:rsid w:val="009013FB"/>
    <w:rsid w:val="00901533"/>
    <w:rsid w:val="00901990"/>
    <w:rsid w:val="00901C22"/>
    <w:rsid w:val="009023D8"/>
    <w:rsid w:val="00902583"/>
    <w:rsid w:val="009028AD"/>
    <w:rsid w:val="0090298A"/>
    <w:rsid w:val="00902E49"/>
    <w:rsid w:val="00902E71"/>
    <w:rsid w:val="009035DD"/>
    <w:rsid w:val="00903CF7"/>
    <w:rsid w:val="00903FCE"/>
    <w:rsid w:val="009040CD"/>
    <w:rsid w:val="00904262"/>
    <w:rsid w:val="00904327"/>
    <w:rsid w:val="00904A85"/>
    <w:rsid w:val="0090534C"/>
    <w:rsid w:val="009056EF"/>
    <w:rsid w:val="00905B34"/>
    <w:rsid w:val="0090600E"/>
    <w:rsid w:val="00906EFA"/>
    <w:rsid w:val="00907091"/>
    <w:rsid w:val="00907B40"/>
    <w:rsid w:val="00910280"/>
    <w:rsid w:val="009104C8"/>
    <w:rsid w:val="009104D8"/>
    <w:rsid w:val="0091068C"/>
    <w:rsid w:val="00910748"/>
    <w:rsid w:val="009120B0"/>
    <w:rsid w:val="0091223E"/>
    <w:rsid w:val="009126D4"/>
    <w:rsid w:val="00912B16"/>
    <w:rsid w:val="00912F30"/>
    <w:rsid w:val="00912FD7"/>
    <w:rsid w:val="009130F7"/>
    <w:rsid w:val="00913603"/>
    <w:rsid w:val="00914794"/>
    <w:rsid w:val="009152E0"/>
    <w:rsid w:val="00915371"/>
    <w:rsid w:val="00915620"/>
    <w:rsid w:val="00915753"/>
    <w:rsid w:val="00916610"/>
    <w:rsid w:val="009203B0"/>
    <w:rsid w:val="00920A1F"/>
    <w:rsid w:val="009212C0"/>
    <w:rsid w:val="0092142E"/>
    <w:rsid w:val="0092174A"/>
    <w:rsid w:val="009224C0"/>
    <w:rsid w:val="00922694"/>
    <w:rsid w:val="009226E4"/>
    <w:rsid w:val="00922770"/>
    <w:rsid w:val="00922F10"/>
    <w:rsid w:val="0092385C"/>
    <w:rsid w:val="00923ECD"/>
    <w:rsid w:val="00924214"/>
    <w:rsid w:val="00924DA3"/>
    <w:rsid w:val="00925046"/>
    <w:rsid w:val="0092542D"/>
    <w:rsid w:val="00925B28"/>
    <w:rsid w:val="00925C42"/>
    <w:rsid w:val="00925DCC"/>
    <w:rsid w:val="009261C7"/>
    <w:rsid w:val="00926229"/>
    <w:rsid w:val="009262E8"/>
    <w:rsid w:val="0092664B"/>
    <w:rsid w:val="00926747"/>
    <w:rsid w:val="00926A1D"/>
    <w:rsid w:val="00926D1A"/>
    <w:rsid w:val="0092720F"/>
    <w:rsid w:val="00927920"/>
    <w:rsid w:val="00927EF8"/>
    <w:rsid w:val="00931326"/>
    <w:rsid w:val="00931968"/>
    <w:rsid w:val="00932155"/>
    <w:rsid w:val="00932E7C"/>
    <w:rsid w:val="00932EFC"/>
    <w:rsid w:val="00933B23"/>
    <w:rsid w:val="00933C52"/>
    <w:rsid w:val="00934C59"/>
    <w:rsid w:val="00935C45"/>
    <w:rsid w:val="00935E1D"/>
    <w:rsid w:val="00935F8D"/>
    <w:rsid w:val="0093650C"/>
    <w:rsid w:val="00936AFF"/>
    <w:rsid w:val="00936BCB"/>
    <w:rsid w:val="00940520"/>
    <w:rsid w:val="00940C7F"/>
    <w:rsid w:val="00940FDA"/>
    <w:rsid w:val="0094182B"/>
    <w:rsid w:val="00941FD6"/>
    <w:rsid w:val="0094207D"/>
    <w:rsid w:val="00942336"/>
    <w:rsid w:val="0094255B"/>
    <w:rsid w:val="009425C3"/>
    <w:rsid w:val="00942897"/>
    <w:rsid w:val="00942A29"/>
    <w:rsid w:val="00943240"/>
    <w:rsid w:val="0094350D"/>
    <w:rsid w:val="00943552"/>
    <w:rsid w:val="009437C6"/>
    <w:rsid w:val="00943AF4"/>
    <w:rsid w:val="00943FAD"/>
    <w:rsid w:val="009440A5"/>
    <w:rsid w:val="00945251"/>
    <w:rsid w:val="009452B7"/>
    <w:rsid w:val="009454E8"/>
    <w:rsid w:val="00945B05"/>
    <w:rsid w:val="00945F5C"/>
    <w:rsid w:val="00945FA4"/>
    <w:rsid w:val="0094656E"/>
    <w:rsid w:val="00947A6B"/>
    <w:rsid w:val="009500E0"/>
    <w:rsid w:val="0095048D"/>
    <w:rsid w:val="00950C89"/>
    <w:rsid w:val="00950CC0"/>
    <w:rsid w:val="009515D5"/>
    <w:rsid w:val="0095169C"/>
    <w:rsid w:val="009517CE"/>
    <w:rsid w:val="00951847"/>
    <w:rsid w:val="00951CCF"/>
    <w:rsid w:val="00952318"/>
    <w:rsid w:val="00952BF7"/>
    <w:rsid w:val="009533C4"/>
    <w:rsid w:val="00953A9A"/>
    <w:rsid w:val="00953D36"/>
    <w:rsid w:val="009540AE"/>
    <w:rsid w:val="00954356"/>
    <w:rsid w:val="009546D9"/>
    <w:rsid w:val="00954912"/>
    <w:rsid w:val="00954BF9"/>
    <w:rsid w:val="00954ED2"/>
    <w:rsid w:val="0095556E"/>
    <w:rsid w:val="00956C29"/>
    <w:rsid w:val="00956EB0"/>
    <w:rsid w:val="00956EC5"/>
    <w:rsid w:val="00956F1C"/>
    <w:rsid w:val="00956F7E"/>
    <w:rsid w:val="00957461"/>
    <w:rsid w:val="009574AF"/>
    <w:rsid w:val="009574DD"/>
    <w:rsid w:val="00957677"/>
    <w:rsid w:val="00957C26"/>
    <w:rsid w:val="00957D13"/>
    <w:rsid w:val="00957FAB"/>
    <w:rsid w:val="0096009B"/>
    <w:rsid w:val="009601B4"/>
    <w:rsid w:val="00960AE8"/>
    <w:rsid w:val="009618A7"/>
    <w:rsid w:val="00962BB9"/>
    <w:rsid w:val="009633AD"/>
    <w:rsid w:val="00963DC6"/>
    <w:rsid w:val="0096452F"/>
    <w:rsid w:val="00964637"/>
    <w:rsid w:val="00964D10"/>
    <w:rsid w:val="00965220"/>
    <w:rsid w:val="009655CB"/>
    <w:rsid w:val="009659C7"/>
    <w:rsid w:val="00966167"/>
    <w:rsid w:val="009662B4"/>
    <w:rsid w:val="00966936"/>
    <w:rsid w:val="009678ED"/>
    <w:rsid w:val="00967AB6"/>
    <w:rsid w:val="0097077B"/>
    <w:rsid w:val="009708B1"/>
    <w:rsid w:val="009708CC"/>
    <w:rsid w:val="00971164"/>
    <w:rsid w:val="00971BFC"/>
    <w:rsid w:val="00971ED5"/>
    <w:rsid w:val="009727D1"/>
    <w:rsid w:val="009733F4"/>
    <w:rsid w:val="00973907"/>
    <w:rsid w:val="00974058"/>
    <w:rsid w:val="009748CF"/>
    <w:rsid w:val="00974D8F"/>
    <w:rsid w:val="00975325"/>
    <w:rsid w:val="0097578B"/>
    <w:rsid w:val="00976028"/>
    <w:rsid w:val="00976628"/>
    <w:rsid w:val="00977669"/>
    <w:rsid w:val="00977B68"/>
    <w:rsid w:val="009803F2"/>
    <w:rsid w:val="00981824"/>
    <w:rsid w:val="00981BE0"/>
    <w:rsid w:val="0098223C"/>
    <w:rsid w:val="0098257B"/>
    <w:rsid w:val="00983A54"/>
    <w:rsid w:val="00983AA5"/>
    <w:rsid w:val="00983FCB"/>
    <w:rsid w:val="0098459F"/>
    <w:rsid w:val="009845F6"/>
    <w:rsid w:val="00984E98"/>
    <w:rsid w:val="00985B6E"/>
    <w:rsid w:val="00986542"/>
    <w:rsid w:val="0098658F"/>
    <w:rsid w:val="00986AF8"/>
    <w:rsid w:val="00986BFD"/>
    <w:rsid w:val="00986FEB"/>
    <w:rsid w:val="009871BC"/>
    <w:rsid w:val="00987CC0"/>
    <w:rsid w:val="0099081C"/>
    <w:rsid w:val="00991556"/>
    <w:rsid w:val="00991698"/>
    <w:rsid w:val="00991833"/>
    <w:rsid w:val="0099183C"/>
    <w:rsid w:val="009918CF"/>
    <w:rsid w:val="00991A66"/>
    <w:rsid w:val="009921EB"/>
    <w:rsid w:val="00992565"/>
    <w:rsid w:val="0099329A"/>
    <w:rsid w:val="0099471F"/>
    <w:rsid w:val="009953D8"/>
    <w:rsid w:val="0099556E"/>
    <w:rsid w:val="00995FB7"/>
    <w:rsid w:val="0099675A"/>
    <w:rsid w:val="009967BB"/>
    <w:rsid w:val="009971CA"/>
    <w:rsid w:val="00997753"/>
    <w:rsid w:val="009A01EB"/>
    <w:rsid w:val="009A113E"/>
    <w:rsid w:val="009A14EC"/>
    <w:rsid w:val="009A2655"/>
    <w:rsid w:val="009A27B3"/>
    <w:rsid w:val="009A38EB"/>
    <w:rsid w:val="009A3CEE"/>
    <w:rsid w:val="009A4E72"/>
    <w:rsid w:val="009A5AC4"/>
    <w:rsid w:val="009A6EBD"/>
    <w:rsid w:val="009A6F48"/>
    <w:rsid w:val="009A7020"/>
    <w:rsid w:val="009A709A"/>
    <w:rsid w:val="009A749F"/>
    <w:rsid w:val="009B09E1"/>
    <w:rsid w:val="009B0F6E"/>
    <w:rsid w:val="009B18D9"/>
    <w:rsid w:val="009B1990"/>
    <w:rsid w:val="009B1B84"/>
    <w:rsid w:val="009B1D03"/>
    <w:rsid w:val="009B1D27"/>
    <w:rsid w:val="009B2891"/>
    <w:rsid w:val="009B30CE"/>
    <w:rsid w:val="009B4273"/>
    <w:rsid w:val="009B43CD"/>
    <w:rsid w:val="009B43F0"/>
    <w:rsid w:val="009B4487"/>
    <w:rsid w:val="009B4774"/>
    <w:rsid w:val="009B53BB"/>
    <w:rsid w:val="009B7454"/>
    <w:rsid w:val="009C000B"/>
    <w:rsid w:val="009C0626"/>
    <w:rsid w:val="009C0890"/>
    <w:rsid w:val="009C0933"/>
    <w:rsid w:val="009C0C1B"/>
    <w:rsid w:val="009C1809"/>
    <w:rsid w:val="009C1BFA"/>
    <w:rsid w:val="009C1EE1"/>
    <w:rsid w:val="009C2169"/>
    <w:rsid w:val="009C26C3"/>
    <w:rsid w:val="009C27FD"/>
    <w:rsid w:val="009C2817"/>
    <w:rsid w:val="009C28A1"/>
    <w:rsid w:val="009C295F"/>
    <w:rsid w:val="009C3333"/>
    <w:rsid w:val="009C3C22"/>
    <w:rsid w:val="009C427B"/>
    <w:rsid w:val="009C4E48"/>
    <w:rsid w:val="009C4FD1"/>
    <w:rsid w:val="009C588F"/>
    <w:rsid w:val="009C5A2E"/>
    <w:rsid w:val="009C5D91"/>
    <w:rsid w:val="009C6095"/>
    <w:rsid w:val="009C61BD"/>
    <w:rsid w:val="009C62C1"/>
    <w:rsid w:val="009C63C5"/>
    <w:rsid w:val="009C677F"/>
    <w:rsid w:val="009C690A"/>
    <w:rsid w:val="009C7017"/>
    <w:rsid w:val="009D08F1"/>
    <w:rsid w:val="009D0AAF"/>
    <w:rsid w:val="009D0B60"/>
    <w:rsid w:val="009D1CC2"/>
    <w:rsid w:val="009D292E"/>
    <w:rsid w:val="009D2C64"/>
    <w:rsid w:val="009D3511"/>
    <w:rsid w:val="009D3668"/>
    <w:rsid w:val="009D4C4E"/>
    <w:rsid w:val="009D4F4A"/>
    <w:rsid w:val="009D5506"/>
    <w:rsid w:val="009D581F"/>
    <w:rsid w:val="009D5B06"/>
    <w:rsid w:val="009D6886"/>
    <w:rsid w:val="009D68FA"/>
    <w:rsid w:val="009D6EBC"/>
    <w:rsid w:val="009D7938"/>
    <w:rsid w:val="009D7EE6"/>
    <w:rsid w:val="009E04EC"/>
    <w:rsid w:val="009E053D"/>
    <w:rsid w:val="009E0FAA"/>
    <w:rsid w:val="009E1B24"/>
    <w:rsid w:val="009E21F0"/>
    <w:rsid w:val="009E2951"/>
    <w:rsid w:val="009E336F"/>
    <w:rsid w:val="009E33D1"/>
    <w:rsid w:val="009E3E5B"/>
    <w:rsid w:val="009E3FB0"/>
    <w:rsid w:val="009E3FFC"/>
    <w:rsid w:val="009E41B6"/>
    <w:rsid w:val="009E4B1B"/>
    <w:rsid w:val="009E4E89"/>
    <w:rsid w:val="009E5800"/>
    <w:rsid w:val="009E61B5"/>
    <w:rsid w:val="009E6361"/>
    <w:rsid w:val="009E6673"/>
    <w:rsid w:val="009E6949"/>
    <w:rsid w:val="009E72A8"/>
    <w:rsid w:val="009F027A"/>
    <w:rsid w:val="009F049F"/>
    <w:rsid w:val="009F04F2"/>
    <w:rsid w:val="009F0CB4"/>
    <w:rsid w:val="009F140A"/>
    <w:rsid w:val="009F1891"/>
    <w:rsid w:val="009F201E"/>
    <w:rsid w:val="009F2D64"/>
    <w:rsid w:val="009F3FD8"/>
    <w:rsid w:val="009F4162"/>
    <w:rsid w:val="009F4B61"/>
    <w:rsid w:val="009F4CA1"/>
    <w:rsid w:val="009F4ED6"/>
    <w:rsid w:val="009F4ED7"/>
    <w:rsid w:val="009F5187"/>
    <w:rsid w:val="009F53D9"/>
    <w:rsid w:val="009F5EB1"/>
    <w:rsid w:val="009F6517"/>
    <w:rsid w:val="009F7188"/>
    <w:rsid w:val="009F7CE1"/>
    <w:rsid w:val="00A00ABD"/>
    <w:rsid w:val="00A01554"/>
    <w:rsid w:val="00A01888"/>
    <w:rsid w:val="00A01E4D"/>
    <w:rsid w:val="00A02884"/>
    <w:rsid w:val="00A02BAA"/>
    <w:rsid w:val="00A03B95"/>
    <w:rsid w:val="00A03BD2"/>
    <w:rsid w:val="00A041F1"/>
    <w:rsid w:val="00A056E0"/>
    <w:rsid w:val="00A059AB"/>
    <w:rsid w:val="00A07A4E"/>
    <w:rsid w:val="00A07CD7"/>
    <w:rsid w:val="00A07D5B"/>
    <w:rsid w:val="00A101A9"/>
    <w:rsid w:val="00A102A9"/>
    <w:rsid w:val="00A108BE"/>
    <w:rsid w:val="00A10AF8"/>
    <w:rsid w:val="00A10EF9"/>
    <w:rsid w:val="00A11B68"/>
    <w:rsid w:val="00A122EC"/>
    <w:rsid w:val="00A12E2A"/>
    <w:rsid w:val="00A13393"/>
    <w:rsid w:val="00A134FE"/>
    <w:rsid w:val="00A13941"/>
    <w:rsid w:val="00A14842"/>
    <w:rsid w:val="00A14ABC"/>
    <w:rsid w:val="00A16E22"/>
    <w:rsid w:val="00A16EDD"/>
    <w:rsid w:val="00A172E2"/>
    <w:rsid w:val="00A17C85"/>
    <w:rsid w:val="00A22582"/>
    <w:rsid w:val="00A236A4"/>
    <w:rsid w:val="00A23741"/>
    <w:rsid w:val="00A23CDD"/>
    <w:rsid w:val="00A23D2E"/>
    <w:rsid w:val="00A23F8A"/>
    <w:rsid w:val="00A241D5"/>
    <w:rsid w:val="00A24B58"/>
    <w:rsid w:val="00A24F11"/>
    <w:rsid w:val="00A254D6"/>
    <w:rsid w:val="00A25851"/>
    <w:rsid w:val="00A26069"/>
    <w:rsid w:val="00A26202"/>
    <w:rsid w:val="00A267B3"/>
    <w:rsid w:val="00A26988"/>
    <w:rsid w:val="00A27BA1"/>
    <w:rsid w:val="00A27D43"/>
    <w:rsid w:val="00A303F1"/>
    <w:rsid w:val="00A304CC"/>
    <w:rsid w:val="00A30860"/>
    <w:rsid w:val="00A318A6"/>
    <w:rsid w:val="00A327BB"/>
    <w:rsid w:val="00A32CB7"/>
    <w:rsid w:val="00A32D89"/>
    <w:rsid w:val="00A3305C"/>
    <w:rsid w:val="00A33883"/>
    <w:rsid w:val="00A33E2B"/>
    <w:rsid w:val="00A343EB"/>
    <w:rsid w:val="00A34ABC"/>
    <w:rsid w:val="00A3529E"/>
    <w:rsid w:val="00A359BE"/>
    <w:rsid w:val="00A36154"/>
    <w:rsid w:val="00A3707E"/>
    <w:rsid w:val="00A3782D"/>
    <w:rsid w:val="00A4060E"/>
    <w:rsid w:val="00A40881"/>
    <w:rsid w:val="00A40D2A"/>
    <w:rsid w:val="00A413FE"/>
    <w:rsid w:val="00A41A01"/>
    <w:rsid w:val="00A41D2D"/>
    <w:rsid w:val="00A424D2"/>
    <w:rsid w:val="00A42637"/>
    <w:rsid w:val="00A429C5"/>
    <w:rsid w:val="00A42AA2"/>
    <w:rsid w:val="00A42AAB"/>
    <w:rsid w:val="00A4313F"/>
    <w:rsid w:val="00A43A86"/>
    <w:rsid w:val="00A43B9A"/>
    <w:rsid w:val="00A4449F"/>
    <w:rsid w:val="00A44BA7"/>
    <w:rsid w:val="00A44C33"/>
    <w:rsid w:val="00A458FA"/>
    <w:rsid w:val="00A45FAF"/>
    <w:rsid w:val="00A4678A"/>
    <w:rsid w:val="00A46A00"/>
    <w:rsid w:val="00A46FC0"/>
    <w:rsid w:val="00A46FD5"/>
    <w:rsid w:val="00A4716C"/>
    <w:rsid w:val="00A47B1D"/>
    <w:rsid w:val="00A50185"/>
    <w:rsid w:val="00A5022C"/>
    <w:rsid w:val="00A5036B"/>
    <w:rsid w:val="00A50589"/>
    <w:rsid w:val="00A50669"/>
    <w:rsid w:val="00A506A9"/>
    <w:rsid w:val="00A5089E"/>
    <w:rsid w:val="00A50D05"/>
    <w:rsid w:val="00A511C4"/>
    <w:rsid w:val="00A51499"/>
    <w:rsid w:val="00A51A87"/>
    <w:rsid w:val="00A51BD9"/>
    <w:rsid w:val="00A51DA9"/>
    <w:rsid w:val="00A51E9A"/>
    <w:rsid w:val="00A52748"/>
    <w:rsid w:val="00A527B1"/>
    <w:rsid w:val="00A52C9F"/>
    <w:rsid w:val="00A52E1E"/>
    <w:rsid w:val="00A52EE2"/>
    <w:rsid w:val="00A5305A"/>
    <w:rsid w:val="00A530A4"/>
    <w:rsid w:val="00A53443"/>
    <w:rsid w:val="00A53D4A"/>
    <w:rsid w:val="00A53D51"/>
    <w:rsid w:val="00A53F53"/>
    <w:rsid w:val="00A5404E"/>
    <w:rsid w:val="00A54108"/>
    <w:rsid w:val="00A54839"/>
    <w:rsid w:val="00A55CAC"/>
    <w:rsid w:val="00A55D46"/>
    <w:rsid w:val="00A56C1E"/>
    <w:rsid w:val="00A57022"/>
    <w:rsid w:val="00A57205"/>
    <w:rsid w:val="00A574B3"/>
    <w:rsid w:val="00A57ADD"/>
    <w:rsid w:val="00A57FA8"/>
    <w:rsid w:val="00A60521"/>
    <w:rsid w:val="00A60561"/>
    <w:rsid w:val="00A6115D"/>
    <w:rsid w:val="00A61531"/>
    <w:rsid w:val="00A61FC5"/>
    <w:rsid w:val="00A620E2"/>
    <w:rsid w:val="00A623A9"/>
    <w:rsid w:val="00A625E1"/>
    <w:rsid w:val="00A627FE"/>
    <w:rsid w:val="00A62A02"/>
    <w:rsid w:val="00A62A2E"/>
    <w:rsid w:val="00A63279"/>
    <w:rsid w:val="00A637F7"/>
    <w:rsid w:val="00A63826"/>
    <w:rsid w:val="00A639BE"/>
    <w:rsid w:val="00A63C3B"/>
    <w:rsid w:val="00A63F33"/>
    <w:rsid w:val="00A64830"/>
    <w:rsid w:val="00A64D40"/>
    <w:rsid w:val="00A65AE0"/>
    <w:rsid w:val="00A6647B"/>
    <w:rsid w:val="00A665D4"/>
    <w:rsid w:val="00A70A3E"/>
    <w:rsid w:val="00A70F1F"/>
    <w:rsid w:val="00A7150C"/>
    <w:rsid w:val="00A71DC2"/>
    <w:rsid w:val="00A72E65"/>
    <w:rsid w:val="00A73296"/>
    <w:rsid w:val="00A73A52"/>
    <w:rsid w:val="00A73FBE"/>
    <w:rsid w:val="00A73FF8"/>
    <w:rsid w:val="00A7408A"/>
    <w:rsid w:val="00A7416A"/>
    <w:rsid w:val="00A753B4"/>
    <w:rsid w:val="00A754F2"/>
    <w:rsid w:val="00A759FE"/>
    <w:rsid w:val="00A75F02"/>
    <w:rsid w:val="00A75F6A"/>
    <w:rsid w:val="00A76042"/>
    <w:rsid w:val="00A76C75"/>
    <w:rsid w:val="00A76DAB"/>
    <w:rsid w:val="00A76E7A"/>
    <w:rsid w:val="00A76EDB"/>
    <w:rsid w:val="00A77219"/>
    <w:rsid w:val="00A7743D"/>
    <w:rsid w:val="00A77452"/>
    <w:rsid w:val="00A7776C"/>
    <w:rsid w:val="00A80A37"/>
    <w:rsid w:val="00A80B97"/>
    <w:rsid w:val="00A81207"/>
    <w:rsid w:val="00A82516"/>
    <w:rsid w:val="00A82B4E"/>
    <w:rsid w:val="00A844F1"/>
    <w:rsid w:val="00A849D8"/>
    <w:rsid w:val="00A84D22"/>
    <w:rsid w:val="00A84FE7"/>
    <w:rsid w:val="00A85693"/>
    <w:rsid w:val="00A85A67"/>
    <w:rsid w:val="00A86161"/>
    <w:rsid w:val="00A8616C"/>
    <w:rsid w:val="00A862F5"/>
    <w:rsid w:val="00A86780"/>
    <w:rsid w:val="00A869AF"/>
    <w:rsid w:val="00A86CFF"/>
    <w:rsid w:val="00A8751C"/>
    <w:rsid w:val="00A8780F"/>
    <w:rsid w:val="00A87A79"/>
    <w:rsid w:val="00A87AB5"/>
    <w:rsid w:val="00A87E46"/>
    <w:rsid w:val="00A907F0"/>
    <w:rsid w:val="00A91168"/>
    <w:rsid w:val="00A9153E"/>
    <w:rsid w:val="00A9178B"/>
    <w:rsid w:val="00A918B2"/>
    <w:rsid w:val="00A92265"/>
    <w:rsid w:val="00A923C0"/>
    <w:rsid w:val="00A9245D"/>
    <w:rsid w:val="00A925F2"/>
    <w:rsid w:val="00A92AFF"/>
    <w:rsid w:val="00A930CA"/>
    <w:rsid w:val="00A935C9"/>
    <w:rsid w:val="00A937D8"/>
    <w:rsid w:val="00A93D41"/>
    <w:rsid w:val="00A943E0"/>
    <w:rsid w:val="00A94590"/>
    <w:rsid w:val="00A94B83"/>
    <w:rsid w:val="00A95769"/>
    <w:rsid w:val="00A9578C"/>
    <w:rsid w:val="00A95972"/>
    <w:rsid w:val="00A973FD"/>
    <w:rsid w:val="00A97AA5"/>
    <w:rsid w:val="00AA0042"/>
    <w:rsid w:val="00AA00DF"/>
    <w:rsid w:val="00AA01A2"/>
    <w:rsid w:val="00AA06DF"/>
    <w:rsid w:val="00AA0734"/>
    <w:rsid w:val="00AA07B8"/>
    <w:rsid w:val="00AA1245"/>
    <w:rsid w:val="00AA1267"/>
    <w:rsid w:val="00AA1469"/>
    <w:rsid w:val="00AA14A2"/>
    <w:rsid w:val="00AA1602"/>
    <w:rsid w:val="00AA1801"/>
    <w:rsid w:val="00AA1F36"/>
    <w:rsid w:val="00AA1FC8"/>
    <w:rsid w:val="00AA2174"/>
    <w:rsid w:val="00AA2675"/>
    <w:rsid w:val="00AA28B6"/>
    <w:rsid w:val="00AA2EE9"/>
    <w:rsid w:val="00AA30CD"/>
    <w:rsid w:val="00AA3A5B"/>
    <w:rsid w:val="00AA47C1"/>
    <w:rsid w:val="00AA4A5F"/>
    <w:rsid w:val="00AA52DB"/>
    <w:rsid w:val="00AA58E8"/>
    <w:rsid w:val="00AA590F"/>
    <w:rsid w:val="00AA5AC2"/>
    <w:rsid w:val="00AA5C3B"/>
    <w:rsid w:val="00AA5F72"/>
    <w:rsid w:val="00AA619C"/>
    <w:rsid w:val="00AA634F"/>
    <w:rsid w:val="00AA63C6"/>
    <w:rsid w:val="00AA677E"/>
    <w:rsid w:val="00AA6AF2"/>
    <w:rsid w:val="00AA6C01"/>
    <w:rsid w:val="00AA73C8"/>
    <w:rsid w:val="00AA75E8"/>
    <w:rsid w:val="00AA79F8"/>
    <w:rsid w:val="00AA7AC4"/>
    <w:rsid w:val="00AA7BB2"/>
    <w:rsid w:val="00AB0297"/>
    <w:rsid w:val="00AB0678"/>
    <w:rsid w:val="00AB0DC8"/>
    <w:rsid w:val="00AB0F26"/>
    <w:rsid w:val="00AB0F85"/>
    <w:rsid w:val="00AB11B4"/>
    <w:rsid w:val="00AB21AE"/>
    <w:rsid w:val="00AB2CAB"/>
    <w:rsid w:val="00AB4448"/>
    <w:rsid w:val="00AB49A6"/>
    <w:rsid w:val="00AB4CED"/>
    <w:rsid w:val="00AB5729"/>
    <w:rsid w:val="00AB581D"/>
    <w:rsid w:val="00AB5E0F"/>
    <w:rsid w:val="00AB64F8"/>
    <w:rsid w:val="00AB6AB5"/>
    <w:rsid w:val="00AB6D5D"/>
    <w:rsid w:val="00AB7761"/>
    <w:rsid w:val="00AB7E3B"/>
    <w:rsid w:val="00AC019A"/>
    <w:rsid w:val="00AC0256"/>
    <w:rsid w:val="00AC0332"/>
    <w:rsid w:val="00AC059E"/>
    <w:rsid w:val="00AC0E68"/>
    <w:rsid w:val="00AC2598"/>
    <w:rsid w:val="00AC28C6"/>
    <w:rsid w:val="00AC2E18"/>
    <w:rsid w:val="00AC3492"/>
    <w:rsid w:val="00AC4742"/>
    <w:rsid w:val="00AC4BD5"/>
    <w:rsid w:val="00AC4CAE"/>
    <w:rsid w:val="00AC4E17"/>
    <w:rsid w:val="00AC55FA"/>
    <w:rsid w:val="00AC57E6"/>
    <w:rsid w:val="00AC5D09"/>
    <w:rsid w:val="00AC692F"/>
    <w:rsid w:val="00AC7634"/>
    <w:rsid w:val="00AC7B26"/>
    <w:rsid w:val="00AC7FB3"/>
    <w:rsid w:val="00AD0DB9"/>
    <w:rsid w:val="00AD0E4F"/>
    <w:rsid w:val="00AD15A2"/>
    <w:rsid w:val="00AD1B71"/>
    <w:rsid w:val="00AD246B"/>
    <w:rsid w:val="00AD2DDC"/>
    <w:rsid w:val="00AD3B54"/>
    <w:rsid w:val="00AD3C18"/>
    <w:rsid w:val="00AD42CC"/>
    <w:rsid w:val="00AD4319"/>
    <w:rsid w:val="00AD4B52"/>
    <w:rsid w:val="00AD5049"/>
    <w:rsid w:val="00AD5266"/>
    <w:rsid w:val="00AD5401"/>
    <w:rsid w:val="00AD549A"/>
    <w:rsid w:val="00AD57FF"/>
    <w:rsid w:val="00AD5CE5"/>
    <w:rsid w:val="00AD5F91"/>
    <w:rsid w:val="00AD6801"/>
    <w:rsid w:val="00AD6C14"/>
    <w:rsid w:val="00AD6C2B"/>
    <w:rsid w:val="00AD7ED1"/>
    <w:rsid w:val="00AE0D53"/>
    <w:rsid w:val="00AE0FA7"/>
    <w:rsid w:val="00AE0FD7"/>
    <w:rsid w:val="00AE1715"/>
    <w:rsid w:val="00AE1BBA"/>
    <w:rsid w:val="00AE2211"/>
    <w:rsid w:val="00AE2BD1"/>
    <w:rsid w:val="00AE2C94"/>
    <w:rsid w:val="00AE2F55"/>
    <w:rsid w:val="00AE33DB"/>
    <w:rsid w:val="00AE3D8C"/>
    <w:rsid w:val="00AE43A1"/>
    <w:rsid w:val="00AE43DF"/>
    <w:rsid w:val="00AE467D"/>
    <w:rsid w:val="00AE5BC3"/>
    <w:rsid w:val="00AE67C6"/>
    <w:rsid w:val="00AE6FBE"/>
    <w:rsid w:val="00AE7E19"/>
    <w:rsid w:val="00AF050E"/>
    <w:rsid w:val="00AF0A33"/>
    <w:rsid w:val="00AF0AA5"/>
    <w:rsid w:val="00AF14AC"/>
    <w:rsid w:val="00AF39D3"/>
    <w:rsid w:val="00AF4549"/>
    <w:rsid w:val="00AF4A35"/>
    <w:rsid w:val="00AF4B01"/>
    <w:rsid w:val="00AF4C15"/>
    <w:rsid w:val="00AF4D36"/>
    <w:rsid w:val="00AF5C01"/>
    <w:rsid w:val="00AF655F"/>
    <w:rsid w:val="00AF6724"/>
    <w:rsid w:val="00AF6830"/>
    <w:rsid w:val="00AF6E7D"/>
    <w:rsid w:val="00AF70E6"/>
    <w:rsid w:val="00AF78DE"/>
    <w:rsid w:val="00AF793C"/>
    <w:rsid w:val="00B00133"/>
    <w:rsid w:val="00B00270"/>
    <w:rsid w:val="00B00A2F"/>
    <w:rsid w:val="00B00CB9"/>
    <w:rsid w:val="00B00D47"/>
    <w:rsid w:val="00B00EDB"/>
    <w:rsid w:val="00B01365"/>
    <w:rsid w:val="00B01A21"/>
    <w:rsid w:val="00B02444"/>
    <w:rsid w:val="00B02924"/>
    <w:rsid w:val="00B02961"/>
    <w:rsid w:val="00B03075"/>
    <w:rsid w:val="00B034A3"/>
    <w:rsid w:val="00B0402A"/>
    <w:rsid w:val="00B040B1"/>
    <w:rsid w:val="00B04346"/>
    <w:rsid w:val="00B04758"/>
    <w:rsid w:val="00B0499C"/>
    <w:rsid w:val="00B05639"/>
    <w:rsid w:val="00B0572D"/>
    <w:rsid w:val="00B05980"/>
    <w:rsid w:val="00B06A12"/>
    <w:rsid w:val="00B06B98"/>
    <w:rsid w:val="00B1002F"/>
    <w:rsid w:val="00B1108C"/>
    <w:rsid w:val="00B11E7F"/>
    <w:rsid w:val="00B13646"/>
    <w:rsid w:val="00B13BF3"/>
    <w:rsid w:val="00B1439D"/>
    <w:rsid w:val="00B147EC"/>
    <w:rsid w:val="00B14BD8"/>
    <w:rsid w:val="00B15E2F"/>
    <w:rsid w:val="00B16071"/>
    <w:rsid w:val="00B1623E"/>
    <w:rsid w:val="00B1644D"/>
    <w:rsid w:val="00B16853"/>
    <w:rsid w:val="00B169D9"/>
    <w:rsid w:val="00B16B60"/>
    <w:rsid w:val="00B16CBA"/>
    <w:rsid w:val="00B177F5"/>
    <w:rsid w:val="00B2012B"/>
    <w:rsid w:val="00B2099D"/>
    <w:rsid w:val="00B222AD"/>
    <w:rsid w:val="00B22D47"/>
    <w:rsid w:val="00B22E09"/>
    <w:rsid w:val="00B2307C"/>
    <w:rsid w:val="00B239ED"/>
    <w:rsid w:val="00B23BFE"/>
    <w:rsid w:val="00B24069"/>
    <w:rsid w:val="00B2414C"/>
    <w:rsid w:val="00B24F5B"/>
    <w:rsid w:val="00B2533A"/>
    <w:rsid w:val="00B257A2"/>
    <w:rsid w:val="00B258D1"/>
    <w:rsid w:val="00B2625A"/>
    <w:rsid w:val="00B263A5"/>
    <w:rsid w:val="00B26650"/>
    <w:rsid w:val="00B26776"/>
    <w:rsid w:val="00B26873"/>
    <w:rsid w:val="00B26B24"/>
    <w:rsid w:val="00B276BC"/>
    <w:rsid w:val="00B30546"/>
    <w:rsid w:val="00B31107"/>
    <w:rsid w:val="00B31187"/>
    <w:rsid w:val="00B31800"/>
    <w:rsid w:val="00B31E47"/>
    <w:rsid w:val="00B3202F"/>
    <w:rsid w:val="00B3276C"/>
    <w:rsid w:val="00B33384"/>
    <w:rsid w:val="00B335AA"/>
    <w:rsid w:val="00B33B4E"/>
    <w:rsid w:val="00B34556"/>
    <w:rsid w:val="00B349F0"/>
    <w:rsid w:val="00B34A2E"/>
    <w:rsid w:val="00B34C5C"/>
    <w:rsid w:val="00B3593E"/>
    <w:rsid w:val="00B35F00"/>
    <w:rsid w:val="00B36FCA"/>
    <w:rsid w:val="00B37526"/>
    <w:rsid w:val="00B37745"/>
    <w:rsid w:val="00B37F4B"/>
    <w:rsid w:val="00B40A41"/>
    <w:rsid w:val="00B40C3E"/>
    <w:rsid w:val="00B40EBF"/>
    <w:rsid w:val="00B41D23"/>
    <w:rsid w:val="00B42046"/>
    <w:rsid w:val="00B4209B"/>
    <w:rsid w:val="00B431B7"/>
    <w:rsid w:val="00B431ED"/>
    <w:rsid w:val="00B441C6"/>
    <w:rsid w:val="00B446AA"/>
    <w:rsid w:val="00B456F7"/>
    <w:rsid w:val="00B459C0"/>
    <w:rsid w:val="00B46262"/>
    <w:rsid w:val="00B4729F"/>
    <w:rsid w:val="00B472B9"/>
    <w:rsid w:val="00B47626"/>
    <w:rsid w:val="00B50058"/>
    <w:rsid w:val="00B5095A"/>
    <w:rsid w:val="00B50BB3"/>
    <w:rsid w:val="00B51392"/>
    <w:rsid w:val="00B51A87"/>
    <w:rsid w:val="00B51CD2"/>
    <w:rsid w:val="00B5232B"/>
    <w:rsid w:val="00B5289B"/>
    <w:rsid w:val="00B52E39"/>
    <w:rsid w:val="00B530F1"/>
    <w:rsid w:val="00B532B3"/>
    <w:rsid w:val="00B53626"/>
    <w:rsid w:val="00B54123"/>
    <w:rsid w:val="00B54326"/>
    <w:rsid w:val="00B54546"/>
    <w:rsid w:val="00B54AA2"/>
    <w:rsid w:val="00B555E4"/>
    <w:rsid w:val="00B558F8"/>
    <w:rsid w:val="00B55D69"/>
    <w:rsid w:val="00B55FD4"/>
    <w:rsid w:val="00B562EA"/>
    <w:rsid w:val="00B56308"/>
    <w:rsid w:val="00B5752E"/>
    <w:rsid w:val="00B577FB"/>
    <w:rsid w:val="00B609DF"/>
    <w:rsid w:val="00B609E3"/>
    <w:rsid w:val="00B61071"/>
    <w:rsid w:val="00B611E4"/>
    <w:rsid w:val="00B611E7"/>
    <w:rsid w:val="00B61225"/>
    <w:rsid w:val="00B61537"/>
    <w:rsid w:val="00B6291B"/>
    <w:rsid w:val="00B636C9"/>
    <w:rsid w:val="00B63B29"/>
    <w:rsid w:val="00B63C2B"/>
    <w:rsid w:val="00B63ED3"/>
    <w:rsid w:val="00B64203"/>
    <w:rsid w:val="00B64465"/>
    <w:rsid w:val="00B64C1F"/>
    <w:rsid w:val="00B650B4"/>
    <w:rsid w:val="00B6566A"/>
    <w:rsid w:val="00B656C2"/>
    <w:rsid w:val="00B6653C"/>
    <w:rsid w:val="00B66A0C"/>
    <w:rsid w:val="00B6776B"/>
    <w:rsid w:val="00B67CDD"/>
    <w:rsid w:val="00B67DF4"/>
    <w:rsid w:val="00B67F38"/>
    <w:rsid w:val="00B67F83"/>
    <w:rsid w:val="00B70055"/>
    <w:rsid w:val="00B7015C"/>
    <w:rsid w:val="00B701B4"/>
    <w:rsid w:val="00B7075B"/>
    <w:rsid w:val="00B70D15"/>
    <w:rsid w:val="00B7196A"/>
    <w:rsid w:val="00B71A79"/>
    <w:rsid w:val="00B71AAA"/>
    <w:rsid w:val="00B72154"/>
    <w:rsid w:val="00B72328"/>
    <w:rsid w:val="00B725A9"/>
    <w:rsid w:val="00B727E4"/>
    <w:rsid w:val="00B728EF"/>
    <w:rsid w:val="00B731F4"/>
    <w:rsid w:val="00B73461"/>
    <w:rsid w:val="00B73922"/>
    <w:rsid w:val="00B73B36"/>
    <w:rsid w:val="00B74889"/>
    <w:rsid w:val="00B748FD"/>
    <w:rsid w:val="00B74A3F"/>
    <w:rsid w:val="00B75114"/>
    <w:rsid w:val="00B7511D"/>
    <w:rsid w:val="00B7526D"/>
    <w:rsid w:val="00B754F5"/>
    <w:rsid w:val="00B759C5"/>
    <w:rsid w:val="00B75DE4"/>
    <w:rsid w:val="00B761BD"/>
    <w:rsid w:val="00B767CC"/>
    <w:rsid w:val="00B77618"/>
    <w:rsid w:val="00B7767B"/>
    <w:rsid w:val="00B8000A"/>
    <w:rsid w:val="00B802BE"/>
    <w:rsid w:val="00B80ACF"/>
    <w:rsid w:val="00B80C51"/>
    <w:rsid w:val="00B80CC0"/>
    <w:rsid w:val="00B8155B"/>
    <w:rsid w:val="00B81D4E"/>
    <w:rsid w:val="00B81E45"/>
    <w:rsid w:val="00B82262"/>
    <w:rsid w:val="00B82C52"/>
    <w:rsid w:val="00B83B0B"/>
    <w:rsid w:val="00B847CB"/>
    <w:rsid w:val="00B84A07"/>
    <w:rsid w:val="00B84E75"/>
    <w:rsid w:val="00B84EF3"/>
    <w:rsid w:val="00B84F49"/>
    <w:rsid w:val="00B853A3"/>
    <w:rsid w:val="00B85514"/>
    <w:rsid w:val="00B85AD5"/>
    <w:rsid w:val="00B85B94"/>
    <w:rsid w:val="00B85BA4"/>
    <w:rsid w:val="00B85C59"/>
    <w:rsid w:val="00B86152"/>
    <w:rsid w:val="00B86403"/>
    <w:rsid w:val="00B864F9"/>
    <w:rsid w:val="00B86856"/>
    <w:rsid w:val="00B86FE3"/>
    <w:rsid w:val="00B874EA"/>
    <w:rsid w:val="00B876D7"/>
    <w:rsid w:val="00B87C83"/>
    <w:rsid w:val="00B912B5"/>
    <w:rsid w:val="00B91995"/>
    <w:rsid w:val="00B92688"/>
    <w:rsid w:val="00B927AC"/>
    <w:rsid w:val="00B92D45"/>
    <w:rsid w:val="00B92E34"/>
    <w:rsid w:val="00B9312B"/>
    <w:rsid w:val="00B933EE"/>
    <w:rsid w:val="00B93423"/>
    <w:rsid w:val="00B93A7B"/>
    <w:rsid w:val="00B9402B"/>
    <w:rsid w:val="00B94803"/>
    <w:rsid w:val="00B95492"/>
    <w:rsid w:val="00B95F5D"/>
    <w:rsid w:val="00B96062"/>
    <w:rsid w:val="00B96120"/>
    <w:rsid w:val="00B96226"/>
    <w:rsid w:val="00B96953"/>
    <w:rsid w:val="00B974B7"/>
    <w:rsid w:val="00B97540"/>
    <w:rsid w:val="00B97707"/>
    <w:rsid w:val="00B97A3F"/>
    <w:rsid w:val="00B97B45"/>
    <w:rsid w:val="00BA020C"/>
    <w:rsid w:val="00BA0238"/>
    <w:rsid w:val="00BA031D"/>
    <w:rsid w:val="00BA06B0"/>
    <w:rsid w:val="00BA0CF0"/>
    <w:rsid w:val="00BA0EA9"/>
    <w:rsid w:val="00BA1222"/>
    <w:rsid w:val="00BA146F"/>
    <w:rsid w:val="00BA1472"/>
    <w:rsid w:val="00BA1570"/>
    <w:rsid w:val="00BA22FA"/>
    <w:rsid w:val="00BA3686"/>
    <w:rsid w:val="00BA3954"/>
    <w:rsid w:val="00BA3B36"/>
    <w:rsid w:val="00BA3E9D"/>
    <w:rsid w:val="00BA4265"/>
    <w:rsid w:val="00BA434D"/>
    <w:rsid w:val="00BA445F"/>
    <w:rsid w:val="00BA4777"/>
    <w:rsid w:val="00BA51A8"/>
    <w:rsid w:val="00BA5E81"/>
    <w:rsid w:val="00BA63BC"/>
    <w:rsid w:val="00BA6475"/>
    <w:rsid w:val="00BA65F5"/>
    <w:rsid w:val="00BA6946"/>
    <w:rsid w:val="00BA6A40"/>
    <w:rsid w:val="00BA6C72"/>
    <w:rsid w:val="00BA6DCA"/>
    <w:rsid w:val="00BA7B3A"/>
    <w:rsid w:val="00BB00FC"/>
    <w:rsid w:val="00BB0440"/>
    <w:rsid w:val="00BB0D2C"/>
    <w:rsid w:val="00BB1825"/>
    <w:rsid w:val="00BB1888"/>
    <w:rsid w:val="00BB190E"/>
    <w:rsid w:val="00BB199F"/>
    <w:rsid w:val="00BB1B64"/>
    <w:rsid w:val="00BB22DA"/>
    <w:rsid w:val="00BB25F7"/>
    <w:rsid w:val="00BB2BBA"/>
    <w:rsid w:val="00BB2DFE"/>
    <w:rsid w:val="00BB346C"/>
    <w:rsid w:val="00BB3BE0"/>
    <w:rsid w:val="00BB41C5"/>
    <w:rsid w:val="00BB4432"/>
    <w:rsid w:val="00BB4965"/>
    <w:rsid w:val="00BB4F7C"/>
    <w:rsid w:val="00BB4F9C"/>
    <w:rsid w:val="00BB50C1"/>
    <w:rsid w:val="00BB58A1"/>
    <w:rsid w:val="00BB5E57"/>
    <w:rsid w:val="00BB5E94"/>
    <w:rsid w:val="00BB5EBC"/>
    <w:rsid w:val="00BB5FF4"/>
    <w:rsid w:val="00BB794D"/>
    <w:rsid w:val="00BC019A"/>
    <w:rsid w:val="00BC0657"/>
    <w:rsid w:val="00BC0890"/>
    <w:rsid w:val="00BC0B3D"/>
    <w:rsid w:val="00BC0CD3"/>
    <w:rsid w:val="00BC1C2A"/>
    <w:rsid w:val="00BC2501"/>
    <w:rsid w:val="00BC2601"/>
    <w:rsid w:val="00BC353C"/>
    <w:rsid w:val="00BC43F6"/>
    <w:rsid w:val="00BC45C2"/>
    <w:rsid w:val="00BC4F14"/>
    <w:rsid w:val="00BC50A6"/>
    <w:rsid w:val="00BC52E1"/>
    <w:rsid w:val="00BC57A3"/>
    <w:rsid w:val="00BC5929"/>
    <w:rsid w:val="00BC5E3E"/>
    <w:rsid w:val="00BC5FA5"/>
    <w:rsid w:val="00BC6000"/>
    <w:rsid w:val="00BC6006"/>
    <w:rsid w:val="00BC6C77"/>
    <w:rsid w:val="00BC6EFD"/>
    <w:rsid w:val="00BC7BE5"/>
    <w:rsid w:val="00BC7E8B"/>
    <w:rsid w:val="00BD0052"/>
    <w:rsid w:val="00BD05DC"/>
    <w:rsid w:val="00BD0799"/>
    <w:rsid w:val="00BD0966"/>
    <w:rsid w:val="00BD0CE2"/>
    <w:rsid w:val="00BD0E57"/>
    <w:rsid w:val="00BD0EAA"/>
    <w:rsid w:val="00BD142B"/>
    <w:rsid w:val="00BD21CC"/>
    <w:rsid w:val="00BD2927"/>
    <w:rsid w:val="00BD29E6"/>
    <w:rsid w:val="00BD335A"/>
    <w:rsid w:val="00BD3D9A"/>
    <w:rsid w:val="00BD40A6"/>
    <w:rsid w:val="00BD4396"/>
    <w:rsid w:val="00BD45A3"/>
    <w:rsid w:val="00BD65CD"/>
    <w:rsid w:val="00BD668D"/>
    <w:rsid w:val="00BD6BF2"/>
    <w:rsid w:val="00BD6FB2"/>
    <w:rsid w:val="00BD7194"/>
    <w:rsid w:val="00BD7EEF"/>
    <w:rsid w:val="00BE00EF"/>
    <w:rsid w:val="00BE0781"/>
    <w:rsid w:val="00BE0808"/>
    <w:rsid w:val="00BE0918"/>
    <w:rsid w:val="00BE0B76"/>
    <w:rsid w:val="00BE1077"/>
    <w:rsid w:val="00BE1125"/>
    <w:rsid w:val="00BE19FF"/>
    <w:rsid w:val="00BE3298"/>
    <w:rsid w:val="00BE3772"/>
    <w:rsid w:val="00BE40A4"/>
    <w:rsid w:val="00BE4505"/>
    <w:rsid w:val="00BE4525"/>
    <w:rsid w:val="00BE4553"/>
    <w:rsid w:val="00BE4BDA"/>
    <w:rsid w:val="00BE52D8"/>
    <w:rsid w:val="00BE6376"/>
    <w:rsid w:val="00BE687B"/>
    <w:rsid w:val="00BE7450"/>
    <w:rsid w:val="00BE794A"/>
    <w:rsid w:val="00BF050D"/>
    <w:rsid w:val="00BF0963"/>
    <w:rsid w:val="00BF0A9C"/>
    <w:rsid w:val="00BF13D6"/>
    <w:rsid w:val="00BF1761"/>
    <w:rsid w:val="00BF1A8F"/>
    <w:rsid w:val="00BF1F79"/>
    <w:rsid w:val="00BF2116"/>
    <w:rsid w:val="00BF228D"/>
    <w:rsid w:val="00BF26A0"/>
    <w:rsid w:val="00BF2B87"/>
    <w:rsid w:val="00BF2F8F"/>
    <w:rsid w:val="00BF4314"/>
    <w:rsid w:val="00BF47DC"/>
    <w:rsid w:val="00BF48A5"/>
    <w:rsid w:val="00BF4C97"/>
    <w:rsid w:val="00BF5688"/>
    <w:rsid w:val="00BF5CE0"/>
    <w:rsid w:val="00BF62BD"/>
    <w:rsid w:val="00BF6303"/>
    <w:rsid w:val="00BF67F5"/>
    <w:rsid w:val="00BF693E"/>
    <w:rsid w:val="00BF6998"/>
    <w:rsid w:val="00BF6B96"/>
    <w:rsid w:val="00BF7532"/>
    <w:rsid w:val="00BF7C4F"/>
    <w:rsid w:val="00BF7D2E"/>
    <w:rsid w:val="00C00531"/>
    <w:rsid w:val="00C00564"/>
    <w:rsid w:val="00C02E8E"/>
    <w:rsid w:val="00C03AEF"/>
    <w:rsid w:val="00C048A2"/>
    <w:rsid w:val="00C04E2B"/>
    <w:rsid w:val="00C05240"/>
    <w:rsid w:val="00C05AEF"/>
    <w:rsid w:val="00C05FAA"/>
    <w:rsid w:val="00C066BE"/>
    <w:rsid w:val="00C06A76"/>
    <w:rsid w:val="00C071D0"/>
    <w:rsid w:val="00C0760B"/>
    <w:rsid w:val="00C1020B"/>
    <w:rsid w:val="00C102F9"/>
    <w:rsid w:val="00C10B9D"/>
    <w:rsid w:val="00C10CC8"/>
    <w:rsid w:val="00C1142A"/>
    <w:rsid w:val="00C119A5"/>
    <w:rsid w:val="00C12AB3"/>
    <w:rsid w:val="00C13126"/>
    <w:rsid w:val="00C132B5"/>
    <w:rsid w:val="00C135A5"/>
    <w:rsid w:val="00C13BCD"/>
    <w:rsid w:val="00C14601"/>
    <w:rsid w:val="00C1471D"/>
    <w:rsid w:val="00C151E7"/>
    <w:rsid w:val="00C159B1"/>
    <w:rsid w:val="00C15B0A"/>
    <w:rsid w:val="00C160F0"/>
    <w:rsid w:val="00C1623E"/>
    <w:rsid w:val="00C163AC"/>
    <w:rsid w:val="00C16B99"/>
    <w:rsid w:val="00C16BF7"/>
    <w:rsid w:val="00C1710D"/>
    <w:rsid w:val="00C17998"/>
    <w:rsid w:val="00C17CC9"/>
    <w:rsid w:val="00C17FA3"/>
    <w:rsid w:val="00C20A70"/>
    <w:rsid w:val="00C20C3E"/>
    <w:rsid w:val="00C20F82"/>
    <w:rsid w:val="00C210C8"/>
    <w:rsid w:val="00C21463"/>
    <w:rsid w:val="00C215FE"/>
    <w:rsid w:val="00C22648"/>
    <w:rsid w:val="00C22936"/>
    <w:rsid w:val="00C22AA4"/>
    <w:rsid w:val="00C237D5"/>
    <w:rsid w:val="00C2447C"/>
    <w:rsid w:val="00C2465F"/>
    <w:rsid w:val="00C24B34"/>
    <w:rsid w:val="00C25451"/>
    <w:rsid w:val="00C25C69"/>
    <w:rsid w:val="00C269B6"/>
    <w:rsid w:val="00C26E7A"/>
    <w:rsid w:val="00C27419"/>
    <w:rsid w:val="00C274F9"/>
    <w:rsid w:val="00C27C62"/>
    <w:rsid w:val="00C30354"/>
    <w:rsid w:val="00C30624"/>
    <w:rsid w:val="00C306ED"/>
    <w:rsid w:val="00C309EE"/>
    <w:rsid w:val="00C30C65"/>
    <w:rsid w:val="00C32DB5"/>
    <w:rsid w:val="00C33639"/>
    <w:rsid w:val="00C342EC"/>
    <w:rsid w:val="00C34513"/>
    <w:rsid w:val="00C34839"/>
    <w:rsid w:val="00C35BB9"/>
    <w:rsid w:val="00C35F07"/>
    <w:rsid w:val="00C35FD1"/>
    <w:rsid w:val="00C360EA"/>
    <w:rsid w:val="00C3694E"/>
    <w:rsid w:val="00C36BC9"/>
    <w:rsid w:val="00C372E0"/>
    <w:rsid w:val="00C37C7C"/>
    <w:rsid w:val="00C4022F"/>
    <w:rsid w:val="00C405BE"/>
    <w:rsid w:val="00C4097C"/>
    <w:rsid w:val="00C417DD"/>
    <w:rsid w:val="00C418BC"/>
    <w:rsid w:val="00C41ECE"/>
    <w:rsid w:val="00C42339"/>
    <w:rsid w:val="00C4259F"/>
    <w:rsid w:val="00C42F33"/>
    <w:rsid w:val="00C4368A"/>
    <w:rsid w:val="00C439D6"/>
    <w:rsid w:val="00C43D77"/>
    <w:rsid w:val="00C43D78"/>
    <w:rsid w:val="00C44500"/>
    <w:rsid w:val="00C44BB4"/>
    <w:rsid w:val="00C453A5"/>
    <w:rsid w:val="00C45560"/>
    <w:rsid w:val="00C455FC"/>
    <w:rsid w:val="00C45762"/>
    <w:rsid w:val="00C4583D"/>
    <w:rsid w:val="00C46363"/>
    <w:rsid w:val="00C46DD7"/>
    <w:rsid w:val="00C46F70"/>
    <w:rsid w:val="00C46FA0"/>
    <w:rsid w:val="00C4706E"/>
    <w:rsid w:val="00C47692"/>
    <w:rsid w:val="00C47C8C"/>
    <w:rsid w:val="00C50025"/>
    <w:rsid w:val="00C50288"/>
    <w:rsid w:val="00C5032B"/>
    <w:rsid w:val="00C50A36"/>
    <w:rsid w:val="00C50E69"/>
    <w:rsid w:val="00C511CF"/>
    <w:rsid w:val="00C52038"/>
    <w:rsid w:val="00C523AB"/>
    <w:rsid w:val="00C52617"/>
    <w:rsid w:val="00C53214"/>
    <w:rsid w:val="00C53394"/>
    <w:rsid w:val="00C5389B"/>
    <w:rsid w:val="00C53B79"/>
    <w:rsid w:val="00C53D34"/>
    <w:rsid w:val="00C540F6"/>
    <w:rsid w:val="00C54A57"/>
    <w:rsid w:val="00C54C51"/>
    <w:rsid w:val="00C55982"/>
    <w:rsid w:val="00C55A3D"/>
    <w:rsid w:val="00C55AD5"/>
    <w:rsid w:val="00C55E28"/>
    <w:rsid w:val="00C56006"/>
    <w:rsid w:val="00C56702"/>
    <w:rsid w:val="00C56A64"/>
    <w:rsid w:val="00C57480"/>
    <w:rsid w:val="00C57DF1"/>
    <w:rsid w:val="00C60089"/>
    <w:rsid w:val="00C604C1"/>
    <w:rsid w:val="00C60D66"/>
    <w:rsid w:val="00C61A1B"/>
    <w:rsid w:val="00C6327E"/>
    <w:rsid w:val="00C63C2D"/>
    <w:rsid w:val="00C643D1"/>
    <w:rsid w:val="00C6456C"/>
    <w:rsid w:val="00C6497D"/>
    <w:rsid w:val="00C6500C"/>
    <w:rsid w:val="00C6506E"/>
    <w:rsid w:val="00C65AC4"/>
    <w:rsid w:val="00C65D17"/>
    <w:rsid w:val="00C65FCD"/>
    <w:rsid w:val="00C6621A"/>
    <w:rsid w:val="00C667A6"/>
    <w:rsid w:val="00C66F1C"/>
    <w:rsid w:val="00C67031"/>
    <w:rsid w:val="00C67411"/>
    <w:rsid w:val="00C678BB"/>
    <w:rsid w:val="00C67B3F"/>
    <w:rsid w:val="00C714B9"/>
    <w:rsid w:val="00C719B2"/>
    <w:rsid w:val="00C72501"/>
    <w:rsid w:val="00C72C62"/>
    <w:rsid w:val="00C72D39"/>
    <w:rsid w:val="00C7303A"/>
    <w:rsid w:val="00C730D1"/>
    <w:rsid w:val="00C735C8"/>
    <w:rsid w:val="00C73E47"/>
    <w:rsid w:val="00C742E0"/>
    <w:rsid w:val="00C74424"/>
    <w:rsid w:val="00C74839"/>
    <w:rsid w:val="00C74EBC"/>
    <w:rsid w:val="00C7501E"/>
    <w:rsid w:val="00C753DB"/>
    <w:rsid w:val="00C75A58"/>
    <w:rsid w:val="00C76F45"/>
    <w:rsid w:val="00C775A7"/>
    <w:rsid w:val="00C777A7"/>
    <w:rsid w:val="00C77B3B"/>
    <w:rsid w:val="00C80633"/>
    <w:rsid w:val="00C810BE"/>
    <w:rsid w:val="00C81354"/>
    <w:rsid w:val="00C81361"/>
    <w:rsid w:val="00C8150C"/>
    <w:rsid w:val="00C8176A"/>
    <w:rsid w:val="00C8180A"/>
    <w:rsid w:val="00C81C46"/>
    <w:rsid w:val="00C8228E"/>
    <w:rsid w:val="00C8297F"/>
    <w:rsid w:val="00C82A3E"/>
    <w:rsid w:val="00C82C61"/>
    <w:rsid w:val="00C8317F"/>
    <w:rsid w:val="00C831EE"/>
    <w:rsid w:val="00C83DD1"/>
    <w:rsid w:val="00C84F0D"/>
    <w:rsid w:val="00C85127"/>
    <w:rsid w:val="00C8682C"/>
    <w:rsid w:val="00C86895"/>
    <w:rsid w:val="00C86A19"/>
    <w:rsid w:val="00C86E03"/>
    <w:rsid w:val="00C86E61"/>
    <w:rsid w:val="00C86EAC"/>
    <w:rsid w:val="00C8703C"/>
    <w:rsid w:val="00C874BA"/>
    <w:rsid w:val="00C903C0"/>
    <w:rsid w:val="00C904AF"/>
    <w:rsid w:val="00C90757"/>
    <w:rsid w:val="00C90AE2"/>
    <w:rsid w:val="00C90BB9"/>
    <w:rsid w:val="00C9152A"/>
    <w:rsid w:val="00C92998"/>
    <w:rsid w:val="00C92A40"/>
    <w:rsid w:val="00C92FC9"/>
    <w:rsid w:val="00C94061"/>
    <w:rsid w:val="00C950CA"/>
    <w:rsid w:val="00C95260"/>
    <w:rsid w:val="00C95762"/>
    <w:rsid w:val="00C95E35"/>
    <w:rsid w:val="00C96CAC"/>
    <w:rsid w:val="00C97456"/>
    <w:rsid w:val="00C97640"/>
    <w:rsid w:val="00C97669"/>
    <w:rsid w:val="00CA13EA"/>
    <w:rsid w:val="00CA159B"/>
    <w:rsid w:val="00CA1D0A"/>
    <w:rsid w:val="00CA2216"/>
    <w:rsid w:val="00CA2650"/>
    <w:rsid w:val="00CA2A37"/>
    <w:rsid w:val="00CA2B8C"/>
    <w:rsid w:val="00CA37A3"/>
    <w:rsid w:val="00CA3B51"/>
    <w:rsid w:val="00CA3D52"/>
    <w:rsid w:val="00CA520A"/>
    <w:rsid w:val="00CA560F"/>
    <w:rsid w:val="00CA571D"/>
    <w:rsid w:val="00CA5753"/>
    <w:rsid w:val="00CA68F2"/>
    <w:rsid w:val="00CA70E6"/>
    <w:rsid w:val="00CA78E5"/>
    <w:rsid w:val="00CA7D31"/>
    <w:rsid w:val="00CA7D95"/>
    <w:rsid w:val="00CA7E33"/>
    <w:rsid w:val="00CB01F1"/>
    <w:rsid w:val="00CB0317"/>
    <w:rsid w:val="00CB0937"/>
    <w:rsid w:val="00CB0BD2"/>
    <w:rsid w:val="00CB0EF9"/>
    <w:rsid w:val="00CB1004"/>
    <w:rsid w:val="00CB14C5"/>
    <w:rsid w:val="00CB1D79"/>
    <w:rsid w:val="00CB2CBC"/>
    <w:rsid w:val="00CB35FF"/>
    <w:rsid w:val="00CB36FC"/>
    <w:rsid w:val="00CB394E"/>
    <w:rsid w:val="00CB3D7C"/>
    <w:rsid w:val="00CB4C5F"/>
    <w:rsid w:val="00CB583F"/>
    <w:rsid w:val="00CB6BA8"/>
    <w:rsid w:val="00CB7679"/>
    <w:rsid w:val="00CB772A"/>
    <w:rsid w:val="00CC0005"/>
    <w:rsid w:val="00CC0160"/>
    <w:rsid w:val="00CC0423"/>
    <w:rsid w:val="00CC0FCD"/>
    <w:rsid w:val="00CC11A6"/>
    <w:rsid w:val="00CC134B"/>
    <w:rsid w:val="00CC16C8"/>
    <w:rsid w:val="00CC1776"/>
    <w:rsid w:val="00CC2020"/>
    <w:rsid w:val="00CC3A55"/>
    <w:rsid w:val="00CC4615"/>
    <w:rsid w:val="00CC5011"/>
    <w:rsid w:val="00CC56E3"/>
    <w:rsid w:val="00CC5958"/>
    <w:rsid w:val="00CC5B16"/>
    <w:rsid w:val="00CC67E3"/>
    <w:rsid w:val="00CC6A5D"/>
    <w:rsid w:val="00CC747E"/>
    <w:rsid w:val="00CD050C"/>
    <w:rsid w:val="00CD0CCC"/>
    <w:rsid w:val="00CD11BD"/>
    <w:rsid w:val="00CD1393"/>
    <w:rsid w:val="00CD1F73"/>
    <w:rsid w:val="00CD2845"/>
    <w:rsid w:val="00CD2A20"/>
    <w:rsid w:val="00CD2D93"/>
    <w:rsid w:val="00CD2E58"/>
    <w:rsid w:val="00CD3367"/>
    <w:rsid w:val="00CD3B7E"/>
    <w:rsid w:val="00CD4B88"/>
    <w:rsid w:val="00CD4BA9"/>
    <w:rsid w:val="00CD4CAB"/>
    <w:rsid w:val="00CD4CFC"/>
    <w:rsid w:val="00CD585C"/>
    <w:rsid w:val="00CD5ADD"/>
    <w:rsid w:val="00CD5EB8"/>
    <w:rsid w:val="00CD60FA"/>
    <w:rsid w:val="00CD64FD"/>
    <w:rsid w:val="00CD66AF"/>
    <w:rsid w:val="00CD6DFF"/>
    <w:rsid w:val="00CD7307"/>
    <w:rsid w:val="00CD7A57"/>
    <w:rsid w:val="00CE08FB"/>
    <w:rsid w:val="00CE1149"/>
    <w:rsid w:val="00CE1248"/>
    <w:rsid w:val="00CE1297"/>
    <w:rsid w:val="00CE17DE"/>
    <w:rsid w:val="00CE2313"/>
    <w:rsid w:val="00CE3C51"/>
    <w:rsid w:val="00CE3EDC"/>
    <w:rsid w:val="00CE5120"/>
    <w:rsid w:val="00CE5414"/>
    <w:rsid w:val="00CE55C7"/>
    <w:rsid w:val="00CE5723"/>
    <w:rsid w:val="00CE5899"/>
    <w:rsid w:val="00CE5A14"/>
    <w:rsid w:val="00CE5AA8"/>
    <w:rsid w:val="00CE646E"/>
    <w:rsid w:val="00CE739A"/>
    <w:rsid w:val="00CE758B"/>
    <w:rsid w:val="00CE7953"/>
    <w:rsid w:val="00CE7F53"/>
    <w:rsid w:val="00CF0646"/>
    <w:rsid w:val="00CF119E"/>
    <w:rsid w:val="00CF11C4"/>
    <w:rsid w:val="00CF13C3"/>
    <w:rsid w:val="00CF1454"/>
    <w:rsid w:val="00CF2238"/>
    <w:rsid w:val="00CF22C7"/>
    <w:rsid w:val="00CF2324"/>
    <w:rsid w:val="00CF23C2"/>
    <w:rsid w:val="00CF3972"/>
    <w:rsid w:val="00CF3F71"/>
    <w:rsid w:val="00CF4A12"/>
    <w:rsid w:val="00CF4D4A"/>
    <w:rsid w:val="00CF69B6"/>
    <w:rsid w:val="00CF6D09"/>
    <w:rsid w:val="00CF734C"/>
    <w:rsid w:val="00CF7412"/>
    <w:rsid w:val="00CF74D7"/>
    <w:rsid w:val="00CF7C5E"/>
    <w:rsid w:val="00D00637"/>
    <w:rsid w:val="00D007C3"/>
    <w:rsid w:val="00D00926"/>
    <w:rsid w:val="00D00C47"/>
    <w:rsid w:val="00D0123C"/>
    <w:rsid w:val="00D0142F"/>
    <w:rsid w:val="00D01CD8"/>
    <w:rsid w:val="00D02631"/>
    <w:rsid w:val="00D02BB8"/>
    <w:rsid w:val="00D03456"/>
    <w:rsid w:val="00D0372B"/>
    <w:rsid w:val="00D038D5"/>
    <w:rsid w:val="00D03967"/>
    <w:rsid w:val="00D04ACD"/>
    <w:rsid w:val="00D04F57"/>
    <w:rsid w:val="00D05305"/>
    <w:rsid w:val="00D0563C"/>
    <w:rsid w:val="00D0652E"/>
    <w:rsid w:val="00D066D4"/>
    <w:rsid w:val="00D109C9"/>
    <w:rsid w:val="00D10E82"/>
    <w:rsid w:val="00D114B5"/>
    <w:rsid w:val="00D11911"/>
    <w:rsid w:val="00D12140"/>
    <w:rsid w:val="00D12EDA"/>
    <w:rsid w:val="00D12FB2"/>
    <w:rsid w:val="00D132F4"/>
    <w:rsid w:val="00D134B6"/>
    <w:rsid w:val="00D135D1"/>
    <w:rsid w:val="00D139A9"/>
    <w:rsid w:val="00D13D5E"/>
    <w:rsid w:val="00D1420E"/>
    <w:rsid w:val="00D1496D"/>
    <w:rsid w:val="00D15A05"/>
    <w:rsid w:val="00D15E45"/>
    <w:rsid w:val="00D16099"/>
    <w:rsid w:val="00D16E6D"/>
    <w:rsid w:val="00D1720F"/>
    <w:rsid w:val="00D1795D"/>
    <w:rsid w:val="00D206AF"/>
    <w:rsid w:val="00D206C6"/>
    <w:rsid w:val="00D2091C"/>
    <w:rsid w:val="00D20CE9"/>
    <w:rsid w:val="00D20F75"/>
    <w:rsid w:val="00D21A58"/>
    <w:rsid w:val="00D220D0"/>
    <w:rsid w:val="00D22367"/>
    <w:rsid w:val="00D224B6"/>
    <w:rsid w:val="00D225E4"/>
    <w:rsid w:val="00D22A32"/>
    <w:rsid w:val="00D241F4"/>
    <w:rsid w:val="00D24756"/>
    <w:rsid w:val="00D24830"/>
    <w:rsid w:val="00D24BCD"/>
    <w:rsid w:val="00D25493"/>
    <w:rsid w:val="00D25BEE"/>
    <w:rsid w:val="00D25DCA"/>
    <w:rsid w:val="00D26493"/>
    <w:rsid w:val="00D2697D"/>
    <w:rsid w:val="00D27123"/>
    <w:rsid w:val="00D27491"/>
    <w:rsid w:val="00D274ED"/>
    <w:rsid w:val="00D30147"/>
    <w:rsid w:val="00D304FD"/>
    <w:rsid w:val="00D305C2"/>
    <w:rsid w:val="00D309DF"/>
    <w:rsid w:val="00D30C42"/>
    <w:rsid w:val="00D30FB5"/>
    <w:rsid w:val="00D31070"/>
    <w:rsid w:val="00D311E9"/>
    <w:rsid w:val="00D31B72"/>
    <w:rsid w:val="00D320F6"/>
    <w:rsid w:val="00D3220C"/>
    <w:rsid w:val="00D323BB"/>
    <w:rsid w:val="00D325AB"/>
    <w:rsid w:val="00D32768"/>
    <w:rsid w:val="00D3284C"/>
    <w:rsid w:val="00D32AA1"/>
    <w:rsid w:val="00D34639"/>
    <w:rsid w:val="00D34C23"/>
    <w:rsid w:val="00D34D12"/>
    <w:rsid w:val="00D3560D"/>
    <w:rsid w:val="00D35678"/>
    <w:rsid w:val="00D358CC"/>
    <w:rsid w:val="00D35FDB"/>
    <w:rsid w:val="00D361B1"/>
    <w:rsid w:val="00D365A4"/>
    <w:rsid w:val="00D37EDE"/>
    <w:rsid w:val="00D37FEF"/>
    <w:rsid w:val="00D40801"/>
    <w:rsid w:val="00D40FB3"/>
    <w:rsid w:val="00D41733"/>
    <w:rsid w:val="00D41757"/>
    <w:rsid w:val="00D41828"/>
    <w:rsid w:val="00D423C4"/>
    <w:rsid w:val="00D42453"/>
    <w:rsid w:val="00D42DC4"/>
    <w:rsid w:val="00D43AB2"/>
    <w:rsid w:val="00D43DE4"/>
    <w:rsid w:val="00D44293"/>
    <w:rsid w:val="00D447BD"/>
    <w:rsid w:val="00D44C0A"/>
    <w:rsid w:val="00D464E1"/>
    <w:rsid w:val="00D46E93"/>
    <w:rsid w:val="00D46ED4"/>
    <w:rsid w:val="00D47144"/>
    <w:rsid w:val="00D471FA"/>
    <w:rsid w:val="00D477A8"/>
    <w:rsid w:val="00D477D8"/>
    <w:rsid w:val="00D47EF3"/>
    <w:rsid w:val="00D500E4"/>
    <w:rsid w:val="00D50585"/>
    <w:rsid w:val="00D50897"/>
    <w:rsid w:val="00D50CF9"/>
    <w:rsid w:val="00D5118B"/>
    <w:rsid w:val="00D5125D"/>
    <w:rsid w:val="00D5159A"/>
    <w:rsid w:val="00D51938"/>
    <w:rsid w:val="00D51A2B"/>
    <w:rsid w:val="00D520AA"/>
    <w:rsid w:val="00D52478"/>
    <w:rsid w:val="00D52E00"/>
    <w:rsid w:val="00D5338B"/>
    <w:rsid w:val="00D53545"/>
    <w:rsid w:val="00D537B0"/>
    <w:rsid w:val="00D537D4"/>
    <w:rsid w:val="00D53C13"/>
    <w:rsid w:val="00D544FC"/>
    <w:rsid w:val="00D5484F"/>
    <w:rsid w:val="00D550A8"/>
    <w:rsid w:val="00D5574B"/>
    <w:rsid w:val="00D55CEF"/>
    <w:rsid w:val="00D56525"/>
    <w:rsid w:val="00D5675E"/>
    <w:rsid w:val="00D56AD9"/>
    <w:rsid w:val="00D57009"/>
    <w:rsid w:val="00D570F4"/>
    <w:rsid w:val="00D572A9"/>
    <w:rsid w:val="00D57371"/>
    <w:rsid w:val="00D573C2"/>
    <w:rsid w:val="00D573EB"/>
    <w:rsid w:val="00D60C03"/>
    <w:rsid w:val="00D60C84"/>
    <w:rsid w:val="00D60FB9"/>
    <w:rsid w:val="00D61913"/>
    <w:rsid w:val="00D61DC0"/>
    <w:rsid w:val="00D620C6"/>
    <w:rsid w:val="00D6256F"/>
    <w:rsid w:val="00D62DDC"/>
    <w:rsid w:val="00D630A0"/>
    <w:rsid w:val="00D631EB"/>
    <w:rsid w:val="00D63782"/>
    <w:rsid w:val="00D6444A"/>
    <w:rsid w:val="00D64644"/>
    <w:rsid w:val="00D64830"/>
    <w:rsid w:val="00D648FF"/>
    <w:rsid w:val="00D64C59"/>
    <w:rsid w:val="00D65621"/>
    <w:rsid w:val="00D656A8"/>
    <w:rsid w:val="00D65CB7"/>
    <w:rsid w:val="00D6645C"/>
    <w:rsid w:val="00D669CF"/>
    <w:rsid w:val="00D66F1F"/>
    <w:rsid w:val="00D67787"/>
    <w:rsid w:val="00D67F83"/>
    <w:rsid w:val="00D70CCE"/>
    <w:rsid w:val="00D70E20"/>
    <w:rsid w:val="00D71307"/>
    <w:rsid w:val="00D713E9"/>
    <w:rsid w:val="00D72C26"/>
    <w:rsid w:val="00D73351"/>
    <w:rsid w:val="00D7343C"/>
    <w:rsid w:val="00D73925"/>
    <w:rsid w:val="00D73BC6"/>
    <w:rsid w:val="00D73E65"/>
    <w:rsid w:val="00D74058"/>
    <w:rsid w:val="00D741B2"/>
    <w:rsid w:val="00D7423E"/>
    <w:rsid w:val="00D74662"/>
    <w:rsid w:val="00D74AF6"/>
    <w:rsid w:val="00D74EFD"/>
    <w:rsid w:val="00D756B1"/>
    <w:rsid w:val="00D7594B"/>
    <w:rsid w:val="00D759BA"/>
    <w:rsid w:val="00D75FE0"/>
    <w:rsid w:val="00D76656"/>
    <w:rsid w:val="00D76CB1"/>
    <w:rsid w:val="00D7763C"/>
    <w:rsid w:val="00D80563"/>
    <w:rsid w:val="00D81322"/>
    <w:rsid w:val="00D813E3"/>
    <w:rsid w:val="00D81C62"/>
    <w:rsid w:val="00D81FB8"/>
    <w:rsid w:val="00D8278D"/>
    <w:rsid w:val="00D83199"/>
    <w:rsid w:val="00D846CA"/>
    <w:rsid w:val="00D850CE"/>
    <w:rsid w:val="00D85AE5"/>
    <w:rsid w:val="00D85B8E"/>
    <w:rsid w:val="00D86482"/>
    <w:rsid w:val="00D86F47"/>
    <w:rsid w:val="00D87AC7"/>
    <w:rsid w:val="00D90F29"/>
    <w:rsid w:val="00D91731"/>
    <w:rsid w:val="00D91890"/>
    <w:rsid w:val="00D91B13"/>
    <w:rsid w:val="00D9224C"/>
    <w:rsid w:val="00D92384"/>
    <w:rsid w:val="00D924B6"/>
    <w:rsid w:val="00D925E3"/>
    <w:rsid w:val="00D93155"/>
    <w:rsid w:val="00D93728"/>
    <w:rsid w:val="00D93EF4"/>
    <w:rsid w:val="00D9410D"/>
    <w:rsid w:val="00D946B6"/>
    <w:rsid w:val="00D94A8B"/>
    <w:rsid w:val="00D95043"/>
    <w:rsid w:val="00D967E2"/>
    <w:rsid w:val="00D978E6"/>
    <w:rsid w:val="00D97FCC"/>
    <w:rsid w:val="00DA0108"/>
    <w:rsid w:val="00DA091C"/>
    <w:rsid w:val="00DA214E"/>
    <w:rsid w:val="00DA2917"/>
    <w:rsid w:val="00DA2ECA"/>
    <w:rsid w:val="00DA3212"/>
    <w:rsid w:val="00DA3432"/>
    <w:rsid w:val="00DA38B4"/>
    <w:rsid w:val="00DA38C6"/>
    <w:rsid w:val="00DA3914"/>
    <w:rsid w:val="00DA3B04"/>
    <w:rsid w:val="00DA3BF8"/>
    <w:rsid w:val="00DA3D76"/>
    <w:rsid w:val="00DA40C8"/>
    <w:rsid w:val="00DA44A2"/>
    <w:rsid w:val="00DA464D"/>
    <w:rsid w:val="00DA4660"/>
    <w:rsid w:val="00DA512D"/>
    <w:rsid w:val="00DA59A0"/>
    <w:rsid w:val="00DA6ECD"/>
    <w:rsid w:val="00DA7578"/>
    <w:rsid w:val="00DA7D2B"/>
    <w:rsid w:val="00DA7E6D"/>
    <w:rsid w:val="00DB1117"/>
    <w:rsid w:val="00DB1232"/>
    <w:rsid w:val="00DB1D2A"/>
    <w:rsid w:val="00DB1DBF"/>
    <w:rsid w:val="00DB2CB7"/>
    <w:rsid w:val="00DB3FE9"/>
    <w:rsid w:val="00DB4377"/>
    <w:rsid w:val="00DB5465"/>
    <w:rsid w:val="00DB5F6A"/>
    <w:rsid w:val="00DB61E6"/>
    <w:rsid w:val="00DB6BED"/>
    <w:rsid w:val="00DB7109"/>
    <w:rsid w:val="00DB7114"/>
    <w:rsid w:val="00DB7DC7"/>
    <w:rsid w:val="00DC00D2"/>
    <w:rsid w:val="00DC108F"/>
    <w:rsid w:val="00DC123C"/>
    <w:rsid w:val="00DC1960"/>
    <w:rsid w:val="00DC246C"/>
    <w:rsid w:val="00DC2946"/>
    <w:rsid w:val="00DC3074"/>
    <w:rsid w:val="00DC4295"/>
    <w:rsid w:val="00DC4317"/>
    <w:rsid w:val="00DC516B"/>
    <w:rsid w:val="00DC52DC"/>
    <w:rsid w:val="00DC54F0"/>
    <w:rsid w:val="00DC5C73"/>
    <w:rsid w:val="00DC70C7"/>
    <w:rsid w:val="00DC714F"/>
    <w:rsid w:val="00DC7448"/>
    <w:rsid w:val="00DC7B68"/>
    <w:rsid w:val="00DC7DF8"/>
    <w:rsid w:val="00DC7E26"/>
    <w:rsid w:val="00DD0386"/>
    <w:rsid w:val="00DD0423"/>
    <w:rsid w:val="00DD0663"/>
    <w:rsid w:val="00DD07C1"/>
    <w:rsid w:val="00DD0E8B"/>
    <w:rsid w:val="00DD1381"/>
    <w:rsid w:val="00DD1917"/>
    <w:rsid w:val="00DD1FEA"/>
    <w:rsid w:val="00DD2C65"/>
    <w:rsid w:val="00DD332D"/>
    <w:rsid w:val="00DD3F10"/>
    <w:rsid w:val="00DD3F4C"/>
    <w:rsid w:val="00DD4392"/>
    <w:rsid w:val="00DD4708"/>
    <w:rsid w:val="00DD4B96"/>
    <w:rsid w:val="00DD63B4"/>
    <w:rsid w:val="00DD64EB"/>
    <w:rsid w:val="00DD65A6"/>
    <w:rsid w:val="00DD67B5"/>
    <w:rsid w:val="00DD6B49"/>
    <w:rsid w:val="00DD7A98"/>
    <w:rsid w:val="00DD7F97"/>
    <w:rsid w:val="00DE0220"/>
    <w:rsid w:val="00DE06AB"/>
    <w:rsid w:val="00DE08A9"/>
    <w:rsid w:val="00DE1203"/>
    <w:rsid w:val="00DE1809"/>
    <w:rsid w:val="00DE1C7E"/>
    <w:rsid w:val="00DE1EB9"/>
    <w:rsid w:val="00DE20DD"/>
    <w:rsid w:val="00DE240B"/>
    <w:rsid w:val="00DE2BEB"/>
    <w:rsid w:val="00DE32DE"/>
    <w:rsid w:val="00DE390E"/>
    <w:rsid w:val="00DE3993"/>
    <w:rsid w:val="00DE3C85"/>
    <w:rsid w:val="00DE3E04"/>
    <w:rsid w:val="00DE3FBF"/>
    <w:rsid w:val="00DE5F3C"/>
    <w:rsid w:val="00DE6496"/>
    <w:rsid w:val="00DE6B1F"/>
    <w:rsid w:val="00DE6B62"/>
    <w:rsid w:val="00DE6F20"/>
    <w:rsid w:val="00DE76E6"/>
    <w:rsid w:val="00DE7C21"/>
    <w:rsid w:val="00DF08B7"/>
    <w:rsid w:val="00DF0BF6"/>
    <w:rsid w:val="00DF0FBA"/>
    <w:rsid w:val="00DF1108"/>
    <w:rsid w:val="00DF112B"/>
    <w:rsid w:val="00DF1550"/>
    <w:rsid w:val="00DF2B9A"/>
    <w:rsid w:val="00DF2C47"/>
    <w:rsid w:val="00DF2D95"/>
    <w:rsid w:val="00DF2EEC"/>
    <w:rsid w:val="00DF3614"/>
    <w:rsid w:val="00DF3748"/>
    <w:rsid w:val="00DF3F06"/>
    <w:rsid w:val="00DF4322"/>
    <w:rsid w:val="00DF4760"/>
    <w:rsid w:val="00DF4F52"/>
    <w:rsid w:val="00DF526F"/>
    <w:rsid w:val="00DF5978"/>
    <w:rsid w:val="00DF5A4A"/>
    <w:rsid w:val="00DF5CCC"/>
    <w:rsid w:val="00DF6152"/>
    <w:rsid w:val="00DF6442"/>
    <w:rsid w:val="00DF69FF"/>
    <w:rsid w:val="00DF729E"/>
    <w:rsid w:val="00DF72CA"/>
    <w:rsid w:val="00E003DC"/>
    <w:rsid w:val="00E00473"/>
    <w:rsid w:val="00E00D83"/>
    <w:rsid w:val="00E00E0C"/>
    <w:rsid w:val="00E01A13"/>
    <w:rsid w:val="00E01CBE"/>
    <w:rsid w:val="00E02482"/>
    <w:rsid w:val="00E035E9"/>
    <w:rsid w:val="00E037E6"/>
    <w:rsid w:val="00E03F6B"/>
    <w:rsid w:val="00E0443E"/>
    <w:rsid w:val="00E04725"/>
    <w:rsid w:val="00E04856"/>
    <w:rsid w:val="00E04A3C"/>
    <w:rsid w:val="00E04D4E"/>
    <w:rsid w:val="00E060F7"/>
    <w:rsid w:val="00E06248"/>
    <w:rsid w:val="00E06756"/>
    <w:rsid w:val="00E06906"/>
    <w:rsid w:val="00E072B0"/>
    <w:rsid w:val="00E075B5"/>
    <w:rsid w:val="00E07A05"/>
    <w:rsid w:val="00E104B2"/>
    <w:rsid w:val="00E10B95"/>
    <w:rsid w:val="00E10F08"/>
    <w:rsid w:val="00E113B2"/>
    <w:rsid w:val="00E1194F"/>
    <w:rsid w:val="00E14536"/>
    <w:rsid w:val="00E14776"/>
    <w:rsid w:val="00E14986"/>
    <w:rsid w:val="00E14D54"/>
    <w:rsid w:val="00E15306"/>
    <w:rsid w:val="00E15489"/>
    <w:rsid w:val="00E15784"/>
    <w:rsid w:val="00E15B76"/>
    <w:rsid w:val="00E15EEB"/>
    <w:rsid w:val="00E1670F"/>
    <w:rsid w:val="00E167DC"/>
    <w:rsid w:val="00E171C0"/>
    <w:rsid w:val="00E175AF"/>
    <w:rsid w:val="00E201E9"/>
    <w:rsid w:val="00E205C0"/>
    <w:rsid w:val="00E21315"/>
    <w:rsid w:val="00E21AD3"/>
    <w:rsid w:val="00E21D7F"/>
    <w:rsid w:val="00E2232E"/>
    <w:rsid w:val="00E23329"/>
    <w:rsid w:val="00E23CDF"/>
    <w:rsid w:val="00E24665"/>
    <w:rsid w:val="00E24920"/>
    <w:rsid w:val="00E24D2F"/>
    <w:rsid w:val="00E25633"/>
    <w:rsid w:val="00E2583B"/>
    <w:rsid w:val="00E2660A"/>
    <w:rsid w:val="00E26883"/>
    <w:rsid w:val="00E26935"/>
    <w:rsid w:val="00E26AC8"/>
    <w:rsid w:val="00E26F7C"/>
    <w:rsid w:val="00E26FFB"/>
    <w:rsid w:val="00E270A7"/>
    <w:rsid w:val="00E3010E"/>
    <w:rsid w:val="00E302BC"/>
    <w:rsid w:val="00E30775"/>
    <w:rsid w:val="00E30B91"/>
    <w:rsid w:val="00E30E60"/>
    <w:rsid w:val="00E31E3C"/>
    <w:rsid w:val="00E3293F"/>
    <w:rsid w:val="00E32EC7"/>
    <w:rsid w:val="00E33458"/>
    <w:rsid w:val="00E3422D"/>
    <w:rsid w:val="00E35145"/>
    <w:rsid w:val="00E35500"/>
    <w:rsid w:val="00E36940"/>
    <w:rsid w:val="00E36F96"/>
    <w:rsid w:val="00E373BE"/>
    <w:rsid w:val="00E37B4B"/>
    <w:rsid w:val="00E37DD8"/>
    <w:rsid w:val="00E40CC5"/>
    <w:rsid w:val="00E40E9A"/>
    <w:rsid w:val="00E414F1"/>
    <w:rsid w:val="00E41700"/>
    <w:rsid w:val="00E419A3"/>
    <w:rsid w:val="00E41A3B"/>
    <w:rsid w:val="00E41AB2"/>
    <w:rsid w:val="00E41D4C"/>
    <w:rsid w:val="00E41FFF"/>
    <w:rsid w:val="00E42301"/>
    <w:rsid w:val="00E42CBF"/>
    <w:rsid w:val="00E431BD"/>
    <w:rsid w:val="00E434E9"/>
    <w:rsid w:val="00E4398E"/>
    <w:rsid w:val="00E43A25"/>
    <w:rsid w:val="00E440E5"/>
    <w:rsid w:val="00E4421D"/>
    <w:rsid w:val="00E44353"/>
    <w:rsid w:val="00E44C02"/>
    <w:rsid w:val="00E44ED2"/>
    <w:rsid w:val="00E454FD"/>
    <w:rsid w:val="00E455B6"/>
    <w:rsid w:val="00E46030"/>
    <w:rsid w:val="00E46A99"/>
    <w:rsid w:val="00E46F46"/>
    <w:rsid w:val="00E46FA8"/>
    <w:rsid w:val="00E47208"/>
    <w:rsid w:val="00E47839"/>
    <w:rsid w:val="00E50AC6"/>
    <w:rsid w:val="00E520D2"/>
    <w:rsid w:val="00E527FA"/>
    <w:rsid w:val="00E52FD0"/>
    <w:rsid w:val="00E530E0"/>
    <w:rsid w:val="00E53861"/>
    <w:rsid w:val="00E53A46"/>
    <w:rsid w:val="00E53EBE"/>
    <w:rsid w:val="00E53F09"/>
    <w:rsid w:val="00E544E3"/>
    <w:rsid w:val="00E54C70"/>
    <w:rsid w:val="00E60B83"/>
    <w:rsid w:val="00E611B7"/>
    <w:rsid w:val="00E6135C"/>
    <w:rsid w:val="00E61647"/>
    <w:rsid w:val="00E619F3"/>
    <w:rsid w:val="00E637A4"/>
    <w:rsid w:val="00E63861"/>
    <w:rsid w:val="00E64597"/>
    <w:rsid w:val="00E64907"/>
    <w:rsid w:val="00E64C97"/>
    <w:rsid w:val="00E65281"/>
    <w:rsid w:val="00E65497"/>
    <w:rsid w:val="00E656F0"/>
    <w:rsid w:val="00E65E2D"/>
    <w:rsid w:val="00E65EB3"/>
    <w:rsid w:val="00E67366"/>
    <w:rsid w:val="00E6781C"/>
    <w:rsid w:val="00E67D06"/>
    <w:rsid w:val="00E7017E"/>
    <w:rsid w:val="00E7027C"/>
    <w:rsid w:val="00E7053F"/>
    <w:rsid w:val="00E70577"/>
    <w:rsid w:val="00E709DB"/>
    <w:rsid w:val="00E70C09"/>
    <w:rsid w:val="00E715C9"/>
    <w:rsid w:val="00E71A4C"/>
    <w:rsid w:val="00E71AB1"/>
    <w:rsid w:val="00E71E2C"/>
    <w:rsid w:val="00E71EC2"/>
    <w:rsid w:val="00E720C1"/>
    <w:rsid w:val="00E7258E"/>
    <w:rsid w:val="00E72721"/>
    <w:rsid w:val="00E738E0"/>
    <w:rsid w:val="00E738F2"/>
    <w:rsid w:val="00E73985"/>
    <w:rsid w:val="00E74711"/>
    <w:rsid w:val="00E74B94"/>
    <w:rsid w:val="00E74F0A"/>
    <w:rsid w:val="00E7544A"/>
    <w:rsid w:val="00E754CC"/>
    <w:rsid w:val="00E755E2"/>
    <w:rsid w:val="00E775CC"/>
    <w:rsid w:val="00E776D6"/>
    <w:rsid w:val="00E7789F"/>
    <w:rsid w:val="00E804DE"/>
    <w:rsid w:val="00E80902"/>
    <w:rsid w:val="00E81007"/>
    <w:rsid w:val="00E810D4"/>
    <w:rsid w:val="00E811B2"/>
    <w:rsid w:val="00E81712"/>
    <w:rsid w:val="00E818D2"/>
    <w:rsid w:val="00E8196E"/>
    <w:rsid w:val="00E81CAD"/>
    <w:rsid w:val="00E82540"/>
    <w:rsid w:val="00E825E5"/>
    <w:rsid w:val="00E82975"/>
    <w:rsid w:val="00E82ADF"/>
    <w:rsid w:val="00E82B3D"/>
    <w:rsid w:val="00E82C03"/>
    <w:rsid w:val="00E82E88"/>
    <w:rsid w:val="00E83F2B"/>
    <w:rsid w:val="00E8469C"/>
    <w:rsid w:val="00E84894"/>
    <w:rsid w:val="00E84E89"/>
    <w:rsid w:val="00E858AC"/>
    <w:rsid w:val="00E8663A"/>
    <w:rsid w:val="00E866A5"/>
    <w:rsid w:val="00E86CEC"/>
    <w:rsid w:val="00E8741B"/>
    <w:rsid w:val="00E878BA"/>
    <w:rsid w:val="00E87AB8"/>
    <w:rsid w:val="00E87B3F"/>
    <w:rsid w:val="00E87C98"/>
    <w:rsid w:val="00E90596"/>
    <w:rsid w:val="00E90738"/>
    <w:rsid w:val="00E907B3"/>
    <w:rsid w:val="00E90D21"/>
    <w:rsid w:val="00E90F39"/>
    <w:rsid w:val="00E9164F"/>
    <w:rsid w:val="00E91AC6"/>
    <w:rsid w:val="00E922D1"/>
    <w:rsid w:val="00E92AB4"/>
    <w:rsid w:val="00E932D8"/>
    <w:rsid w:val="00E93762"/>
    <w:rsid w:val="00E93B5E"/>
    <w:rsid w:val="00E94130"/>
    <w:rsid w:val="00E94490"/>
    <w:rsid w:val="00E94872"/>
    <w:rsid w:val="00E95A7A"/>
    <w:rsid w:val="00E96291"/>
    <w:rsid w:val="00E963AE"/>
    <w:rsid w:val="00E96703"/>
    <w:rsid w:val="00E9674E"/>
    <w:rsid w:val="00E9676C"/>
    <w:rsid w:val="00E96A0C"/>
    <w:rsid w:val="00E970D3"/>
    <w:rsid w:val="00E97967"/>
    <w:rsid w:val="00E979BA"/>
    <w:rsid w:val="00EA121D"/>
    <w:rsid w:val="00EA13C4"/>
    <w:rsid w:val="00EA1421"/>
    <w:rsid w:val="00EA18E2"/>
    <w:rsid w:val="00EA1A67"/>
    <w:rsid w:val="00EA1A6F"/>
    <w:rsid w:val="00EA2360"/>
    <w:rsid w:val="00EA2497"/>
    <w:rsid w:val="00EA2654"/>
    <w:rsid w:val="00EA2698"/>
    <w:rsid w:val="00EA2EF8"/>
    <w:rsid w:val="00EA3488"/>
    <w:rsid w:val="00EA36DB"/>
    <w:rsid w:val="00EA3F95"/>
    <w:rsid w:val="00EA4F7D"/>
    <w:rsid w:val="00EA50AE"/>
    <w:rsid w:val="00EA5223"/>
    <w:rsid w:val="00EA5F38"/>
    <w:rsid w:val="00EA5FAD"/>
    <w:rsid w:val="00EA6128"/>
    <w:rsid w:val="00EA61DE"/>
    <w:rsid w:val="00EA63FA"/>
    <w:rsid w:val="00EA6699"/>
    <w:rsid w:val="00EA6BD6"/>
    <w:rsid w:val="00EA6F72"/>
    <w:rsid w:val="00EA79F7"/>
    <w:rsid w:val="00EA7F2C"/>
    <w:rsid w:val="00EB01B8"/>
    <w:rsid w:val="00EB020D"/>
    <w:rsid w:val="00EB0C59"/>
    <w:rsid w:val="00EB0D28"/>
    <w:rsid w:val="00EB0E89"/>
    <w:rsid w:val="00EB162D"/>
    <w:rsid w:val="00EB173D"/>
    <w:rsid w:val="00EB1E13"/>
    <w:rsid w:val="00EB1FB1"/>
    <w:rsid w:val="00EB1FDA"/>
    <w:rsid w:val="00EB290D"/>
    <w:rsid w:val="00EB2E5A"/>
    <w:rsid w:val="00EB2FA2"/>
    <w:rsid w:val="00EB3189"/>
    <w:rsid w:val="00EB393C"/>
    <w:rsid w:val="00EB3C4F"/>
    <w:rsid w:val="00EB48FA"/>
    <w:rsid w:val="00EB49C4"/>
    <w:rsid w:val="00EB539C"/>
    <w:rsid w:val="00EB5657"/>
    <w:rsid w:val="00EB7469"/>
    <w:rsid w:val="00EC0E57"/>
    <w:rsid w:val="00EC11A9"/>
    <w:rsid w:val="00EC12E0"/>
    <w:rsid w:val="00EC14B1"/>
    <w:rsid w:val="00EC2142"/>
    <w:rsid w:val="00EC2488"/>
    <w:rsid w:val="00EC2E58"/>
    <w:rsid w:val="00EC41C5"/>
    <w:rsid w:val="00EC4521"/>
    <w:rsid w:val="00EC4B2E"/>
    <w:rsid w:val="00EC4CF6"/>
    <w:rsid w:val="00EC4D2C"/>
    <w:rsid w:val="00EC4F2C"/>
    <w:rsid w:val="00EC65FA"/>
    <w:rsid w:val="00EC6D0B"/>
    <w:rsid w:val="00EC6D19"/>
    <w:rsid w:val="00EC7E03"/>
    <w:rsid w:val="00EC7EC8"/>
    <w:rsid w:val="00EC7FB9"/>
    <w:rsid w:val="00ED0155"/>
    <w:rsid w:val="00ED0401"/>
    <w:rsid w:val="00ED1E77"/>
    <w:rsid w:val="00ED2BA4"/>
    <w:rsid w:val="00ED2C7D"/>
    <w:rsid w:val="00ED2DAE"/>
    <w:rsid w:val="00ED317B"/>
    <w:rsid w:val="00ED3790"/>
    <w:rsid w:val="00ED3A70"/>
    <w:rsid w:val="00ED4050"/>
    <w:rsid w:val="00ED44A5"/>
    <w:rsid w:val="00ED5271"/>
    <w:rsid w:val="00ED5402"/>
    <w:rsid w:val="00ED638C"/>
    <w:rsid w:val="00ED6724"/>
    <w:rsid w:val="00ED7120"/>
    <w:rsid w:val="00ED7123"/>
    <w:rsid w:val="00ED72E0"/>
    <w:rsid w:val="00ED73D2"/>
    <w:rsid w:val="00EE062A"/>
    <w:rsid w:val="00EE08B1"/>
    <w:rsid w:val="00EE0B9A"/>
    <w:rsid w:val="00EE15B8"/>
    <w:rsid w:val="00EE165B"/>
    <w:rsid w:val="00EE18E3"/>
    <w:rsid w:val="00EE1A96"/>
    <w:rsid w:val="00EE208A"/>
    <w:rsid w:val="00EE2152"/>
    <w:rsid w:val="00EE282C"/>
    <w:rsid w:val="00EE2A4E"/>
    <w:rsid w:val="00EE3561"/>
    <w:rsid w:val="00EE35CE"/>
    <w:rsid w:val="00EE395D"/>
    <w:rsid w:val="00EE3A4F"/>
    <w:rsid w:val="00EE3AEC"/>
    <w:rsid w:val="00EE3E1E"/>
    <w:rsid w:val="00EE4405"/>
    <w:rsid w:val="00EE4935"/>
    <w:rsid w:val="00EE522F"/>
    <w:rsid w:val="00EE6835"/>
    <w:rsid w:val="00EE6B60"/>
    <w:rsid w:val="00EE7E69"/>
    <w:rsid w:val="00EF14F1"/>
    <w:rsid w:val="00EF312F"/>
    <w:rsid w:val="00EF379D"/>
    <w:rsid w:val="00EF394C"/>
    <w:rsid w:val="00EF3978"/>
    <w:rsid w:val="00EF3D27"/>
    <w:rsid w:val="00EF3D5E"/>
    <w:rsid w:val="00EF3DC4"/>
    <w:rsid w:val="00EF429E"/>
    <w:rsid w:val="00EF46B2"/>
    <w:rsid w:val="00EF4BC9"/>
    <w:rsid w:val="00EF58FC"/>
    <w:rsid w:val="00EF5910"/>
    <w:rsid w:val="00EF5EC0"/>
    <w:rsid w:val="00EF5FA0"/>
    <w:rsid w:val="00EF624E"/>
    <w:rsid w:val="00EF63A2"/>
    <w:rsid w:val="00EF6D96"/>
    <w:rsid w:val="00EF7EF1"/>
    <w:rsid w:val="00F0022E"/>
    <w:rsid w:val="00F0050C"/>
    <w:rsid w:val="00F00661"/>
    <w:rsid w:val="00F00E5B"/>
    <w:rsid w:val="00F00E63"/>
    <w:rsid w:val="00F01546"/>
    <w:rsid w:val="00F02362"/>
    <w:rsid w:val="00F025A7"/>
    <w:rsid w:val="00F02B4C"/>
    <w:rsid w:val="00F03061"/>
    <w:rsid w:val="00F03868"/>
    <w:rsid w:val="00F03E0D"/>
    <w:rsid w:val="00F044EE"/>
    <w:rsid w:val="00F05007"/>
    <w:rsid w:val="00F05AC5"/>
    <w:rsid w:val="00F05B02"/>
    <w:rsid w:val="00F05C55"/>
    <w:rsid w:val="00F06040"/>
    <w:rsid w:val="00F067C2"/>
    <w:rsid w:val="00F069E5"/>
    <w:rsid w:val="00F06D93"/>
    <w:rsid w:val="00F06FC0"/>
    <w:rsid w:val="00F07216"/>
    <w:rsid w:val="00F0782C"/>
    <w:rsid w:val="00F0789F"/>
    <w:rsid w:val="00F07B27"/>
    <w:rsid w:val="00F07B7B"/>
    <w:rsid w:val="00F10323"/>
    <w:rsid w:val="00F10747"/>
    <w:rsid w:val="00F10B61"/>
    <w:rsid w:val="00F10D61"/>
    <w:rsid w:val="00F11267"/>
    <w:rsid w:val="00F11986"/>
    <w:rsid w:val="00F11CAF"/>
    <w:rsid w:val="00F1260D"/>
    <w:rsid w:val="00F1292B"/>
    <w:rsid w:val="00F13C23"/>
    <w:rsid w:val="00F1440E"/>
    <w:rsid w:val="00F14658"/>
    <w:rsid w:val="00F14800"/>
    <w:rsid w:val="00F148D5"/>
    <w:rsid w:val="00F14B92"/>
    <w:rsid w:val="00F14CD8"/>
    <w:rsid w:val="00F14F7E"/>
    <w:rsid w:val="00F15233"/>
    <w:rsid w:val="00F152F9"/>
    <w:rsid w:val="00F163D6"/>
    <w:rsid w:val="00F164AE"/>
    <w:rsid w:val="00F1696B"/>
    <w:rsid w:val="00F1719A"/>
    <w:rsid w:val="00F17397"/>
    <w:rsid w:val="00F175BE"/>
    <w:rsid w:val="00F20066"/>
    <w:rsid w:val="00F2009B"/>
    <w:rsid w:val="00F20451"/>
    <w:rsid w:val="00F20DED"/>
    <w:rsid w:val="00F20FCF"/>
    <w:rsid w:val="00F217E2"/>
    <w:rsid w:val="00F21DF0"/>
    <w:rsid w:val="00F22129"/>
    <w:rsid w:val="00F224A0"/>
    <w:rsid w:val="00F224D8"/>
    <w:rsid w:val="00F227BE"/>
    <w:rsid w:val="00F235FE"/>
    <w:rsid w:val="00F2377F"/>
    <w:rsid w:val="00F23A41"/>
    <w:rsid w:val="00F23B64"/>
    <w:rsid w:val="00F243D1"/>
    <w:rsid w:val="00F24AA4"/>
    <w:rsid w:val="00F24D07"/>
    <w:rsid w:val="00F24E2F"/>
    <w:rsid w:val="00F25165"/>
    <w:rsid w:val="00F25CEE"/>
    <w:rsid w:val="00F26DC9"/>
    <w:rsid w:val="00F27447"/>
    <w:rsid w:val="00F27AEA"/>
    <w:rsid w:val="00F27BDB"/>
    <w:rsid w:val="00F27CBA"/>
    <w:rsid w:val="00F27F0A"/>
    <w:rsid w:val="00F27FB9"/>
    <w:rsid w:val="00F3015B"/>
    <w:rsid w:val="00F30424"/>
    <w:rsid w:val="00F30CE6"/>
    <w:rsid w:val="00F30F92"/>
    <w:rsid w:val="00F312FF"/>
    <w:rsid w:val="00F3171C"/>
    <w:rsid w:val="00F31DA6"/>
    <w:rsid w:val="00F32F3D"/>
    <w:rsid w:val="00F335AB"/>
    <w:rsid w:val="00F33DB5"/>
    <w:rsid w:val="00F34D0D"/>
    <w:rsid w:val="00F34F22"/>
    <w:rsid w:val="00F354A2"/>
    <w:rsid w:val="00F35C11"/>
    <w:rsid w:val="00F35CE2"/>
    <w:rsid w:val="00F36238"/>
    <w:rsid w:val="00F36893"/>
    <w:rsid w:val="00F36FEE"/>
    <w:rsid w:val="00F3758E"/>
    <w:rsid w:val="00F37AD2"/>
    <w:rsid w:val="00F4001C"/>
    <w:rsid w:val="00F40557"/>
    <w:rsid w:val="00F408CC"/>
    <w:rsid w:val="00F40BC6"/>
    <w:rsid w:val="00F416E9"/>
    <w:rsid w:val="00F41C10"/>
    <w:rsid w:val="00F41F14"/>
    <w:rsid w:val="00F41F66"/>
    <w:rsid w:val="00F42051"/>
    <w:rsid w:val="00F42148"/>
    <w:rsid w:val="00F4335E"/>
    <w:rsid w:val="00F4344F"/>
    <w:rsid w:val="00F4362A"/>
    <w:rsid w:val="00F43D92"/>
    <w:rsid w:val="00F447A9"/>
    <w:rsid w:val="00F44EEC"/>
    <w:rsid w:val="00F44F20"/>
    <w:rsid w:val="00F450BB"/>
    <w:rsid w:val="00F4527D"/>
    <w:rsid w:val="00F455F1"/>
    <w:rsid w:val="00F45979"/>
    <w:rsid w:val="00F45A20"/>
    <w:rsid w:val="00F45E5F"/>
    <w:rsid w:val="00F461F0"/>
    <w:rsid w:val="00F46872"/>
    <w:rsid w:val="00F46B6C"/>
    <w:rsid w:val="00F46FDA"/>
    <w:rsid w:val="00F47BE1"/>
    <w:rsid w:val="00F50373"/>
    <w:rsid w:val="00F50455"/>
    <w:rsid w:val="00F50472"/>
    <w:rsid w:val="00F50F6F"/>
    <w:rsid w:val="00F51135"/>
    <w:rsid w:val="00F51145"/>
    <w:rsid w:val="00F53E3D"/>
    <w:rsid w:val="00F54605"/>
    <w:rsid w:val="00F5496E"/>
    <w:rsid w:val="00F54B61"/>
    <w:rsid w:val="00F54FF7"/>
    <w:rsid w:val="00F556E8"/>
    <w:rsid w:val="00F56268"/>
    <w:rsid w:val="00F56CAB"/>
    <w:rsid w:val="00F57AFF"/>
    <w:rsid w:val="00F60152"/>
    <w:rsid w:val="00F602A2"/>
    <w:rsid w:val="00F6099D"/>
    <w:rsid w:val="00F60A7A"/>
    <w:rsid w:val="00F60BE6"/>
    <w:rsid w:val="00F60E68"/>
    <w:rsid w:val="00F61248"/>
    <w:rsid w:val="00F62C59"/>
    <w:rsid w:val="00F63A96"/>
    <w:rsid w:val="00F63C1B"/>
    <w:rsid w:val="00F63F47"/>
    <w:rsid w:val="00F648FA"/>
    <w:rsid w:val="00F64AAF"/>
    <w:rsid w:val="00F65358"/>
    <w:rsid w:val="00F65478"/>
    <w:rsid w:val="00F65B91"/>
    <w:rsid w:val="00F65D75"/>
    <w:rsid w:val="00F6633F"/>
    <w:rsid w:val="00F66562"/>
    <w:rsid w:val="00F6712C"/>
    <w:rsid w:val="00F67484"/>
    <w:rsid w:val="00F674F8"/>
    <w:rsid w:val="00F679B3"/>
    <w:rsid w:val="00F67D88"/>
    <w:rsid w:val="00F67E65"/>
    <w:rsid w:val="00F70B7D"/>
    <w:rsid w:val="00F71223"/>
    <w:rsid w:val="00F71243"/>
    <w:rsid w:val="00F716E6"/>
    <w:rsid w:val="00F71F8B"/>
    <w:rsid w:val="00F72079"/>
    <w:rsid w:val="00F724C2"/>
    <w:rsid w:val="00F72B08"/>
    <w:rsid w:val="00F7302C"/>
    <w:rsid w:val="00F73282"/>
    <w:rsid w:val="00F73A8A"/>
    <w:rsid w:val="00F73EB6"/>
    <w:rsid w:val="00F74088"/>
    <w:rsid w:val="00F743E8"/>
    <w:rsid w:val="00F746E9"/>
    <w:rsid w:val="00F74AF1"/>
    <w:rsid w:val="00F74F5C"/>
    <w:rsid w:val="00F750CB"/>
    <w:rsid w:val="00F75615"/>
    <w:rsid w:val="00F75D50"/>
    <w:rsid w:val="00F75F22"/>
    <w:rsid w:val="00F76555"/>
    <w:rsid w:val="00F766C9"/>
    <w:rsid w:val="00F76817"/>
    <w:rsid w:val="00F76A83"/>
    <w:rsid w:val="00F77A87"/>
    <w:rsid w:val="00F77E1A"/>
    <w:rsid w:val="00F812B0"/>
    <w:rsid w:val="00F819AC"/>
    <w:rsid w:val="00F81AFD"/>
    <w:rsid w:val="00F827BB"/>
    <w:rsid w:val="00F82DCB"/>
    <w:rsid w:val="00F82F24"/>
    <w:rsid w:val="00F83E05"/>
    <w:rsid w:val="00F846E6"/>
    <w:rsid w:val="00F84CD5"/>
    <w:rsid w:val="00F85425"/>
    <w:rsid w:val="00F855B4"/>
    <w:rsid w:val="00F85AD6"/>
    <w:rsid w:val="00F85C47"/>
    <w:rsid w:val="00F86020"/>
    <w:rsid w:val="00F862B3"/>
    <w:rsid w:val="00F86643"/>
    <w:rsid w:val="00F86862"/>
    <w:rsid w:val="00F8759B"/>
    <w:rsid w:val="00F87964"/>
    <w:rsid w:val="00F901F1"/>
    <w:rsid w:val="00F90457"/>
    <w:rsid w:val="00F90868"/>
    <w:rsid w:val="00F91383"/>
    <w:rsid w:val="00F91ACA"/>
    <w:rsid w:val="00F91CE9"/>
    <w:rsid w:val="00F91E5C"/>
    <w:rsid w:val="00F922C5"/>
    <w:rsid w:val="00F927A0"/>
    <w:rsid w:val="00F94595"/>
    <w:rsid w:val="00F949FD"/>
    <w:rsid w:val="00F94AE1"/>
    <w:rsid w:val="00F94FFA"/>
    <w:rsid w:val="00F9519E"/>
    <w:rsid w:val="00F955E3"/>
    <w:rsid w:val="00F9641F"/>
    <w:rsid w:val="00F96799"/>
    <w:rsid w:val="00F975C1"/>
    <w:rsid w:val="00F9794A"/>
    <w:rsid w:val="00FA018C"/>
    <w:rsid w:val="00FA03BA"/>
    <w:rsid w:val="00FA0F75"/>
    <w:rsid w:val="00FA0FF4"/>
    <w:rsid w:val="00FA14E4"/>
    <w:rsid w:val="00FA1B46"/>
    <w:rsid w:val="00FA1C45"/>
    <w:rsid w:val="00FA1CD3"/>
    <w:rsid w:val="00FA1F84"/>
    <w:rsid w:val="00FA26A9"/>
    <w:rsid w:val="00FA33B7"/>
    <w:rsid w:val="00FA3A37"/>
    <w:rsid w:val="00FA444D"/>
    <w:rsid w:val="00FA4F55"/>
    <w:rsid w:val="00FA58A4"/>
    <w:rsid w:val="00FA58ED"/>
    <w:rsid w:val="00FA5C4D"/>
    <w:rsid w:val="00FA5C50"/>
    <w:rsid w:val="00FA60B2"/>
    <w:rsid w:val="00FA638C"/>
    <w:rsid w:val="00FA63A0"/>
    <w:rsid w:val="00FA6691"/>
    <w:rsid w:val="00FA68C5"/>
    <w:rsid w:val="00FA7A19"/>
    <w:rsid w:val="00FB02B5"/>
    <w:rsid w:val="00FB0A2D"/>
    <w:rsid w:val="00FB13CF"/>
    <w:rsid w:val="00FB1A66"/>
    <w:rsid w:val="00FB1B07"/>
    <w:rsid w:val="00FB1F98"/>
    <w:rsid w:val="00FB2D95"/>
    <w:rsid w:val="00FB31A4"/>
    <w:rsid w:val="00FB3F43"/>
    <w:rsid w:val="00FB3FFF"/>
    <w:rsid w:val="00FB4157"/>
    <w:rsid w:val="00FB4187"/>
    <w:rsid w:val="00FB43CE"/>
    <w:rsid w:val="00FB4859"/>
    <w:rsid w:val="00FB4CF7"/>
    <w:rsid w:val="00FB4EB8"/>
    <w:rsid w:val="00FB5F8F"/>
    <w:rsid w:val="00FB6380"/>
    <w:rsid w:val="00FB6D94"/>
    <w:rsid w:val="00FC0623"/>
    <w:rsid w:val="00FC06EF"/>
    <w:rsid w:val="00FC0805"/>
    <w:rsid w:val="00FC1078"/>
    <w:rsid w:val="00FC1265"/>
    <w:rsid w:val="00FC176A"/>
    <w:rsid w:val="00FC185E"/>
    <w:rsid w:val="00FC2006"/>
    <w:rsid w:val="00FC278A"/>
    <w:rsid w:val="00FC2CC5"/>
    <w:rsid w:val="00FC37BD"/>
    <w:rsid w:val="00FC37EF"/>
    <w:rsid w:val="00FC3DC8"/>
    <w:rsid w:val="00FC3EA2"/>
    <w:rsid w:val="00FC5443"/>
    <w:rsid w:val="00FC5DAE"/>
    <w:rsid w:val="00FC6139"/>
    <w:rsid w:val="00FC647D"/>
    <w:rsid w:val="00FC682B"/>
    <w:rsid w:val="00FC6A1D"/>
    <w:rsid w:val="00FC6FBC"/>
    <w:rsid w:val="00FC7409"/>
    <w:rsid w:val="00FC7E0D"/>
    <w:rsid w:val="00FD03CC"/>
    <w:rsid w:val="00FD0C1A"/>
    <w:rsid w:val="00FD1272"/>
    <w:rsid w:val="00FD1A43"/>
    <w:rsid w:val="00FD259A"/>
    <w:rsid w:val="00FD29ED"/>
    <w:rsid w:val="00FD2CA4"/>
    <w:rsid w:val="00FD3B27"/>
    <w:rsid w:val="00FD3E6E"/>
    <w:rsid w:val="00FD3FD7"/>
    <w:rsid w:val="00FD402F"/>
    <w:rsid w:val="00FD42B1"/>
    <w:rsid w:val="00FD43EC"/>
    <w:rsid w:val="00FD45C3"/>
    <w:rsid w:val="00FD52F3"/>
    <w:rsid w:val="00FD5489"/>
    <w:rsid w:val="00FD5C71"/>
    <w:rsid w:val="00FD5F34"/>
    <w:rsid w:val="00FD5F49"/>
    <w:rsid w:val="00FD5FBA"/>
    <w:rsid w:val="00FD6787"/>
    <w:rsid w:val="00FD7113"/>
    <w:rsid w:val="00FE154F"/>
    <w:rsid w:val="00FE18CA"/>
    <w:rsid w:val="00FE1A6B"/>
    <w:rsid w:val="00FE1B19"/>
    <w:rsid w:val="00FE1C4C"/>
    <w:rsid w:val="00FE20EF"/>
    <w:rsid w:val="00FE263D"/>
    <w:rsid w:val="00FE2927"/>
    <w:rsid w:val="00FE33C7"/>
    <w:rsid w:val="00FE3402"/>
    <w:rsid w:val="00FE383B"/>
    <w:rsid w:val="00FE38D4"/>
    <w:rsid w:val="00FE3AF6"/>
    <w:rsid w:val="00FE3D62"/>
    <w:rsid w:val="00FE4C5D"/>
    <w:rsid w:val="00FE5228"/>
    <w:rsid w:val="00FE544C"/>
    <w:rsid w:val="00FE631B"/>
    <w:rsid w:val="00FE6500"/>
    <w:rsid w:val="00FE6724"/>
    <w:rsid w:val="00FE6789"/>
    <w:rsid w:val="00FE6841"/>
    <w:rsid w:val="00FE68CA"/>
    <w:rsid w:val="00FE6932"/>
    <w:rsid w:val="00FE6D5B"/>
    <w:rsid w:val="00FE6D67"/>
    <w:rsid w:val="00FE6FD2"/>
    <w:rsid w:val="00FE787E"/>
    <w:rsid w:val="00FE7CC1"/>
    <w:rsid w:val="00FF0024"/>
    <w:rsid w:val="00FF060D"/>
    <w:rsid w:val="00FF1689"/>
    <w:rsid w:val="00FF18C7"/>
    <w:rsid w:val="00FF197B"/>
    <w:rsid w:val="00FF2399"/>
    <w:rsid w:val="00FF2496"/>
    <w:rsid w:val="00FF249F"/>
    <w:rsid w:val="00FF309F"/>
    <w:rsid w:val="00FF3198"/>
    <w:rsid w:val="00FF32E0"/>
    <w:rsid w:val="00FF36DC"/>
    <w:rsid w:val="00FF3D94"/>
    <w:rsid w:val="00FF427A"/>
    <w:rsid w:val="00FF4A3E"/>
    <w:rsid w:val="00FF4CFC"/>
    <w:rsid w:val="00FF4E7F"/>
    <w:rsid w:val="00FF51FB"/>
    <w:rsid w:val="00FF5309"/>
    <w:rsid w:val="00FF55D7"/>
    <w:rsid w:val="00FF5756"/>
    <w:rsid w:val="00FF5802"/>
    <w:rsid w:val="00FF5B0C"/>
    <w:rsid w:val="00FF5CE9"/>
    <w:rsid w:val="00FF5EAB"/>
    <w:rsid w:val="00FF6470"/>
    <w:rsid w:val="00FF64BD"/>
    <w:rsid w:val="00FF66CC"/>
    <w:rsid w:val="00FF67B3"/>
    <w:rsid w:val="00FF694F"/>
    <w:rsid w:val="00FF6BB9"/>
    <w:rsid w:val="00FF6FF9"/>
    <w:rsid w:val="00FF702F"/>
    <w:rsid w:val="00FF7D1D"/>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335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F5CE0"/>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547D49"/>
    <w:pPr>
      <w:keepNext/>
      <w:keepLines/>
      <w:numPr>
        <w:numId w:val="1"/>
      </w:numPr>
      <w:spacing w:before="360" w:after="240"/>
      <w:ind w:left="714" w:hanging="357"/>
      <w:jc w:val="center"/>
      <w:outlineLvl w:val="0"/>
    </w:pPr>
    <w:rPr>
      <w:rFonts w:asciiTheme="minorHAnsi" w:eastAsiaTheme="majorEastAsia" w:hAnsiTheme="minorHAnsi" w:cstheme="majorBidi"/>
      <w:b/>
      <w:bCs/>
      <w:color w:val="365F91" w:themeColor="accent1" w:themeShade="BF"/>
      <w:sz w:val="28"/>
      <w:szCs w:val="24"/>
      <w:lang w:eastAsia="lt-LT"/>
    </w:rPr>
  </w:style>
  <w:style w:type="paragraph" w:styleId="Antrat2">
    <w:name w:val="heading 2"/>
    <w:basedOn w:val="prastasis"/>
    <w:next w:val="prastasis"/>
    <w:link w:val="Antrat2Diagrama"/>
    <w:uiPriority w:val="9"/>
    <w:unhideWhenUsed/>
    <w:qFormat/>
    <w:rsid w:val="00B864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semiHidden/>
    <w:unhideWhenUsed/>
    <w:qFormat/>
    <w:rsid w:val="001F7F6F"/>
    <w:pPr>
      <w:keepNext/>
      <w:keepLines/>
      <w:spacing w:before="20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CharDiagramaCharChar1">
    <w:name w:val="Char Diagrama Char Char1"/>
    <w:basedOn w:val="prastasis"/>
    <w:rsid w:val="002D6066"/>
    <w:pPr>
      <w:spacing w:after="160" w:line="240" w:lineRule="exact"/>
    </w:pPr>
    <w:rPr>
      <w:rFonts w:ascii="Tahoma" w:hAnsi="Tahoma"/>
      <w:sz w:val="20"/>
      <w:lang w:val="en-US"/>
    </w:rPr>
  </w:style>
  <w:style w:type="paragraph" w:styleId="Sraopastraipa">
    <w:name w:val="List Paragraph"/>
    <w:aliases w:val="List Paragraph (numbered (a)),References,WB List Paragraph,Akapit z listą,Dot pt,F5 List Paragraph,List Paragraph1,Recommendation,List Paragraph11,Numerowanie,Kolorowa lista — akcent 11,Akapit z listą1,Listaszerű bekezdés1,Bullet EY"/>
    <w:basedOn w:val="prastasis"/>
    <w:link w:val="SraopastraipaDiagrama"/>
    <w:uiPriority w:val="34"/>
    <w:qFormat/>
    <w:rsid w:val="002D6066"/>
    <w:pPr>
      <w:spacing w:after="200" w:line="276" w:lineRule="auto"/>
      <w:ind w:left="720"/>
      <w:contextualSpacing/>
    </w:pPr>
    <w:rPr>
      <w:rFonts w:ascii="Calibri" w:eastAsia="Calibri" w:hAnsi="Calibri"/>
      <w:sz w:val="22"/>
      <w:szCs w:val="22"/>
    </w:rPr>
  </w:style>
  <w:style w:type="paragraph" w:styleId="Debesliotekstas">
    <w:name w:val="Balloon Text"/>
    <w:basedOn w:val="prastasis"/>
    <w:link w:val="DebesliotekstasDiagrama"/>
    <w:uiPriority w:val="99"/>
    <w:semiHidden/>
    <w:unhideWhenUsed/>
    <w:rsid w:val="002D606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D6066"/>
    <w:rPr>
      <w:rFonts w:ascii="Tahoma" w:eastAsia="Times New Roman" w:hAnsi="Tahoma" w:cs="Tahoma"/>
      <w:sz w:val="16"/>
      <w:szCs w:val="16"/>
    </w:rPr>
  </w:style>
  <w:style w:type="paragraph" w:customStyle="1" w:styleId="CharDiagramaCharChar">
    <w:name w:val="Char Diagrama Char Char"/>
    <w:basedOn w:val="prastasis"/>
    <w:rsid w:val="002E5B8A"/>
    <w:pPr>
      <w:spacing w:after="160" w:line="240" w:lineRule="exact"/>
    </w:pPr>
    <w:rPr>
      <w:rFonts w:ascii="Tahoma" w:hAnsi="Tahoma"/>
      <w:sz w:val="20"/>
      <w:lang w:val="en-US"/>
    </w:rPr>
  </w:style>
  <w:style w:type="character" w:styleId="Komentaronuoroda">
    <w:name w:val="annotation reference"/>
    <w:basedOn w:val="Numatytasispastraiposriftas"/>
    <w:uiPriority w:val="99"/>
    <w:semiHidden/>
    <w:unhideWhenUsed/>
    <w:rsid w:val="00C2465F"/>
    <w:rPr>
      <w:sz w:val="16"/>
      <w:szCs w:val="16"/>
    </w:rPr>
  </w:style>
  <w:style w:type="paragraph" w:styleId="Komentarotekstas">
    <w:name w:val="annotation text"/>
    <w:basedOn w:val="prastasis"/>
    <w:link w:val="KomentarotekstasDiagrama"/>
    <w:uiPriority w:val="99"/>
    <w:unhideWhenUsed/>
    <w:rsid w:val="00C2465F"/>
    <w:rPr>
      <w:sz w:val="20"/>
    </w:rPr>
  </w:style>
  <w:style w:type="character" w:customStyle="1" w:styleId="KomentarotekstasDiagrama">
    <w:name w:val="Komentaro tekstas Diagrama"/>
    <w:basedOn w:val="Numatytasispastraiposriftas"/>
    <w:link w:val="Komentarotekstas"/>
    <w:uiPriority w:val="99"/>
    <w:rsid w:val="00C2465F"/>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C2465F"/>
    <w:rPr>
      <w:b/>
      <w:bCs/>
    </w:rPr>
  </w:style>
  <w:style w:type="character" w:customStyle="1" w:styleId="KomentarotemaDiagrama">
    <w:name w:val="Komentaro tema Diagrama"/>
    <w:basedOn w:val="KomentarotekstasDiagrama"/>
    <w:link w:val="Komentarotema"/>
    <w:uiPriority w:val="99"/>
    <w:semiHidden/>
    <w:rsid w:val="00C2465F"/>
    <w:rPr>
      <w:rFonts w:ascii="Times New Roman" w:eastAsia="Times New Roman" w:hAnsi="Times New Roman" w:cs="Times New Roman"/>
      <w:b/>
      <w:bCs/>
      <w:sz w:val="20"/>
      <w:szCs w:val="20"/>
    </w:rPr>
  </w:style>
  <w:style w:type="paragraph" w:styleId="prastasistinklapis">
    <w:name w:val="Normal (Web)"/>
    <w:basedOn w:val="prastasis"/>
    <w:uiPriority w:val="99"/>
    <w:unhideWhenUsed/>
    <w:rsid w:val="00AE3D8C"/>
    <w:pPr>
      <w:spacing w:before="100" w:beforeAutospacing="1" w:after="100" w:afterAutospacing="1"/>
    </w:pPr>
    <w:rPr>
      <w:rFonts w:eastAsiaTheme="minorEastAsia"/>
      <w:szCs w:val="24"/>
      <w:lang w:eastAsia="lt-LT"/>
    </w:rPr>
  </w:style>
  <w:style w:type="paragraph" w:styleId="Antrats">
    <w:name w:val="header"/>
    <w:basedOn w:val="prastasis"/>
    <w:link w:val="AntratsDiagrama"/>
    <w:uiPriority w:val="99"/>
    <w:unhideWhenUsed/>
    <w:rsid w:val="00885DE2"/>
    <w:pPr>
      <w:tabs>
        <w:tab w:val="center" w:pos="4819"/>
        <w:tab w:val="right" w:pos="9638"/>
      </w:tabs>
    </w:pPr>
  </w:style>
  <w:style w:type="character" w:customStyle="1" w:styleId="AntratsDiagrama">
    <w:name w:val="Antraštės Diagrama"/>
    <w:basedOn w:val="Numatytasispastraiposriftas"/>
    <w:link w:val="Antrats"/>
    <w:uiPriority w:val="99"/>
    <w:rsid w:val="00885DE2"/>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885DE2"/>
    <w:pPr>
      <w:tabs>
        <w:tab w:val="center" w:pos="4819"/>
        <w:tab w:val="right" w:pos="9638"/>
      </w:tabs>
    </w:pPr>
  </w:style>
  <w:style w:type="character" w:customStyle="1" w:styleId="PoratDiagrama">
    <w:name w:val="Poraštė Diagrama"/>
    <w:basedOn w:val="Numatytasispastraiposriftas"/>
    <w:link w:val="Porat"/>
    <w:uiPriority w:val="99"/>
    <w:rsid w:val="00885DE2"/>
    <w:rPr>
      <w:rFonts w:ascii="Times New Roman" w:eastAsia="Times New Roman" w:hAnsi="Times New Roman" w:cs="Times New Roman"/>
      <w:sz w:val="24"/>
      <w:szCs w:val="20"/>
    </w:rPr>
  </w:style>
  <w:style w:type="table" w:styleId="Lentelstinklelis">
    <w:name w:val="Table Grid"/>
    <w:basedOn w:val="prastojilentel"/>
    <w:uiPriority w:val="59"/>
    <w:rsid w:val="009E3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3F2736"/>
    <w:pPr>
      <w:spacing w:after="0" w:line="240" w:lineRule="auto"/>
    </w:pPr>
    <w:rPr>
      <w:rFonts w:ascii="Times New Roman" w:eastAsia="Times New Roman" w:hAnsi="Times New Roman" w:cs="Times New Roman"/>
      <w:sz w:val="24"/>
      <w:szCs w:val="20"/>
    </w:rPr>
  </w:style>
  <w:style w:type="table" w:customStyle="1" w:styleId="Lentelstinklelis1">
    <w:name w:val="Lentelės tinklelis1"/>
    <w:basedOn w:val="prastojilentel"/>
    <w:next w:val="Lentelstinklelis"/>
    <w:uiPriority w:val="59"/>
    <w:rsid w:val="00433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qFormat/>
    <w:rsid w:val="00F76555"/>
    <w:pPr>
      <w:spacing w:after="240"/>
      <w:jc w:val="both"/>
    </w:pPr>
    <w:rPr>
      <w:rFonts w:eastAsia="SimSun"/>
      <w:szCs w:val="24"/>
      <w:lang w:eastAsia="lt-LT"/>
    </w:rPr>
  </w:style>
  <w:style w:type="character" w:customStyle="1" w:styleId="PagrindinistekstasDiagrama">
    <w:name w:val="Pagrindinis tekstas Diagrama"/>
    <w:basedOn w:val="Numatytasispastraiposriftas"/>
    <w:link w:val="Pagrindinistekstas"/>
    <w:rsid w:val="00F76555"/>
    <w:rPr>
      <w:rFonts w:ascii="Times New Roman" w:eastAsia="SimSun" w:hAnsi="Times New Roman" w:cs="Times New Roman"/>
      <w:sz w:val="24"/>
      <w:szCs w:val="24"/>
      <w:lang w:eastAsia="lt-LT"/>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o"/>
    <w:basedOn w:val="prastasis"/>
    <w:link w:val="PuslapioinaostekstasDiagrama"/>
    <w:uiPriority w:val="99"/>
    <w:unhideWhenUsed/>
    <w:qFormat/>
    <w:rsid w:val="004D3793"/>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4D3793"/>
    <w:rPr>
      <w:rFonts w:ascii="Times New Roman" w:eastAsia="Times New Roman" w:hAnsi="Times New Roman" w:cs="Times New Roman"/>
      <w:sz w:val="20"/>
      <w:szCs w:val="20"/>
    </w:rPr>
  </w:style>
  <w:style w:type="character" w:styleId="Puslapioinaosnuoroda">
    <w:name w:val="footnote reference"/>
    <w:aliases w:val="• Isnasos nuoroda,Footnotes refss,Appel note de bas de p,Footnote symbol,Voetnootverwijzing,Times 10 Point,Exposant 3 Point,BVI fnr,Footnote Reference Number,SUPERS,Footnote anchor,Footnote reference number,Footnote number,fr,FR"/>
    <w:basedOn w:val="Numatytasispastraiposriftas"/>
    <w:link w:val="SUPERSChar"/>
    <w:uiPriority w:val="99"/>
    <w:unhideWhenUsed/>
    <w:qFormat/>
    <w:rsid w:val="004D3793"/>
    <w:rPr>
      <w:vertAlign w:val="superscript"/>
    </w:rPr>
  </w:style>
  <w:style w:type="paragraph" w:styleId="prastojitrauka">
    <w:name w:val="Normal Indent"/>
    <w:basedOn w:val="prastasis"/>
    <w:uiPriority w:val="99"/>
    <w:semiHidden/>
    <w:unhideWhenUsed/>
    <w:rsid w:val="008C4570"/>
    <w:pPr>
      <w:ind w:left="1296"/>
    </w:pPr>
  </w:style>
  <w:style w:type="character" w:customStyle="1" w:styleId="Antrat1Diagrama">
    <w:name w:val="Antraštė 1 Diagrama"/>
    <w:basedOn w:val="Numatytasispastraiposriftas"/>
    <w:link w:val="Antrat1"/>
    <w:uiPriority w:val="9"/>
    <w:rsid w:val="00547D49"/>
    <w:rPr>
      <w:rFonts w:eastAsiaTheme="majorEastAsia" w:cstheme="majorBidi"/>
      <w:b/>
      <w:bCs/>
      <w:color w:val="365F91" w:themeColor="accent1" w:themeShade="BF"/>
      <w:sz w:val="28"/>
      <w:szCs w:val="24"/>
      <w:lang w:eastAsia="lt-LT"/>
    </w:rPr>
  </w:style>
  <w:style w:type="character" w:customStyle="1" w:styleId="Antrat2Diagrama">
    <w:name w:val="Antraštė 2 Diagrama"/>
    <w:basedOn w:val="Numatytasispastraiposriftas"/>
    <w:link w:val="Antrat2"/>
    <w:uiPriority w:val="9"/>
    <w:rsid w:val="00B86403"/>
    <w:rPr>
      <w:rFonts w:asciiTheme="majorHAnsi" w:eastAsiaTheme="majorEastAsia" w:hAnsiTheme="majorHAnsi" w:cstheme="majorBidi"/>
      <w:b/>
      <w:bCs/>
      <w:color w:val="4F81BD" w:themeColor="accent1"/>
      <w:sz w:val="26"/>
      <w:szCs w:val="26"/>
    </w:rPr>
  </w:style>
  <w:style w:type="paragraph" w:styleId="Turinioantrat">
    <w:name w:val="TOC Heading"/>
    <w:basedOn w:val="Antrat1"/>
    <w:next w:val="prastasis"/>
    <w:uiPriority w:val="39"/>
    <w:unhideWhenUsed/>
    <w:qFormat/>
    <w:rsid w:val="00B86403"/>
    <w:pPr>
      <w:spacing w:line="276" w:lineRule="auto"/>
      <w:outlineLvl w:val="9"/>
    </w:pPr>
  </w:style>
  <w:style w:type="paragraph" w:styleId="Turinys1">
    <w:name w:val="toc 1"/>
    <w:basedOn w:val="prastasis"/>
    <w:next w:val="prastasis"/>
    <w:autoRedefine/>
    <w:uiPriority w:val="39"/>
    <w:unhideWhenUsed/>
    <w:rsid w:val="00B86403"/>
    <w:pPr>
      <w:spacing w:after="100"/>
    </w:pPr>
  </w:style>
  <w:style w:type="paragraph" w:styleId="Turinys2">
    <w:name w:val="toc 2"/>
    <w:basedOn w:val="prastasis"/>
    <w:next w:val="prastasis"/>
    <w:autoRedefine/>
    <w:uiPriority w:val="39"/>
    <w:unhideWhenUsed/>
    <w:rsid w:val="00B86403"/>
    <w:pPr>
      <w:spacing w:after="100"/>
      <w:ind w:left="240"/>
    </w:pPr>
  </w:style>
  <w:style w:type="character" w:styleId="Hipersaitas">
    <w:name w:val="Hyperlink"/>
    <w:basedOn w:val="Numatytasispastraiposriftas"/>
    <w:uiPriority w:val="99"/>
    <w:unhideWhenUsed/>
    <w:rsid w:val="00B86403"/>
    <w:rPr>
      <w:color w:val="0000FF" w:themeColor="hyperlink"/>
      <w:u w:val="single"/>
    </w:rPr>
  </w:style>
  <w:style w:type="paragraph" w:customStyle="1" w:styleId="DiagramaDiagrama1DiagramaDiagramaDiagramaDiagramaDiagramaDiagramaDiagramaDiagramaDiagramaDiagramaDiagrama">
    <w:name w:val="Diagrama Diagrama1 Diagrama Diagrama Diagrama Diagrama Diagrama Diagrama Diagrama Diagrama Diagrama Diagrama Diagrama"/>
    <w:basedOn w:val="prastasis"/>
    <w:rsid w:val="00B86403"/>
    <w:pPr>
      <w:spacing w:after="160" w:line="240" w:lineRule="exact"/>
    </w:pPr>
    <w:rPr>
      <w:rFonts w:ascii="Tahoma" w:hAnsi="Tahoma"/>
      <w:sz w:val="20"/>
      <w:lang w:val="en-US"/>
    </w:rPr>
  </w:style>
  <w:style w:type="character" w:customStyle="1" w:styleId="SraopastraipaDiagrama">
    <w:name w:val="Sąrašo pastraipa Diagrama"/>
    <w:aliases w:val="List Paragraph (numbered (a)) Diagrama,References Diagrama,WB List Paragraph Diagrama,Akapit z listą Diagrama,Dot pt Diagrama,F5 List Paragraph Diagrama,List Paragraph1 Diagrama,Recommendation Diagrama,List Paragraph11 Diagrama"/>
    <w:link w:val="Sraopastraipa"/>
    <w:uiPriority w:val="34"/>
    <w:locked/>
    <w:rsid w:val="00433A9A"/>
    <w:rPr>
      <w:rFonts w:ascii="Calibri" w:eastAsia="Calibri" w:hAnsi="Calibri" w:cs="Times New Roman"/>
    </w:rPr>
  </w:style>
  <w:style w:type="paragraph" w:styleId="Antrat">
    <w:name w:val="caption"/>
    <w:aliases w:val="• Caption,Table caption,paveikslas,Paveikslo pavadinimas,TabelOverskrift"/>
    <w:basedOn w:val="prastasis"/>
    <w:next w:val="prastasis"/>
    <w:link w:val="AntratDiagrama"/>
    <w:uiPriority w:val="99"/>
    <w:unhideWhenUsed/>
    <w:qFormat/>
    <w:rsid w:val="00433A9A"/>
    <w:pPr>
      <w:spacing w:after="200"/>
    </w:pPr>
    <w:rPr>
      <w:rFonts w:ascii="Calibri" w:eastAsia="Calibri" w:hAnsi="Calibri"/>
      <w:b/>
      <w:bCs/>
      <w:color w:val="4F81BD"/>
      <w:sz w:val="18"/>
      <w:szCs w:val="18"/>
    </w:rPr>
  </w:style>
  <w:style w:type="paragraph" w:customStyle="1" w:styleId="antrat2ZZ">
    <w:name w:val="antraštė 2_ZZ"/>
    <w:basedOn w:val="prastasis"/>
    <w:link w:val="antrat2ZZDiagrama"/>
    <w:qFormat/>
    <w:rsid w:val="00547D49"/>
    <w:pPr>
      <w:keepNext/>
      <w:keepLines/>
      <w:spacing w:before="360" w:after="240"/>
      <w:jc w:val="center"/>
      <w:outlineLvl w:val="0"/>
    </w:pPr>
    <w:rPr>
      <w:rFonts w:asciiTheme="minorHAnsi" w:eastAsiaTheme="majorEastAsia" w:hAnsiTheme="minorHAnsi" w:cstheme="majorBidi"/>
      <w:b/>
      <w:bCs/>
      <w:color w:val="365F91" w:themeColor="accent1" w:themeShade="BF"/>
      <w:sz w:val="26"/>
      <w:szCs w:val="28"/>
      <w:lang w:eastAsia="lt-LT"/>
    </w:rPr>
  </w:style>
  <w:style w:type="paragraph" w:customStyle="1" w:styleId="antrat3zz">
    <w:name w:val="antraštė 3_zz"/>
    <w:basedOn w:val="Antrat2"/>
    <w:link w:val="antrat3zzDiagrama"/>
    <w:qFormat/>
    <w:rsid w:val="00547D49"/>
    <w:pPr>
      <w:spacing w:before="240" w:after="120"/>
    </w:pPr>
    <w:rPr>
      <w:rFonts w:asciiTheme="minorHAnsi" w:hAnsiTheme="minorHAnsi"/>
      <w:color w:val="595959" w:themeColor="text1" w:themeTint="A6"/>
      <w:sz w:val="24"/>
      <w:szCs w:val="24"/>
      <w:lang w:eastAsia="lt-LT"/>
    </w:rPr>
  </w:style>
  <w:style w:type="character" w:customStyle="1" w:styleId="antrat2ZZDiagrama">
    <w:name w:val="antraštė 2_ZZ Diagrama"/>
    <w:basedOn w:val="Numatytasispastraiposriftas"/>
    <w:link w:val="antrat2ZZ"/>
    <w:rsid w:val="00547D49"/>
    <w:rPr>
      <w:rFonts w:eastAsiaTheme="majorEastAsia" w:cstheme="majorBidi"/>
      <w:b/>
      <w:bCs/>
      <w:color w:val="365F91" w:themeColor="accent1" w:themeShade="BF"/>
      <w:sz w:val="26"/>
      <w:szCs w:val="28"/>
      <w:lang w:eastAsia="lt-LT"/>
    </w:rPr>
  </w:style>
  <w:style w:type="character" w:customStyle="1" w:styleId="antrat3zzDiagrama">
    <w:name w:val="antraštė 3_zz Diagrama"/>
    <w:basedOn w:val="Antrat2Diagrama"/>
    <w:link w:val="antrat3zz"/>
    <w:rsid w:val="00547D49"/>
    <w:rPr>
      <w:rFonts w:asciiTheme="majorHAnsi" w:eastAsiaTheme="majorEastAsia" w:hAnsiTheme="majorHAnsi" w:cstheme="majorBidi"/>
      <w:b/>
      <w:bCs/>
      <w:color w:val="595959" w:themeColor="text1" w:themeTint="A6"/>
      <w:sz w:val="24"/>
      <w:szCs w:val="24"/>
      <w:lang w:eastAsia="lt-LT"/>
    </w:rPr>
  </w:style>
  <w:style w:type="paragraph" w:styleId="Pavadinimas">
    <w:name w:val="Title"/>
    <w:basedOn w:val="prastasis"/>
    <w:next w:val="prastasis"/>
    <w:link w:val="PavadinimasDiagrama"/>
    <w:uiPriority w:val="10"/>
    <w:qFormat/>
    <w:rsid w:val="00FC613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28"/>
      <w:szCs w:val="52"/>
    </w:rPr>
  </w:style>
  <w:style w:type="character" w:customStyle="1" w:styleId="PavadinimasDiagrama">
    <w:name w:val="Pavadinimas Diagrama"/>
    <w:basedOn w:val="Numatytasispastraiposriftas"/>
    <w:link w:val="Pavadinimas"/>
    <w:uiPriority w:val="10"/>
    <w:rsid w:val="00FC6139"/>
    <w:rPr>
      <w:rFonts w:asciiTheme="majorHAnsi" w:eastAsiaTheme="majorEastAsia" w:hAnsiTheme="majorHAnsi" w:cstheme="majorBidi"/>
      <w:color w:val="17365D" w:themeColor="text2" w:themeShade="BF"/>
      <w:spacing w:val="5"/>
      <w:kern w:val="28"/>
      <w:sz w:val="28"/>
      <w:szCs w:val="52"/>
    </w:rPr>
  </w:style>
  <w:style w:type="paragraph" w:customStyle="1" w:styleId="088095CB421E4E02BDC9682AFEE1723A">
    <w:name w:val="088095CB421E4E02BDC9682AFEE1723A"/>
    <w:rsid w:val="00866DFB"/>
    <w:rPr>
      <w:rFonts w:eastAsiaTheme="minorEastAsia"/>
      <w:lang w:eastAsia="lt-LT"/>
    </w:rPr>
  </w:style>
  <w:style w:type="paragraph" w:styleId="Pagrindiniotekstotrauka">
    <w:name w:val="Body Text Indent"/>
    <w:basedOn w:val="prastasis"/>
    <w:link w:val="PagrindiniotekstotraukaDiagrama"/>
    <w:uiPriority w:val="99"/>
    <w:unhideWhenUsed/>
    <w:rsid w:val="004F2F37"/>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4F2F37"/>
    <w:rPr>
      <w:rFonts w:ascii="Times New Roman" w:eastAsia="Times New Roman" w:hAnsi="Times New Roman" w:cs="Times New Roman"/>
      <w:sz w:val="24"/>
      <w:szCs w:val="20"/>
    </w:rPr>
  </w:style>
  <w:style w:type="paragraph" w:customStyle="1" w:styleId="SUPERSChar">
    <w:name w:val="SUPERS Char"/>
    <w:aliases w:val="EN Footnote Reference Char"/>
    <w:basedOn w:val="prastasis"/>
    <w:link w:val="Puslapioinaosnuoroda"/>
    <w:uiPriority w:val="99"/>
    <w:rsid w:val="004F2F37"/>
    <w:pPr>
      <w:spacing w:after="160" w:line="240" w:lineRule="exact"/>
    </w:pPr>
    <w:rPr>
      <w:rFonts w:asciiTheme="minorHAnsi" w:eastAsiaTheme="minorHAnsi" w:hAnsiTheme="minorHAnsi" w:cstheme="minorBidi"/>
      <w:sz w:val="22"/>
      <w:szCs w:val="22"/>
      <w:vertAlign w:val="superscript"/>
    </w:rPr>
  </w:style>
  <w:style w:type="character" w:customStyle="1" w:styleId="AntratDiagrama">
    <w:name w:val="Antraštė Diagrama"/>
    <w:aliases w:val="• Caption Diagrama,Table caption Diagrama,paveikslas Diagrama,Paveikslo pavadinimas Diagrama,TabelOverskrift Diagrama"/>
    <w:link w:val="Antrat"/>
    <w:uiPriority w:val="99"/>
    <w:locked/>
    <w:rsid w:val="004F2F37"/>
    <w:rPr>
      <w:rFonts w:ascii="Calibri" w:eastAsia="Calibri" w:hAnsi="Calibri" w:cs="Times New Roman"/>
      <w:b/>
      <w:bCs/>
      <w:color w:val="4F81BD"/>
      <w:sz w:val="18"/>
      <w:szCs w:val="18"/>
    </w:rPr>
  </w:style>
  <w:style w:type="paragraph" w:customStyle="1" w:styleId="Pagrindinispaprastastekstas">
    <w:name w:val="• Pagrindinis paprastas tekstas"/>
    <w:basedOn w:val="prastasis"/>
    <w:link w:val="PagrindinispaprastastekstasChar"/>
    <w:uiPriority w:val="99"/>
    <w:rsid w:val="004F2F37"/>
    <w:pPr>
      <w:jc w:val="both"/>
    </w:pPr>
    <w:rPr>
      <w:rFonts w:ascii="Cambria" w:eastAsia="Calibri" w:hAnsi="Cambria" w:cs="Cambria"/>
      <w:szCs w:val="24"/>
      <w:lang w:eastAsia="lt-LT"/>
    </w:rPr>
  </w:style>
  <w:style w:type="character" w:customStyle="1" w:styleId="PagrindinispaprastastekstasChar">
    <w:name w:val="• Pagrindinis paprastas tekstas Char"/>
    <w:link w:val="Pagrindinispaprastastekstas"/>
    <w:uiPriority w:val="99"/>
    <w:locked/>
    <w:rsid w:val="004F2F37"/>
    <w:rPr>
      <w:rFonts w:ascii="Cambria" w:eastAsia="Calibri" w:hAnsi="Cambria" w:cs="Cambria"/>
      <w:sz w:val="24"/>
      <w:szCs w:val="24"/>
      <w:lang w:eastAsia="lt-LT"/>
    </w:rPr>
  </w:style>
  <w:style w:type="paragraph" w:customStyle="1" w:styleId="tekstas">
    <w:name w:val="tekstas"/>
    <w:basedOn w:val="prastasis"/>
    <w:link w:val="tekstasDiagrama"/>
    <w:qFormat/>
    <w:rsid w:val="004F2F37"/>
    <w:pPr>
      <w:ind w:firstLine="426"/>
      <w:jc w:val="both"/>
    </w:pPr>
    <w:rPr>
      <w:rFonts w:asciiTheme="minorHAnsi" w:hAnsiTheme="minorHAnsi"/>
      <w:color w:val="666666"/>
      <w:szCs w:val="24"/>
    </w:rPr>
  </w:style>
  <w:style w:type="character" w:customStyle="1" w:styleId="tekstasDiagrama">
    <w:name w:val="tekstas Diagrama"/>
    <w:basedOn w:val="Numatytasispastraiposriftas"/>
    <w:link w:val="tekstas"/>
    <w:rsid w:val="004F2F37"/>
    <w:rPr>
      <w:rFonts w:eastAsia="Times New Roman" w:cs="Times New Roman"/>
      <w:color w:val="666666"/>
      <w:sz w:val="24"/>
      <w:szCs w:val="24"/>
    </w:rPr>
  </w:style>
  <w:style w:type="paragraph" w:customStyle="1" w:styleId="Textboxtekstas">
    <w:name w:val="• Text box tekstas"/>
    <w:basedOn w:val="prastasis"/>
    <w:uiPriority w:val="99"/>
    <w:rsid w:val="001F7F6F"/>
    <w:pPr>
      <w:jc w:val="both"/>
    </w:pPr>
    <w:rPr>
      <w:rFonts w:ascii="Cambria" w:hAnsi="Cambria" w:cs="Cambria"/>
      <w:color w:val="4181B6"/>
      <w:kern w:val="32"/>
      <w:sz w:val="20"/>
      <w:lang w:eastAsia="lt-LT"/>
    </w:rPr>
  </w:style>
  <w:style w:type="character" w:customStyle="1" w:styleId="Antrat3Diagrama">
    <w:name w:val="Antraštė 3 Diagrama"/>
    <w:basedOn w:val="Numatytasispastraiposriftas"/>
    <w:link w:val="Antrat3"/>
    <w:uiPriority w:val="9"/>
    <w:semiHidden/>
    <w:rsid w:val="001F7F6F"/>
    <w:rPr>
      <w:rFonts w:asciiTheme="majorHAnsi" w:eastAsiaTheme="majorEastAsia" w:hAnsiTheme="majorHAnsi" w:cstheme="majorBidi"/>
      <w:b/>
      <w:bCs/>
      <w:color w:val="4F81BD" w:themeColor="accent1"/>
      <w:sz w:val="24"/>
      <w:szCs w:val="20"/>
    </w:rPr>
  </w:style>
  <w:style w:type="character" w:customStyle="1" w:styleId="apple-converted-space">
    <w:name w:val="apple-converted-space"/>
    <w:basedOn w:val="Numatytasispastraiposriftas"/>
    <w:uiPriority w:val="99"/>
    <w:rsid w:val="001F7F6F"/>
  </w:style>
  <w:style w:type="paragraph" w:customStyle="1" w:styleId="Default">
    <w:name w:val="Default"/>
    <w:rsid w:val="0070625D"/>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styleId="Betarp">
    <w:name w:val="No Spacing"/>
    <w:uiPriority w:val="1"/>
    <w:qFormat/>
    <w:rsid w:val="00E40E9A"/>
    <w:pPr>
      <w:spacing w:after="0" w:line="240" w:lineRule="auto"/>
    </w:pPr>
    <w:rPr>
      <w:rFonts w:ascii="Times New Roman" w:eastAsia="Times New Roman" w:hAnsi="Times New Roman" w:cs="Times New Roman"/>
      <w:sz w:val="24"/>
      <w:szCs w:val="20"/>
    </w:rPr>
  </w:style>
  <w:style w:type="table" w:styleId="viesussraas1parykinimas">
    <w:name w:val="Light List Accent 1"/>
    <w:basedOn w:val="prastojilentel"/>
    <w:uiPriority w:val="61"/>
    <w:rsid w:val="00007F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entelsturinys">
    <w:name w:val="Lentelės turinys"/>
    <w:basedOn w:val="prastasis"/>
    <w:rsid w:val="00C20A70"/>
    <w:pPr>
      <w:widowControl w:val="0"/>
      <w:suppressLineNumbers/>
      <w:suppressAutoHyphens/>
    </w:pPr>
    <w:rPr>
      <w:rFonts w:eastAsia="SimSun" w:cs="Lucida Sans"/>
      <w:kern w:val="1"/>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F5CE0"/>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547D49"/>
    <w:pPr>
      <w:keepNext/>
      <w:keepLines/>
      <w:numPr>
        <w:numId w:val="1"/>
      </w:numPr>
      <w:spacing w:before="360" w:after="240"/>
      <w:ind w:left="714" w:hanging="357"/>
      <w:jc w:val="center"/>
      <w:outlineLvl w:val="0"/>
    </w:pPr>
    <w:rPr>
      <w:rFonts w:asciiTheme="minorHAnsi" w:eastAsiaTheme="majorEastAsia" w:hAnsiTheme="minorHAnsi" w:cstheme="majorBidi"/>
      <w:b/>
      <w:bCs/>
      <w:color w:val="365F91" w:themeColor="accent1" w:themeShade="BF"/>
      <w:sz w:val="28"/>
      <w:szCs w:val="24"/>
      <w:lang w:eastAsia="lt-LT"/>
    </w:rPr>
  </w:style>
  <w:style w:type="paragraph" w:styleId="Antrat2">
    <w:name w:val="heading 2"/>
    <w:basedOn w:val="prastasis"/>
    <w:next w:val="prastasis"/>
    <w:link w:val="Antrat2Diagrama"/>
    <w:uiPriority w:val="9"/>
    <w:unhideWhenUsed/>
    <w:qFormat/>
    <w:rsid w:val="00B864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semiHidden/>
    <w:unhideWhenUsed/>
    <w:qFormat/>
    <w:rsid w:val="001F7F6F"/>
    <w:pPr>
      <w:keepNext/>
      <w:keepLines/>
      <w:spacing w:before="20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CharDiagramaCharChar1">
    <w:name w:val="Char Diagrama Char Char1"/>
    <w:basedOn w:val="prastasis"/>
    <w:rsid w:val="002D6066"/>
    <w:pPr>
      <w:spacing w:after="160" w:line="240" w:lineRule="exact"/>
    </w:pPr>
    <w:rPr>
      <w:rFonts w:ascii="Tahoma" w:hAnsi="Tahoma"/>
      <w:sz w:val="20"/>
      <w:lang w:val="en-US"/>
    </w:rPr>
  </w:style>
  <w:style w:type="paragraph" w:styleId="Sraopastraipa">
    <w:name w:val="List Paragraph"/>
    <w:aliases w:val="List Paragraph (numbered (a)),References,WB List Paragraph,Akapit z listą,Dot pt,F5 List Paragraph,List Paragraph1,Recommendation,List Paragraph11,Numerowanie,Kolorowa lista — akcent 11,Akapit z listą1,Listaszerű bekezdés1,Bullet EY"/>
    <w:basedOn w:val="prastasis"/>
    <w:link w:val="SraopastraipaDiagrama"/>
    <w:uiPriority w:val="34"/>
    <w:qFormat/>
    <w:rsid w:val="002D6066"/>
    <w:pPr>
      <w:spacing w:after="200" w:line="276" w:lineRule="auto"/>
      <w:ind w:left="720"/>
      <w:contextualSpacing/>
    </w:pPr>
    <w:rPr>
      <w:rFonts w:ascii="Calibri" w:eastAsia="Calibri" w:hAnsi="Calibri"/>
      <w:sz w:val="22"/>
      <w:szCs w:val="22"/>
    </w:rPr>
  </w:style>
  <w:style w:type="paragraph" w:styleId="Debesliotekstas">
    <w:name w:val="Balloon Text"/>
    <w:basedOn w:val="prastasis"/>
    <w:link w:val="DebesliotekstasDiagrama"/>
    <w:uiPriority w:val="99"/>
    <w:semiHidden/>
    <w:unhideWhenUsed/>
    <w:rsid w:val="002D606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D6066"/>
    <w:rPr>
      <w:rFonts w:ascii="Tahoma" w:eastAsia="Times New Roman" w:hAnsi="Tahoma" w:cs="Tahoma"/>
      <w:sz w:val="16"/>
      <w:szCs w:val="16"/>
    </w:rPr>
  </w:style>
  <w:style w:type="paragraph" w:customStyle="1" w:styleId="CharDiagramaCharChar">
    <w:name w:val="Char Diagrama Char Char"/>
    <w:basedOn w:val="prastasis"/>
    <w:rsid w:val="002E5B8A"/>
    <w:pPr>
      <w:spacing w:after="160" w:line="240" w:lineRule="exact"/>
    </w:pPr>
    <w:rPr>
      <w:rFonts w:ascii="Tahoma" w:hAnsi="Tahoma"/>
      <w:sz w:val="20"/>
      <w:lang w:val="en-US"/>
    </w:rPr>
  </w:style>
  <w:style w:type="character" w:styleId="Komentaronuoroda">
    <w:name w:val="annotation reference"/>
    <w:basedOn w:val="Numatytasispastraiposriftas"/>
    <w:uiPriority w:val="99"/>
    <w:semiHidden/>
    <w:unhideWhenUsed/>
    <w:rsid w:val="00C2465F"/>
    <w:rPr>
      <w:sz w:val="16"/>
      <w:szCs w:val="16"/>
    </w:rPr>
  </w:style>
  <w:style w:type="paragraph" w:styleId="Komentarotekstas">
    <w:name w:val="annotation text"/>
    <w:basedOn w:val="prastasis"/>
    <w:link w:val="KomentarotekstasDiagrama"/>
    <w:uiPriority w:val="99"/>
    <w:unhideWhenUsed/>
    <w:rsid w:val="00C2465F"/>
    <w:rPr>
      <w:sz w:val="20"/>
    </w:rPr>
  </w:style>
  <w:style w:type="character" w:customStyle="1" w:styleId="KomentarotekstasDiagrama">
    <w:name w:val="Komentaro tekstas Diagrama"/>
    <w:basedOn w:val="Numatytasispastraiposriftas"/>
    <w:link w:val="Komentarotekstas"/>
    <w:uiPriority w:val="99"/>
    <w:rsid w:val="00C2465F"/>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C2465F"/>
    <w:rPr>
      <w:b/>
      <w:bCs/>
    </w:rPr>
  </w:style>
  <w:style w:type="character" w:customStyle="1" w:styleId="KomentarotemaDiagrama">
    <w:name w:val="Komentaro tema Diagrama"/>
    <w:basedOn w:val="KomentarotekstasDiagrama"/>
    <w:link w:val="Komentarotema"/>
    <w:uiPriority w:val="99"/>
    <w:semiHidden/>
    <w:rsid w:val="00C2465F"/>
    <w:rPr>
      <w:rFonts w:ascii="Times New Roman" w:eastAsia="Times New Roman" w:hAnsi="Times New Roman" w:cs="Times New Roman"/>
      <w:b/>
      <w:bCs/>
      <w:sz w:val="20"/>
      <w:szCs w:val="20"/>
    </w:rPr>
  </w:style>
  <w:style w:type="paragraph" w:styleId="prastasistinklapis">
    <w:name w:val="Normal (Web)"/>
    <w:basedOn w:val="prastasis"/>
    <w:uiPriority w:val="99"/>
    <w:unhideWhenUsed/>
    <w:rsid w:val="00AE3D8C"/>
    <w:pPr>
      <w:spacing w:before="100" w:beforeAutospacing="1" w:after="100" w:afterAutospacing="1"/>
    </w:pPr>
    <w:rPr>
      <w:rFonts w:eastAsiaTheme="minorEastAsia"/>
      <w:szCs w:val="24"/>
      <w:lang w:eastAsia="lt-LT"/>
    </w:rPr>
  </w:style>
  <w:style w:type="paragraph" w:styleId="Antrats">
    <w:name w:val="header"/>
    <w:basedOn w:val="prastasis"/>
    <w:link w:val="AntratsDiagrama"/>
    <w:uiPriority w:val="99"/>
    <w:unhideWhenUsed/>
    <w:rsid w:val="00885DE2"/>
    <w:pPr>
      <w:tabs>
        <w:tab w:val="center" w:pos="4819"/>
        <w:tab w:val="right" w:pos="9638"/>
      </w:tabs>
    </w:pPr>
  </w:style>
  <w:style w:type="character" w:customStyle="1" w:styleId="AntratsDiagrama">
    <w:name w:val="Antraštės Diagrama"/>
    <w:basedOn w:val="Numatytasispastraiposriftas"/>
    <w:link w:val="Antrats"/>
    <w:uiPriority w:val="99"/>
    <w:rsid w:val="00885DE2"/>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885DE2"/>
    <w:pPr>
      <w:tabs>
        <w:tab w:val="center" w:pos="4819"/>
        <w:tab w:val="right" w:pos="9638"/>
      </w:tabs>
    </w:pPr>
  </w:style>
  <w:style w:type="character" w:customStyle="1" w:styleId="PoratDiagrama">
    <w:name w:val="Poraštė Diagrama"/>
    <w:basedOn w:val="Numatytasispastraiposriftas"/>
    <w:link w:val="Porat"/>
    <w:uiPriority w:val="99"/>
    <w:rsid w:val="00885DE2"/>
    <w:rPr>
      <w:rFonts w:ascii="Times New Roman" w:eastAsia="Times New Roman" w:hAnsi="Times New Roman" w:cs="Times New Roman"/>
      <w:sz w:val="24"/>
      <w:szCs w:val="20"/>
    </w:rPr>
  </w:style>
  <w:style w:type="table" w:styleId="Lentelstinklelis">
    <w:name w:val="Table Grid"/>
    <w:basedOn w:val="prastojilentel"/>
    <w:uiPriority w:val="59"/>
    <w:rsid w:val="009E3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3F2736"/>
    <w:pPr>
      <w:spacing w:after="0" w:line="240" w:lineRule="auto"/>
    </w:pPr>
    <w:rPr>
      <w:rFonts w:ascii="Times New Roman" w:eastAsia="Times New Roman" w:hAnsi="Times New Roman" w:cs="Times New Roman"/>
      <w:sz w:val="24"/>
      <w:szCs w:val="20"/>
    </w:rPr>
  </w:style>
  <w:style w:type="table" w:customStyle="1" w:styleId="Lentelstinklelis1">
    <w:name w:val="Lentelės tinklelis1"/>
    <w:basedOn w:val="prastojilentel"/>
    <w:next w:val="Lentelstinklelis"/>
    <w:uiPriority w:val="59"/>
    <w:rsid w:val="00433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qFormat/>
    <w:rsid w:val="00F76555"/>
    <w:pPr>
      <w:spacing w:after="240"/>
      <w:jc w:val="both"/>
    </w:pPr>
    <w:rPr>
      <w:rFonts w:eastAsia="SimSun"/>
      <w:szCs w:val="24"/>
      <w:lang w:eastAsia="lt-LT"/>
    </w:rPr>
  </w:style>
  <w:style w:type="character" w:customStyle="1" w:styleId="PagrindinistekstasDiagrama">
    <w:name w:val="Pagrindinis tekstas Diagrama"/>
    <w:basedOn w:val="Numatytasispastraiposriftas"/>
    <w:link w:val="Pagrindinistekstas"/>
    <w:rsid w:val="00F76555"/>
    <w:rPr>
      <w:rFonts w:ascii="Times New Roman" w:eastAsia="SimSun" w:hAnsi="Times New Roman" w:cs="Times New Roman"/>
      <w:sz w:val="24"/>
      <w:szCs w:val="24"/>
      <w:lang w:eastAsia="lt-LT"/>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o"/>
    <w:basedOn w:val="prastasis"/>
    <w:link w:val="PuslapioinaostekstasDiagrama"/>
    <w:uiPriority w:val="99"/>
    <w:unhideWhenUsed/>
    <w:qFormat/>
    <w:rsid w:val="004D3793"/>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4D3793"/>
    <w:rPr>
      <w:rFonts w:ascii="Times New Roman" w:eastAsia="Times New Roman" w:hAnsi="Times New Roman" w:cs="Times New Roman"/>
      <w:sz w:val="20"/>
      <w:szCs w:val="20"/>
    </w:rPr>
  </w:style>
  <w:style w:type="character" w:styleId="Puslapioinaosnuoroda">
    <w:name w:val="footnote reference"/>
    <w:aliases w:val="• Isnasos nuoroda,Footnotes refss,Appel note de bas de p,Footnote symbol,Voetnootverwijzing,Times 10 Point,Exposant 3 Point,BVI fnr,Footnote Reference Number,SUPERS,Footnote anchor,Footnote reference number,Footnote number,fr,FR"/>
    <w:basedOn w:val="Numatytasispastraiposriftas"/>
    <w:link w:val="SUPERSChar"/>
    <w:uiPriority w:val="99"/>
    <w:unhideWhenUsed/>
    <w:qFormat/>
    <w:rsid w:val="004D3793"/>
    <w:rPr>
      <w:vertAlign w:val="superscript"/>
    </w:rPr>
  </w:style>
  <w:style w:type="paragraph" w:styleId="prastojitrauka">
    <w:name w:val="Normal Indent"/>
    <w:basedOn w:val="prastasis"/>
    <w:uiPriority w:val="99"/>
    <w:semiHidden/>
    <w:unhideWhenUsed/>
    <w:rsid w:val="008C4570"/>
    <w:pPr>
      <w:ind w:left="1296"/>
    </w:pPr>
  </w:style>
  <w:style w:type="character" w:customStyle="1" w:styleId="Antrat1Diagrama">
    <w:name w:val="Antraštė 1 Diagrama"/>
    <w:basedOn w:val="Numatytasispastraiposriftas"/>
    <w:link w:val="Antrat1"/>
    <w:uiPriority w:val="9"/>
    <w:rsid w:val="00547D49"/>
    <w:rPr>
      <w:rFonts w:eastAsiaTheme="majorEastAsia" w:cstheme="majorBidi"/>
      <w:b/>
      <w:bCs/>
      <w:color w:val="365F91" w:themeColor="accent1" w:themeShade="BF"/>
      <w:sz w:val="28"/>
      <w:szCs w:val="24"/>
      <w:lang w:eastAsia="lt-LT"/>
    </w:rPr>
  </w:style>
  <w:style w:type="character" w:customStyle="1" w:styleId="Antrat2Diagrama">
    <w:name w:val="Antraštė 2 Diagrama"/>
    <w:basedOn w:val="Numatytasispastraiposriftas"/>
    <w:link w:val="Antrat2"/>
    <w:uiPriority w:val="9"/>
    <w:rsid w:val="00B86403"/>
    <w:rPr>
      <w:rFonts w:asciiTheme="majorHAnsi" w:eastAsiaTheme="majorEastAsia" w:hAnsiTheme="majorHAnsi" w:cstheme="majorBidi"/>
      <w:b/>
      <w:bCs/>
      <w:color w:val="4F81BD" w:themeColor="accent1"/>
      <w:sz w:val="26"/>
      <w:szCs w:val="26"/>
    </w:rPr>
  </w:style>
  <w:style w:type="paragraph" w:styleId="Turinioantrat">
    <w:name w:val="TOC Heading"/>
    <w:basedOn w:val="Antrat1"/>
    <w:next w:val="prastasis"/>
    <w:uiPriority w:val="39"/>
    <w:unhideWhenUsed/>
    <w:qFormat/>
    <w:rsid w:val="00B86403"/>
    <w:pPr>
      <w:spacing w:line="276" w:lineRule="auto"/>
      <w:outlineLvl w:val="9"/>
    </w:pPr>
  </w:style>
  <w:style w:type="paragraph" w:styleId="Turinys1">
    <w:name w:val="toc 1"/>
    <w:basedOn w:val="prastasis"/>
    <w:next w:val="prastasis"/>
    <w:autoRedefine/>
    <w:uiPriority w:val="39"/>
    <w:unhideWhenUsed/>
    <w:rsid w:val="00B86403"/>
    <w:pPr>
      <w:spacing w:after="100"/>
    </w:pPr>
  </w:style>
  <w:style w:type="paragraph" w:styleId="Turinys2">
    <w:name w:val="toc 2"/>
    <w:basedOn w:val="prastasis"/>
    <w:next w:val="prastasis"/>
    <w:autoRedefine/>
    <w:uiPriority w:val="39"/>
    <w:unhideWhenUsed/>
    <w:rsid w:val="00B86403"/>
    <w:pPr>
      <w:spacing w:after="100"/>
      <w:ind w:left="240"/>
    </w:pPr>
  </w:style>
  <w:style w:type="character" w:styleId="Hipersaitas">
    <w:name w:val="Hyperlink"/>
    <w:basedOn w:val="Numatytasispastraiposriftas"/>
    <w:uiPriority w:val="99"/>
    <w:unhideWhenUsed/>
    <w:rsid w:val="00B86403"/>
    <w:rPr>
      <w:color w:val="0000FF" w:themeColor="hyperlink"/>
      <w:u w:val="single"/>
    </w:rPr>
  </w:style>
  <w:style w:type="paragraph" w:customStyle="1" w:styleId="DiagramaDiagrama1DiagramaDiagramaDiagramaDiagramaDiagramaDiagramaDiagramaDiagramaDiagramaDiagramaDiagrama">
    <w:name w:val="Diagrama Diagrama1 Diagrama Diagrama Diagrama Diagrama Diagrama Diagrama Diagrama Diagrama Diagrama Diagrama Diagrama"/>
    <w:basedOn w:val="prastasis"/>
    <w:rsid w:val="00B86403"/>
    <w:pPr>
      <w:spacing w:after="160" w:line="240" w:lineRule="exact"/>
    </w:pPr>
    <w:rPr>
      <w:rFonts w:ascii="Tahoma" w:hAnsi="Tahoma"/>
      <w:sz w:val="20"/>
      <w:lang w:val="en-US"/>
    </w:rPr>
  </w:style>
  <w:style w:type="character" w:customStyle="1" w:styleId="SraopastraipaDiagrama">
    <w:name w:val="Sąrašo pastraipa Diagrama"/>
    <w:aliases w:val="List Paragraph (numbered (a)) Diagrama,References Diagrama,WB List Paragraph Diagrama,Akapit z listą Diagrama,Dot pt Diagrama,F5 List Paragraph Diagrama,List Paragraph1 Diagrama,Recommendation Diagrama,List Paragraph11 Diagrama"/>
    <w:link w:val="Sraopastraipa"/>
    <w:uiPriority w:val="34"/>
    <w:locked/>
    <w:rsid w:val="00433A9A"/>
    <w:rPr>
      <w:rFonts w:ascii="Calibri" w:eastAsia="Calibri" w:hAnsi="Calibri" w:cs="Times New Roman"/>
    </w:rPr>
  </w:style>
  <w:style w:type="paragraph" w:styleId="Antrat">
    <w:name w:val="caption"/>
    <w:aliases w:val="• Caption,Table caption,paveikslas,Paveikslo pavadinimas,TabelOverskrift"/>
    <w:basedOn w:val="prastasis"/>
    <w:next w:val="prastasis"/>
    <w:link w:val="AntratDiagrama"/>
    <w:uiPriority w:val="99"/>
    <w:unhideWhenUsed/>
    <w:qFormat/>
    <w:rsid w:val="00433A9A"/>
    <w:pPr>
      <w:spacing w:after="200"/>
    </w:pPr>
    <w:rPr>
      <w:rFonts w:ascii="Calibri" w:eastAsia="Calibri" w:hAnsi="Calibri"/>
      <w:b/>
      <w:bCs/>
      <w:color w:val="4F81BD"/>
      <w:sz w:val="18"/>
      <w:szCs w:val="18"/>
    </w:rPr>
  </w:style>
  <w:style w:type="paragraph" w:customStyle="1" w:styleId="antrat2ZZ">
    <w:name w:val="antraštė 2_ZZ"/>
    <w:basedOn w:val="prastasis"/>
    <w:link w:val="antrat2ZZDiagrama"/>
    <w:qFormat/>
    <w:rsid w:val="00547D49"/>
    <w:pPr>
      <w:keepNext/>
      <w:keepLines/>
      <w:spacing w:before="360" w:after="240"/>
      <w:jc w:val="center"/>
      <w:outlineLvl w:val="0"/>
    </w:pPr>
    <w:rPr>
      <w:rFonts w:asciiTheme="minorHAnsi" w:eastAsiaTheme="majorEastAsia" w:hAnsiTheme="minorHAnsi" w:cstheme="majorBidi"/>
      <w:b/>
      <w:bCs/>
      <w:color w:val="365F91" w:themeColor="accent1" w:themeShade="BF"/>
      <w:sz w:val="26"/>
      <w:szCs w:val="28"/>
      <w:lang w:eastAsia="lt-LT"/>
    </w:rPr>
  </w:style>
  <w:style w:type="paragraph" w:customStyle="1" w:styleId="antrat3zz">
    <w:name w:val="antraštė 3_zz"/>
    <w:basedOn w:val="Antrat2"/>
    <w:link w:val="antrat3zzDiagrama"/>
    <w:qFormat/>
    <w:rsid w:val="00547D49"/>
    <w:pPr>
      <w:spacing w:before="240" w:after="120"/>
    </w:pPr>
    <w:rPr>
      <w:rFonts w:asciiTheme="minorHAnsi" w:hAnsiTheme="minorHAnsi"/>
      <w:color w:val="595959" w:themeColor="text1" w:themeTint="A6"/>
      <w:sz w:val="24"/>
      <w:szCs w:val="24"/>
      <w:lang w:eastAsia="lt-LT"/>
    </w:rPr>
  </w:style>
  <w:style w:type="character" w:customStyle="1" w:styleId="antrat2ZZDiagrama">
    <w:name w:val="antraštė 2_ZZ Diagrama"/>
    <w:basedOn w:val="Numatytasispastraiposriftas"/>
    <w:link w:val="antrat2ZZ"/>
    <w:rsid w:val="00547D49"/>
    <w:rPr>
      <w:rFonts w:eastAsiaTheme="majorEastAsia" w:cstheme="majorBidi"/>
      <w:b/>
      <w:bCs/>
      <w:color w:val="365F91" w:themeColor="accent1" w:themeShade="BF"/>
      <w:sz w:val="26"/>
      <w:szCs w:val="28"/>
      <w:lang w:eastAsia="lt-LT"/>
    </w:rPr>
  </w:style>
  <w:style w:type="character" w:customStyle="1" w:styleId="antrat3zzDiagrama">
    <w:name w:val="antraštė 3_zz Diagrama"/>
    <w:basedOn w:val="Antrat2Diagrama"/>
    <w:link w:val="antrat3zz"/>
    <w:rsid w:val="00547D49"/>
    <w:rPr>
      <w:rFonts w:asciiTheme="majorHAnsi" w:eastAsiaTheme="majorEastAsia" w:hAnsiTheme="majorHAnsi" w:cstheme="majorBidi"/>
      <w:b/>
      <w:bCs/>
      <w:color w:val="595959" w:themeColor="text1" w:themeTint="A6"/>
      <w:sz w:val="24"/>
      <w:szCs w:val="24"/>
      <w:lang w:eastAsia="lt-LT"/>
    </w:rPr>
  </w:style>
  <w:style w:type="paragraph" w:styleId="Pavadinimas">
    <w:name w:val="Title"/>
    <w:basedOn w:val="prastasis"/>
    <w:next w:val="prastasis"/>
    <w:link w:val="PavadinimasDiagrama"/>
    <w:uiPriority w:val="10"/>
    <w:qFormat/>
    <w:rsid w:val="00FC613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28"/>
      <w:szCs w:val="52"/>
    </w:rPr>
  </w:style>
  <w:style w:type="character" w:customStyle="1" w:styleId="PavadinimasDiagrama">
    <w:name w:val="Pavadinimas Diagrama"/>
    <w:basedOn w:val="Numatytasispastraiposriftas"/>
    <w:link w:val="Pavadinimas"/>
    <w:uiPriority w:val="10"/>
    <w:rsid w:val="00FC6139"/>
    <w:rPr>
      <w:rFonts w:asciiTheme="majorHAnsi" w:eastAsiaTheme="majorEastAsia" w:hAnsiTheme="majorHAnsi" w:cstheme="majorBidi"/>
      <w:color w:val="17365D" w:themeColor="text2" w:themeShade="BF"/>
      <w:spacing w:val="5"/>
      <w:kern w:val="28"/>
      <w:sz w:val="28"/>
      <w:szCs w:val="52"/>
    </w:rPr>
  </w:style>
  <w:style w:type="paragraph" w:customStyle="1" w:styleId="088095CB421E4E02BDC9682AFEE1723A">
    <w:name w:val="088095CB421E4E02BDC9682AFEE1723A"/>
    <w:rsid w:val="00866DFB"/>
    <w:rPr>
      <w:rFonts w:eastAsiaTheme="minorEastAsia"/>
      <w:lang w:eastAsia="lt-LT"/>
    </w:rPr>
  </w:style>
  <w:style w:type="paragraph" w:styleId="Pagrindiniotekstotrauka">
    <w:name w:val="Body Text Indent"/>
    <w:basedOn w:val="prastasis"/>
    <w:link w:val="PagrindiniotekstotraukaDiagrama"/>
    <w:uiPriority w:val="99"/>
    <w:unhideWhenUsed/>
    <w:rsid w:val="004F2F37"/>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4F2F37"/>
    <w:rPr>
      <w:rFonts w:ascii="Times New Roman" w:eastAsia="Times New Roman" w:hAnsi="Times New Roman" w:cs="Times New Roman"/>
      <w:sz w:val="24"/>
      <w:szCs w:val="20"/>
    </w:rPr>
  </w:style>
  <w:style w:type="paragraph" w:customStyle="1" w:styleId="SUPERSChar">
    <w:name w:val="SUPERS Char"/>
    <w:aliases w:val="EN Footnote Reference Char"/>
    <w:basedOn w:val="prastasis"/>
    <w:link w:val="Puslapioinaosnuoroda"/>
    <w:uiPriority w:val="99"/>
    <w:rsid w:val="004F2F37"/>
    <w:pPr>
      <w:spacing w:after="160" w:line="240" w:lineRule="exact"/>
    </w:pPr>
    <w:rPr>
      <w:rFonts w:asciiTheme="minorHAnsi" w:eastAsiaTheme="minorHAnsi" w:hAnsiTheme="minorHAnsi" w:cstheme="minorBidi"/>
      <w:sz w:val="22"/>
      <w:szCs w:val="22"/>
      <w:vertAlign w:val="superscript"/>
    </w:rPr>
  </w:style>
  <w:style w:type="character" w:customStyle="1" w:styleId="AntratDiagrama">
    <w:name w:val="Antraštė Diagrama"/>
    <w:aliases w:val="• Caption Diagrama,Table caption Diagrama,paveikslas Diagrama,Paveikslo pavadinimas Diagrama,TabelOverskrift Diagrama"/>
    <w:link w:val="Antrat"/>
    <w:uiPriority w:val="99"/>
    <w:locked/>
    <w:rsid w:val="004F2F37"/>
    <w:rPr>
      <w:rFonts w:ascii="Calibri" w:eastAsia="Calibri" w:hAnsi="Calibri" w:cs="Times New Roman"/>
      <w:b/>
      <w:bCs/>
      <w:color w:val="4F81BD"/>
      <w:sz w:val="18"/>
      <w:szCs w:val="18"/>
    </w:rPr>
  </w:style>
  <w:style w:type="paragraph" w:customStyle="1" w:styleId="Pagrindinispaprastastekstas">
    <w:name w:val="• Pagrindinis paprastas tekstas"/>
    <w:basedOn w:val="prastasis"/>
    <w:link w:val="PagrindinispaprastastekstasChar"/>
    <w:uiPriority w:val="99"/>
    <w:rsid w:val="004F2F37"/>
    <w:pPr>
      <w:jc w:val="both"/>
    </w:pPr>
    <w:rPr>
      <w:rFonts w:ascii="Cambria" w:eastAsia="Calibri" w:hAnsi="Cambria" w:cs="Cambria"/>
      <w:szCs w:val="24"/>
      <w:lang w:eastAsia="lt-LT"/>
    </w:rPr>
  </w:style>
  <w:style w:type="character" w:customStyle="1" w:styleId="PagrindinispaprastastekstasChar">
    <w:name w:val="• Pagrindinis paprastas tekstas Char"/>
    <w:link w:val="Pagrindinispaprastastekstas"/>
    <w:uiPriority w:val="99"/>
    <w:locked/>
    <w:rsid w:val="004F2F37"/>
    <w:rPr>
      <w:rFonts w:ascii="Cambria" w:eastAsia="Calibri" w:hAnsi="Cambria" w:cs="Cambria"/>
      <w:sz w:val="24"/>
      <w:szCs w:val="24"/>
      <w:lang w:eastAsia="lt-LT"/>
    </w:rPr>
  </w:style>
  <w:style w:type="paragraph" w:customStyle="1" w:styleId="tekstas">
    <w:name w:val="tekstas"/>
    <w:basedOn w:val="prastasis"/>
    <w:link w:val="tekstasDiagrama"/>
    <w:qFormat/>
    <w:rsid w:val="004F2F37"/>
    <w:pPr>
      <w:ind w:firstLine="426"/>
      <w:jc w:val="both"/>
    </w:pPr>
    <w:rPr>
      <w:rFonts w:asciiTheme="minorHAnsi" w:hAnsiTheme="minorHAnsi"/>
      <w:color w:val="666666"/>
      <w:szCs w:val="24"/>
    </w:rPr>
  </w:style>
  <w:style w:type="character" w:customStyle="1" w:styleId="tekstasDiagrama">
    <w:name w:val="tekstas Diagrama"/>
    <w:basedOn w:val="Numatytasispastraiposriftas"/>
    <w:link w:val="tekstas"/>
    <w:rsid w:val="004F2F37"/>
    <w:rPr>
      <w:rFonts w:eastAsia="Times New Roman" w:cs="Times New Roman"/>
      <w:color w:val="666666"/>
      <w:sz w:val="24"/>
      <w:szCs w:val="24"/>
    </w:rPr>
  </w:style>
  <w:style w:type="paragraph" w:customStyle="1" w:styleId="Textboxtekstas">
    <w:name w:val="• Text box tekstas"/>
    <w:basedOn w:val="prastasis"/>
    <w:uiPriority w:val="99"/>
    <w:rsid w:val="001F7F6F"/>
    <w:pPr>
      <w:jc w:val="both"/>
    </w:pPr>
    <w:rPr>
      <w:rFonts w:ascii="Cambria" w:hAnsi="Cambria" w:cs="Cambria"/>
      <w:color w:val="4181B6"/>
      <w:kern w:val="32"/>
      <w:sz w:val="20"/>
      <w:lang w:eastAsia="lt-LT"/>
    </w:rPr>
  </w:style>
  <w:style w:type="character" w:customStyle="1" w:styleId="Antrat3Diagrama">
    <w:name w:val="Antraštė 3 Diagrama"/>
    <w:basedOn w:val="Numatytasispastraiposriftas"/>
    <w:link w:val="Antrat3"/>
    <w:uiPriority w:val="9"/>
    <w:semiHidden/>
    <w:rsid w:val="001F7F6F"/>
    <w:rPr>
      <w:rFonts w:asciiTheme="majorHAnsi" w:eastAsiaTheme="majorEastAsia" w:hAnsiTheme="majorHAnsi" w:cstheme="majorBidi"/>
      <w:b/>
      <w:bCs/>
      <w:color w:val="4F81BD" w:themeColor="accent1"/>
      <w:sz w:val="24"/>
      <w:szCs w:val="20"/>
    </w:rPr>
  </w:style>
  <w:style w:type="character" w:customStyle="1" w:styleId="apple-converted-space">
    <w:name w:val="apple-converted-space"/>
    <w:basedOn w:val="Numatytasispastraiposriftas"/>
    <w:uiPriority w:val="99"/>
    <w:rsid w:val="001F7F6F"/>
  </w:style>
  <w:style w:type="paragraph" w:customStyle="1" w:styleId="Default">
    <w:name w:val="Default"/>
    <w:rsid w:val="0070625D"/>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styleId="Betarp">
    <w:name w:val="No Spacing"/>
    <w:uiPriority w:val="1"/>
    <w:qFormat/>
    <w:rsid w:val="00E40E9A"/>
    <w:pPr>
      <w:spacing w:after="0" w:line="240" w:lineRule="auto"/>
    </w:pPr>
    <w:rPr>
      <w:rFonts w:ascii="Times New Roman" w:eastAsia="Times New Roman" w:hAnsi="Times New Roman" w:cs="Times New Roman"/>
      <w:sz w:val="24"/>
      <w:szCs w:val="20"/>
    </w:rPr>
  </w:style>
  <w:style w:type="table" w:styleId="viesussraas1parykinimas">
    <w:name w:val="Light List Accent 1"/>
    <w:basedOn w:val="prastojilentel"/>
    <w:uiPriority w:val="61"/>
    <w:rsid w:val="00007F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entelsturinys">
    <w:name w:val="Lentelės turinys"/>
    <w:basedOn w:val="prastasis"/>
    <w:rsid w:val="00C20A70"/>
    <w:pPr>
      <w:widowControl w:val="0"/>
      <w:suppressLineNumbers/>
      <w:suppressAutoHyphens/>
    </w:pPr>
    <w:rPr>
      <w:rFonts w:eastAsia="SimSun" w:cs="Lucida Sans"/>
      <w:kern w:val="1"/>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9900">
      <w:bodyDiv w:val="1"/>
      <w:marLeft w:val="0"/>
      <w:marRight w:val="0"/>
      <w:marTop w:val="0"/>
      <w:marBottom w:val="0"/>
      <w:divBdr>
        <w:top w:val="none" w:sz="0" w:space="0" w:color="auto"/>
        <w:left w:val="none" w:sz="0" w:space="0" w:color="auto"/>
        <w:bottom w:val="none" w:sz="0" w:space="0" w:color="auto"/>
        <w:right w:val="none" w:sz="0" w:space="0" w:color="auto"/>
      </w:divBdr>
    </w:div>
    <w:div w:id="155414527">
      <w:bodyDiv w:val="1"/>
      <w:marLeft w:val="0"/>
      <w:marRight w:val="0"/>
      <w:marTop w:val="0"/>
      <w:marBottom w:val="0"/>
      <w:divBdr>
        <w:top w:val="none" w:sz="0" w:space="0" w:color="auto"/>
        <w:left w:val="none" w:sz="0" w:space="0" w:color="auto"/>
        <w:bottom w:val="none" w:sz="0" w:space="0" w:color="auto"/>
        <w:right w:val="none" w:sz="0" w:space="0" w:color="auto"/>
      </w:divBdr>
    </w:div>
    <w:div w:id="163715740">
      <w:bodyDiv w:val="1"/>
      <w:marLeft w:val="0"/>
      <w:marRight w:val="0"/>
      <w:marTop w:val="0"/>
      <w:marBottom w:val="0"/>
      <w:divBdr>
        <w:top w:val="none" w:sz="0" w:space="0" w:color="auto"/>
        <w:left w:val="none" w:sz="0" w:space="0" w:color="auto"/>
        <w:bottom w:val="none" w:sz="0" w:space="0" w:color="auto"/>
        <w:right w:val="none" w:sz="0" w:space="0" w:color="auto"/>
      </w:divBdr>
    </w:div>
    <w:div w:id="221986623">
      <w:bodyDiv w:val="1"/>
      <w:marLeft w:val="0"/>
      <w:marRight w:val="0"/>
      <w:marTop w:val="0"/>
      <w:marBottom w:val="0"/>
      <w:divBdr>
        <w:top w:val="none" w:sz="0" w:space="0" w:color="auto"/>
        <w:left w:val="none" w:sz="0" w:space="0" w:color="auto"/>
        <w:bottom w:val="none" w:sz="0" w:space="0" w:color="auto"/>
        <w:right w:val="none" w:sz="0" w:space="0" w:color="auto"/>
      </w:divBdr>
    </w:div>
    <w:div w:id="270474910">
      <w:bodyDiv w:val="1"/>
      <w:marLeft w:val="0"/>
      <w:marRight w:val="0"/>
      <w:marTop w:val="0"/>
      <w:marBottom w:val="0"/>
      <w:divBdr>
        <w:top w:val="none" w:sz="0" w:space="0" w:color="auto"/>
        <w:left w:val="none" w:sz="0" w:space="0" w:color="auto"/>
        <w:bottom w:val="none" w:sz="0" w:space="0" w:color="auto"/>
        <w:right w:val="none" w:sz="0" w:space="0" w:color="auto"/>
      </w:divBdr>
    </w:div>
    <w:div w:id="284775129">
      <w:bodyDiv w:val="1"/>
      <w:marLeft w:val="0"/>
      <w:marRight w:val="0"/>
      <w:marTop w:val="0"/>
      <w:marBottom w:val="0"/>
      <w:divBdr>
        <w:top w:val="none" w:sz="0" w:space="0" w:color="auto"/>
        <w:left w:val="none" w:sz="0" w:space="0" w:color="auto"/>
        <w:bottom w:val="none" w:sz="0" w:space="0" w:color="auto"/>
        <w:right w:val="none" w:sz="0" w:space="0" w:color="auto"/>
      </w:divBdr>
    </w:div>
    <w:div w:id="291253484">
      <w:bodyDiv w:val="1"/>
      <w:marLeft w:val="0"/>
      <w:marRight w:val="0"/>
      <w:marTop w:val="0"/>
      <w:marBottom w:val="0"/>
      <w:divBdr>
        <w:top w:val="none" w:sz="0" w:space="0" w:color="auto"/>
        <w:left w:val="none" w:sz="0" w:space="0" w:color="auto"/>
        <w:bottom w:val="none" w:sz="0" w:space="0" w:color="auto"/>
        <w:right w:val="none" w:sz="0" w:space="0" w:color="auto"/>
      </w:divBdr>
    </w:div>
    <w:div w:id="391582831">
      <w:bodyDiv w:val="1"/>
      <w:marLeft w:val="0"/>
      <w:marRight w:val="0"/>
      <w:marTop w:val="0"/>
      <w:marBottom w:val="0"/>
      <w:divBdr>
        <w:top w:val="none" w:sz="0" w:space="0" w:color="auto"/>
        <w:left w:val="none" w:sz="0" w:space="0" w:color="auto"/>
        <w:bottom w:val="none" w:sz="0" w:space="0" w:color="auto"/>
        <w:right w:val="none" w:sz="0" w:space="0" w:color="auto"/>
      </w:divBdr>
    </w:div>
    <w:div w:id="488207009">
      <w:bodyDiv w:val="1"/>
      <w:marLeft w:val="0"/>
      <w:marRight w:val="0"/>
      <w:marTop w:val="0"/>
      <w:marBottom w:val="0"/>
      <w:divBdr>
        <w:top w:val="none" w:sz="0" w:space="0" w:color="auto"/>
        <w:left w:val="none" w:sz="0" w:space="0" w:color="auto"/>
        <w:bottom w:val="none" w:sz="0" w:space="0" w:color="auto"/>
        <w:right w:val="none" w:sz="0" w:space="0" w:color="auto"/>
      </w:divBdr>
    </w:div>
    <w:div w:id="537206612">
      <w:bodyDiv w:val="1"/>
      <w:marLeft w:val="0"/>
      <w:marRight w:val="0"/>
      <w:marTop w:val="0"/>
      <w:marBottom w:val="0"/>
      <w:divBdr>
        <w:top w:val="none" w:sz="0" w:space="0" w:color="auto"/>
        <w:left w:val="none" w:sz="0" w:space="0" w:color="auto"/>
        <w:bottom w:val="none" w:sz="0" w:space="0" w:color="auto"/>
        <w:right w:val="none" w:sz="0" w:space="0" w:color="auto"/>
      </w:divBdr>
    </w:div>
    <w:div w:id="571938157">
      <w:bodyDiv w:val="1"/>
      <w:marLeft w:val="0"/>
      <w:marRight w:val="0"/>
      <w:marTop w:val="0"/>
      <w:marBottom w:val="0"/>
      <w:divBdr>
        <w:top w:val="none" w:sz="0" w:space="0" w:color="auto"/>
        <w:left w:val="none" w:sz="0" w:space="0" w:color="auto"/>
        <w:bottom w:val="none" w:sz="0" w:space="0" w:color="auto"/>
        <w:right w:val="none" w:sz="0" w:space="0" w:color="auto"/>
      </w:divBdr>
    </w:div>
    <w:div w:id="609706730">
      <w:bodyDiv w:val="1"/>
      <w:marLeft w:val="0"/>
      <w:marRight w:val="0"/>
      <w:marTop w:val="0"/>
      <w:marBottom w:val="0"/>
      <w:divBdr>
        <w:top w:val="none" w:sz="0" w:space="0" w:color="auto"/>
        <w:left w:val="none" w:sz="0" w:space="0" w:color="auto"/>
        <w:bottom w:val="none" w:sz="0" w:space="0" w:color="auto"/>
        <w:right w:val="none" w:sz="0" w:space="0" w:color="auto"/>
      </w:divBdr>
      <w:divsChild>
        <w:div w:id="396052592">
          <w:marLeft w:val="1714"/>
          <w:marRight w:val="0"/>
          <w:marTop w:val="75"/>
          <w:marBottom w:val="0"/>
          <w:divBdr>
            <w:top w:val="none" w:sz="0" w:space="0" w:color="auto"/>
            <w:left w:val="none" w:sz="0" w:space="0" w:color="auto"/>
            <w:bottom w:val="none" w:sz="0" w:space="0" w:color="auto"/>
            <w:right w:val="none" w:sz="0" w:space="0" w:color="auto"/>
          </w:divBdr>
        </w:div>
        <w:div w:id="905215583">
          <w:marLeft w:val="1714"/>
          <w:marRight w:val="0"/>
          <w:marTop w:val="75"/>
          <w:marBottom w:val="0"/>
          <w:divBdr>
            <w:top w:val="none" w:sz="0" w:space="0" w:color="auto"/>
            <w:left w:val="none" w:sz="0" w:space="0" w:color="auto"/>
            <w:bottom w:val="none" w:sz="0" w:space="0" w:color="auto"/>
            <w:right w:val="none" w:sz="0" w:space="0" w:color="auto"/>
          </w:divBdr>
        </w:div>
        <w:div w:id="967510897">
          <w:marLeft w:val="1714"/>
          <w:marRight w:val="0"/>
          <w:marTop w:val="75"/>
          <w:marBottom w:val="0"/>
          <w:divBdr>
            <w:top w:val="none" w:sz="0" w:space="0" w:color="auto"/>
            <w:left w:val="none" w:sz="0" w:space="0" w:color="auto"/>
            <w:bottom w:val="none" w:sz="0" w:space="0" w:color="auto"/>
            <w:right w:val="none" w:sz="0" w:space="0" w:color="auto"/>
          </w:divBdr>
        </w:div>
        <w:div w:id="968781886">
          <w:marLeft w:val="1714"/>
          <w:marRight w:val="0"/>
          <w:marTop w:val="75"/>
          <w:marBottom w:val="0"/>
          <w:divBdr>
            <w:top w:val="none" w:sz="0" w:space="0" w:color="auto"/>
            <w:left w:val="none" w:sz="0" w:space="0" w:color="auto"/>
            <w:bottom w:val="none" w:sz="0" w:space="0" w:color="auto"/>
            <w:right w:val="none" w:sz="0" w:space="0" w:color="auto"/>
          </w:divBdr>
        </w:div>
        <w:div w:id="1092822886">
          <w:marLeft w:val="1714"/>
          <w:marRight w:val="0"/>
          <w:marTop w:val="75"/>
          <w:marBottom w:val="0"/>
          <w:divBdr>
            <w:top w:val="none" w:sz="0" w:space="0" w:color="auto"/>
            <w:left w:val="none" w:sz="0" w:space="0" w:color="auto"/>
            <w:bottom w:val="none" w:sz="0" w:space="0" w:color="auto"/>
            <w:right w:val="none" w:sz="0" w:space="0" w:color="auto"/>
          </w:divBdr>
        </w:div>
        <w:div w:id="1123118034">
          <w:marLeft w:val="1714"/>
          <w:marRight w:val="0"/>
          <w:marTop w:val="75"/>
          <w:marBottom w:val="0"/>
          <w:divBdr>
            <w:top w:val="none" w:sz="0" w:space="0" w:color="auto"/>
            <w:left w:val="none" w:sz="0" w:space="0" w:color="auto"/>
            <w:bottom w:val="none" w:sz="0" w:space="0" w:color="auto"/>
            <w:right w:val="none" w:sz="0" w:space="0" w:color="auto"/>
          </w:divBdr>
        </w:div>
        <w:div w:id="1359312501">
          <w:marLeft w:val="1714"/>
          <w:marRight w:val="0"/>
          <w:marTop w:val="75"/>
          <w:marBottom w:val="0"/>
          <w:divBdr>
            <w:top w:val="none" w:sz="0" w:space="0" w:color="auto"/>
            <w:left w:val="none" w:sz="0" w:space="0" w:color="auto"/>
            <w:bottom w:val="none" w:sz="0" w:space="0" w:color="auto"/>
            <w:right w:val="none" w:sz="0" w:space="0" w:color="auto"/>
          </w:divBdr>
        </w:div>
        <w:div w:id="1544361329">
          <w:marLeft w:val="1714"/>
          <w:marRight w:val="0"/>
          <w:marTop w:val="75"/>
          <w:marBottom w:val="0"/>
          <w:divBdr>
            <w:top w:val="none" w:sz="0" w:space="0" w:color="auto"/>
            <w:left w:val="none" w:sz="0" w:space="0" w:color="auto"/>
            <w:bottom w:val="none" w:sz="0" w:space="0" w:color="auto"/>
            <w:right w:val="none" w:sz="0" w:space="0" w:color="auto"/>
          </w:divBdr>
        </w:div>
        <w:div w:id="1598906246">
          <w:marLeft w:val="1714"/>
          <w:marRight w:val="0"/>
          <w:marTop w:val="75"/>
          <w:marBottom w:val="0"/>
          <w:divBdr>
            <w:top w:val="none" w:sz="0" w:space="0" w:color="auto"/>
            <w:left w:val="none" w:sz="0" w:space="0" w:color="auto"/>
            <w:bottom w:val="none" w:sz="0" w:space="0" w:color="auto"/>
            <w:right w:val="none" w:sz="0" w:space="0" w:color="auto"/>
          </w:divBdr>
        </w:div>
        <w:div w:id="1650475242">
          <w:marLeft w:val="907"/>
          <w:marRight w:val="0"/>
          <w:marTop w:val="0"/>
          <w:marBottom w:val="0"/>
          <w:divBdr>
            <w:top w:val="none" w:sz="0" w:space="0" w:color="auto"/>
            <w:left w:val="none" w:sz="0" w:space="0" w:color="auto"/>
            <w:bottom w:val="none" w:sz="0" w:space="0" w:color="auto"/>
            <w:right w:val="none" w:sz="0" w:space="0" w:color="auto"/>
          </w:divBdr>
        </w:div>
      </w:divsChild>
    </w:div>
    <w:div w:id="630941715">
      <w:bodyDiv w:val="1"/>
      <w:marLeft w:val="0"/>
      <w:marRight w:val="0"/>
      <w:marTop w:val="0"/>
      <w:marBottom w:val="0"/>
      <w:divBdr>
        <w:top w:val="none" w:sz="0" w:space="0" w:color="auto"/>
        <w:left w:val="none" w:sz="0" w:space="0" w:color="auto"/>
        <w:bottom w:val="none" w:sz="0" w:space="0" w:color="auto"/>
        <w:right w:val="none" w:sz="0" w:space="0" w:color="auto"/>
      </w:divBdr>
    </w:div>
    <w:div w:id="788399989">
      <w:bodyDiv w:val="1"/>
      <w:marLeft w:val="0"/>
      <w:marRight w:val="0"/>
      <w:marTop w:val="0"/>
      <w:marBottom w:val="0"/>
      <w:divBdr>
        <w:top w:val="none" w:sz="0" w:space="0" w:color="auto"/>
        <w:left w:val="none" w:sz="0" w:space="0" w:color="auto"/>
        <w:bottom w:val="none" w:sz="0" w:space="0" w:color="auto"/>
        <w:right w:val="none" w:sz="0" w:space="0" w:color="auto"/>
      </w:divBdr>
    </w:div>
    <w:div w:id="793907955">
      <w:bodyDiv w:val="1"/>
      <w:marLeft w:val="0"/>
      <w:marRight w:val="0"/>
      <w:marTop w:val="0"/>
      <w:marBottom w:val="0"/>
      <w:divBdr>
        <w:top w:val="none" w:sz="0" w:space="0" w:color="auto"/>
        <w:left w:val="none" w:sz="0" w:space="0" w:color="auto"/>
        <w:bottom w:val="none" w:sz="0" w:space="0" w:color="auto"/>
        <w:right w:val="none" w:sz="0" w:space="0" w:color="auto"/>
      </w:divBdr>
    </w:div>
    <w:div w:id="809596204">
      <w:bodyDiv w:val="1"/>
      <w:marLeft w:val="0"/>
      <w:marRight w:val="0"/>
      <w:marTop w:val="0"/>
      <w:marBottom w:val="0"/>
      <w:divBdr>
        <w:top w:val="none" w:sz="0" w:space="0" w:color="auto"/>
        <w:left w:val="none" w:sz="0" w:space="0" w:color="auto"/>
        <w:bottom w:val="none" w:sz="0" w:space="0" w:color="auto"/>
        <w:right w:val="none" w:sz="0" w:space="0" w:color="auto"/>
      </w:divBdr>
    </w:div>
    <w:div w:id="825323978">
      <w:bodyDiv w:val="1"/>
      <w:marLeft w:val="0"/>
      <w:marRight w:val="0"/>
      <w:marTop w:val="0"/>
      <w:marBottom w:val="0"/>
      <w:divBdr>
        <w:top w:val="none" w:sz="0" w:space="0" w:color="auto"/>
        <w:left w:val="none" w:sz="0" w:space="0" w:color="auto"/>
        <w:bottom w:val="none" w:sz="0" w:space="0" w:color="auto"/>
        <w:right w:val="none" w:sz="0" w:space="0" w:color="auto"/>
      </w:divBdr>
    </w:div>
    <w:div w:id="829828410">
      <w:bodyDiv w:val="1"/>
      <w:marLeft w:val="0"/>
      <w:marRight w:val="0"/>
      <w:marTop w:val="0"/>
      <w:marBottom w:val="0"/>
      <w:divBdr>
        <w:top w:val="none" w:sz="0" w:space="0" w:color="auto"/>
        <w:left w:val="none" w:sz="0" w:space="0" w:color="auto"/>
        <w:bottom w:val="none" w:sz="0" w:space="0" w:color="auto"/>
        <w:right w:val="none" w:sz="0" w:space="0" w:color="auto"/>
      </w:divBdr>
    </w:div>
    <w:div w:id="842476026">
      <w:bodyDiv w:val="1"/>
      <w:marLeft w:val="0"/>
      <w:marRight w:val="0"/>
      <w:marTop w:val="0"/>
      <w:marBottom w:val="0"/>
      <w:divBdr>
        <w:top w:val="none" w:sz="0" w:space="0" w:color="auto"/>
        <w:left w:val="none" w:sz="0" w:space="0" w:color="auto"/>
        <w:bottom w:val="none" w:sz="0" w:space="0" w:color="auto"/>
        <w:right w:val="none" w:sz="0" w:space="0" w:color="auto"/>
      </w:divBdr>
    </w:div>
    <w:div w:id="874661843">
      <w:bodyDiv w:val="1"/>
      <w:marLeft w:val="0"/>
      <w:marRight w:val="0"/>
      <w:marTop w:val="0"/>
      <w:marBottom w:val="0"/>
      <w:divBdr>
        <w:top w:val="none" w:sz="0" w:space="0" w:color="auto"/>
        <w:left w:val="none" w:sz="0" w:space="0" w:color="auto"/>
        <w:bottom w:val="none" w:sz="0" w:space="0" w:color="auto"/>
        <w:right w:val="none" w:sz="0" w:space="0" w:color="auto"/>
      </w:divBdr>
    </w:div>
    <w:div w:id="986125759">
      <w:bodyDiv w:val="1"/>
      <w:marLeft w:val="0"/>
      <w:marRight w:val="0"/>
      <w:marTop w:val="0"/>
      <w:marBottom w:val="0"/>
      <w:divBdr>
        <w:top w:val="none" w:sz="0" w:space="0" w:color="auto"/>
        <w:left w:val="none" w:sz="0" w:space="0" w:color="auto"/>
        <w:bottom w:val="none" w:sz="0" w:space="0" w:color="auto"/>
        <w:right w:val="none" w:sz="0" w:space="0" w:color="auto"/>
      </w:divBdr>
    </w:div>
    <w:div w:id="990986465">
      <w:bodyDiv w:val="1"/>
      <w:marLeft w:val="0"/>
      <w:marRight w:val="0"/>
      <w:marTop w:val="0"/>
      <w:marBottom w:val="0"/>
      <w:divBdr>
        <w:top w:val="none" w:sz="0" w:space="0" w:color="auto"/>
        <w:left w:val="none" w:sz="0" w:space="0" w:color="auto"/>
        <w:bottom w:val="none" w:sz="0" w:space="0" w:color="auto"/>
        <w:right w:val="none" w:sz="0" w:space="0" w:color="auto"/>
      </w:divBdr>
    </w:div>
    <w:div w:id="996542787">
      <w:bodyDiv w:val="1"/>
      <w:marLeft w:val="0"/>
      <w:marRight w:val="0"/>
      <w:marTop w:val="0"/>
      <w:marBottom w:val="0"/>
      <w:divBdr>
        <w:top w:val="none" w:sz="0" w:space="0" w:color="auto"/>
        <w:left w:val="none" w:sz="0" w:space="0" w:color="auto"/>
        <w:bottom w:val="none" w:sz="0" w:space="0" w:color="auto"/>
        <w:right w:val="none" w:sz="0" w:space="0" w:color="auto"/>
      </w:divBdr>
    </w:div>
    <w:div w:id="1004088443">
      <w:bodyDiv w:val="1"/>
      <w:marLeft w:val="0"/>
      <w:marRight w:val="0"/>
      <w:marTop w:val="0"/>
      <w:marBottom w:val="0"/>
      <w:divBdr>
        <w:top w:val="none" w:sz="0" w:space="0" w:color="auto"/>
        <w:left w:val="none" w:sz="0" w:space="0" w:color="auto"/>
        <w:bottom w:val="none" w:sz="0" w:space="0" w:color="auto"/>
        <w:right w:val="none" w:sz="0" w:space="0" w:color="auto"/>
      </w:divBdr>
    </w:div>
    <w:div w:id="1021081779">
      <w:bodyDiv w:val="1"/>
      <w:marLeft w:val="0"/>
      <w:marRight w:val="0"/>
      <w:marTop w:val="0"/>
      <w:marBottom w:val="0"/>
      <w:divBdr>
        <w:top w:val="none" w:sz="0" w:space="0" w:color="auto"/>
        <w:left w:val="none" w:sz="0" w:space="0" w:color="auto"/>
        <w:bottom w:val="none" w:sz="0" w:space="0" w:color="auto"/>
        <w:right w:val="none" w:sz="0" w:space="0" w:color="auto"/>
      </w:divBdr>
    </w:div>
    <w:div w:id="1065185875">
      <w:bodyDiv w:val="1"/>
      <w:marLeft w:val="0"/>
      <w:marRight w:val="0"/>
      <w:marTop w:val="0"/>
      <w:marBottom w:val="0"/>
      <w:divBdr>
        <w:top w:val="none" w:sz="0" w:space="0" w:color="auto"/>
        <w:left w:val="none" w:sz="0" w:space="0" w:color="auto"/>
        <w:bottom w:val="none" w:sz="0" w:space="0" w:color="auto"/>
        <w:right w:val="none" w:sz="0" w:space="0" w:color="auto"/>
      </w:divBdr>
    </w:div>
    <w:div w:id="1146049598">
      <w:bodyDiv w:val="1"/>
      <w:marLeft w:val="0"/>
      <w:marRight w:val="0"/>
      <w:marTop w:val="0"/>
      <w:marBottom w:val="0"/>
      <w:divBdr>
        <w:top w:val="none" w:sz="0" w:space="0" w:color="auto"/>
        <w:left w:val="none" w:sz="0" w:space="0" w:color="auto"/>
        <w:bottom w:val="none" w:sz="0" w:space="0" w:color="auto"/>
        <w:right w:val="none" w:sz="0" w:space="0" w:color="auto"/>
      </w:divBdr>
    </w:div>
    <w:div w:id="1179198039">
      <w:bodyDiv w:val="1"/>
      <w:marLeft w:val="0"/>
      <w:marRight w:val="0"/>
      <w:marTop w:val="0"/>
      <w:marBottom w:val="0"/>
      <w:divBdr>
        <w:top w:val="none" w:sz="0" w:space="0" w:color="auto"/>
        <w:left w:val="none" w:sz="0" w:space="0" w:color="auto"/>
        <w:bottom w:val="none" w:sz="0" w:space="0" w:color="auto"/>
        <w:right w:val="none" w:sz="0" w:space="0" w:color="auto"/>
      </w:divBdr>
    </w:div>
    <w:div w:id="1241064183">
      <w:bodyDiv w:val="1"/>
      <w:marLeft w:val="0"/>
      <w:marRight w:val="0"/>
      <w:marTop w:val="0"/>
      <w:marBottom w:val="0"/>
      <w:divBdr>
        <w:top w:val="none" w:sz="0" w:space="0" w:color="auto"/>
        <w:left w:val="none" w:sz="0" w:space="0" w:color="auto"/>
        <w:bottom w:val="none" w:sz="0" w:space="0" w:color="auto"/>
        <w:right w:val="none" w:sz="0" w:space="0" w:color="auto"/>
      </w:divBdr>
    </w:div>
    <w:div w:id="1273904846">
      <w:bodyDiv w:val="1"/>
      <w:marLeft w:val="0"/>
      <w:marRight w:val="0"/>
      <w:marTop w:val="0"/>
      <w:marBottom w:val="0"/>
      <w:divBdr>
        <w:top w:val="none" w:sz="0" w:space="0" w:color="auto"/>
        <w:left w:val="none" w:sz="0" w:space="0" w:color="auto"/>
        <w:bottom w:val="none" w:sz="0" w:space="0" w:color="auto"/>
        <w:right w:val="none" w:sz="0" w:space="0" w:color="auto"/>
      </w:divBdr>
    </w:div>
    <w:div w:id="1292050136">
      <w:bodyDiv w:val="1"/>
      <w:marLeft w:val="0"/>
      <w:marRight w:val="0"/>
      <w:marTop w:val="0"/>
      <w:marBottom w:val="0"/>
      <w:divBdr>
        <w:top w:val="none" w:sz="0" w:space="0" w:color="auto"/>
        <w:left w:val="none" w:sz="0" w:space="0" w:color="auto"/>
        <w:bottom w:val="none" w:sz="0" w:space="0" w:color="auto"/>
        <w:right w:val="none" w:sz="0" w:space="0" w:color="auto"/>
      </w:divBdr>
    </w:div>
    <w:div w:id="1318917887">
      <w:bodyDiv w:val="1"/>
      <w:marLeft w:val="0"/>
      <w:marRight w:val="0"/>
      <w:marTop w:val="0"/>
      <w:marBottom w:val="0"/>
      <w:divBdr>
        <w:top w:val="none" w:sz="0" w:space="0" w:color="auto"/>
        <w:left w:val="none" w:sz="0" w:space="0" w:color="auto"/>
        <w:bottom w:val="none" w:sz="0" w:space="0" w:color="auto"/>
        <w:right w:val="none" w:sz="0" w:space="0" w:color="auto"/>
      </w:divBdr>
    </w:div>
    <w:div w:id="1344748184">
      <w:bodyDiv w:val="1"/>
      <w:marLeft w:val="0"/>
      <w:marRight w:val="0"/>
      <w:marTop w:val="0"/>
      <w:marBottom w:val="0"/>
      <w:divBdr>
        <w:top w:val="none" w:sz="0" w:space="0" w:color="auto"/>
        <w:left w:val="none" w:sz="0" w:space="0" w:color="auto"/>
        <w:bottom w:val="none" w:sz="0" w:space="0" w:color="auto"/>
        <w:right w:val="none" w:sz="0" w:space="0" w:color="auto"/>
      </w:divBdr>
    </w:div>
    <w:div w:id="1364747160">
      <w:bodyDiv w:val="1"/>
      <w:marLeft w:val="0"/>
      <w:marRight w:val="0"/>
      <w:marTop w:val="0"/>
      <w:marBottom w:val="0"/>
      <w:divBdr>
        <w:top w:val="none" w:sz="0" w:space="0" w:color="auto"/>
        <w:left w:val="none" w:sz="0" w:space="0" w:color="auto"/>
        <w:bottom w:val="none" w:sz="0" w:space="0" w:color="auto"/>
        <w:right w:val="none" w:sz="0" w:space="0" w:color="auto"/>
      </w:divBdr>
    </w:div>
    <w:div w:id="1401362700">
      <w:bodyDiv w:val="1"/>
      <w:marLeft w:val="0"/>
      <w:marRight w:val="0"/>
      <w:marTop w:val="0"/>
      <w:marBottom w:val="0"/>
      <w:divBdr>
        <w:top w:val="none" w:sz="0" w:space="0" w:color="auto"/>
        <w:left w:val="none" w:sz="0" w:space="0" w:color="auto"/>
        <w:bottom w:val="none" w:sz="0" w:space="0" w:color="auto"/>
        <w:right w:val="none" w:sz="0" w:space="0" w:color="auto"/>
      </w:divBdr>
      <w:divsChild>
        <w:div w:id="1783958724">
          <w:marLeft w:val="907"/>
          <w:marRight w:val="0"/>
          <w:marTop w:val="0"/>
          <w:marBottom w:val="0"/>
          <w:divBdr>
            <w:top w:val="none" w:sz="0" w:space="0" w:color="auto"/>
            <w:left w:val="none" w:sz="0" w:space="0" w:color="auto"/>
            <w:bottom w:val="none" w:sz="0" w:space="0" w:color="auto"/>
            <w:right w:val="none" w:sz="0" w:space="0" w:color="auto"/>
          </w:divBdr>
        </w:div>
        <w:div w:id="554973074">
          <w:marLeft w:val="1714"/>
          <w:marRight w:val="0"/>
          <w:marTop w:val="75"/>
          <w:marBottom w:val="0"/>
          <w:divBdr>
            <w:top w:val="none" w:sz="0" w:space="0" w:color="auto"/>
            <w:left w:val="none" w:sz="0" w:space="0" w:color="auto"/>
            <w:bottom w:val="none" w:sz="0" w:space="0" w:color="auto"/>
            <w:right w:val="none" w:sz="0" w:space="0" w:color="auto"/>
          </w:divBdr>
        </w:div>
        <w:div w:id="3211662">
          <w:marLeft w:val="2246"/>
          <w:marRight w:val="0"/>
          <w:marTop w:val="75"/>
          <w:marBottom w:val="0"/>
          <w:divBdr>
            <w:top w:val="none" w:sz="0" w:space="0" w:color="auto"/>
            <w:left w:val="none" w:sz="0" w:space="0" w:color="auto"/>
            <w:bottom w:val="none" w:sz="0" w:space="0" w:color="auto"/>
            <w:right w:val="none" w:sz="0" w:space="0" w:color="auto"/>
          </w:divBdr>
        </w:div>
        <w:div w:id="1641768776">
          <w:marLeft w:val="2246"/>
          <w:marRight w:val="0"/>
          <w:marTop w:val="75"/>
          <w:marBottom w:val="0"/>
          <w:divBdr>
            <w:top w:val="none" w:sz="0" w:space="0" w:color="auto"/>
            <w:left w:val="none" w:sz="0" w:space="0" w:color="auto"/>
            <w:bottom w:val="none" w:sz="0" w:space="0" w:color="auto"/>
            <w:right w:val="none" w:sz="0" w:space="0" w:color="auto"/>
          </w:divBdr>
        </w:div>
        <w:div w:id="1639870623">
          <w:marLeft w:val="1714"/>
          <w:marRight w:val="0"/>
          <w:marTop w:val="75"/>
          <w:marBottom w:val="0"/>
          <w:divBdr>
            <w:top w:val="none" w:sz="0" w:space="0" w:color="auto"/>
            <w:left w:val="none" w:sz="0" w:space="0" w:color="auto"/>
            <w:bottom w:val="none" w:sz="0" w:space="0" w:color="auto"/>
            <w:right w:val="none" w:sz="0" w:space="0" w:color="auto"/>
          </w:divBdr>
        </w:div>
        <w:div w:id="35080355">
          <w:marLeft w:val="2246"/>
          <w:marRight w:val="0"/>
          <w:marTop w:val="75"/>
          <w:marBottom w:val="0"/>
          <w:divBdr>
            <w:top w:val="none" w:sz="0" w:space="0" w:color="auto"/>
            <w:left w:val="none" w:sz="0" w:space="0" w:color="auto"/>
            <w:bottom w:val="none" w:sz="0" w:space="0" w:color="auto"/>
            <w:right w:val="none" w:sz="0" w:space="0" w:color="auto"/>
          </w:divBdr>
        </w:div>
        <w:div w:id="1439518957">
          <w:marLeft w:val="1714"/>
          <w:marRight w:val="0"/>
          <w:marTop w:val="75"/>
          <w:marBottom w:val="0"/>
          <w:divBdr>
            <w:top w:val="none" w:sz="0" w:space="0" w:color="auto"/>
            <w:left w:val="none" w:sz="0" w:space="0" w:color="auto"/>
            <w:bottom w:val="none" w:sz="0" w:space="0" w:color="auto"/>
            <w:right w:val="none" w:sz="0" w:space="0" w:color="auto"/>
          </w:divBdr>
        </w:div>
        <w:div w:id="1426001830">
          <w:marLeft w:val="2246"/>
          <w:marRight w:val="0"/>
          <w:marTop w:val="75"/>
          <w:marBottom w:val="0"/>
          <w:divBdr>
            <w:top w:val="none" w:sz="0" w:space="0" w:color="auto"/>
            <w:left w:val="none" w:sz="0" w:space="0" w:color="auto"/>
            <w:bottom w:val="none" w:sz="0" w:space="0" w:color="auto"/>
            <w:right w:val="none" w:sz="0" w:space="0" w:color="auto"/>
          </w:divBdr>
        </w:div>
        <w:div w:id="183399961">
          <w:marLeft w:val="2246"/>
          <w:marRight w:val="0"/>
          <w:marTop w:val="75"/>
          <w:marBottom w:val="0"/>
          <w:divBdr>
            <w:top w:val="none" w:sz="0" w:space="0" w:color="auto"/>
            <w:left w:val="none" w:sz="0" w:space="0" w:color="auto"/>
            <w:bottom w:val="none" w:sz="0" w:space="0" w:color="auto"/>
            <w:right w:val="none" w:sz="0" w:space="0" w:color="auto"/>
          </w:divBdr>
        </w:div>
      </w:divsChild>
    </w:div>
    <w:div w:id="1429232724">
      <w:bodyDiv w:val="1"/>
      <w:marLeft w:val="0"/>
      <w:marRight w:val="0"/>
      <w:marTop w:val="0"/>
      <w:marBottom w:val="0"/>
      <w:divBdr>
        <w:top w:val="none" w:sz="0" w:space="0" w:color="auto"/>
        <w:left w:val="none" w:sz="0" w:space="0" w:color="auto"/>
        <w:bottom w:val="none" w:sz="0" w:space="0" w:color="auto"/>
        <w:right w:val="none" w:sz="0" w:space="0" w:color="auto"/>
      </w:divBdr>
    </w:div>
    <w:div w:id="1440953067">
      <w:bodyDiv w:val="1"/>
      <w:marLeft w:val="0"/>
      <w:marRight w:val="0"/>
      <w:marTop w:val="0"/>
      <w:marBottom w:val="0"/>
      <w:divBdr>
        <w:top w:val="none" w:sz="0" w:space="0" w:color="auto"/>
        <w:left w:val="none" w:sz="0" w:space="0" w:color="auto"/>
        <w:bottom w:val="none" w:sz="0" w:space="0" w:color="auto"/>
        <w:right w:val="none" w:sz="0" w:space="0" w:color="auto"/>
      </w:divBdr>
    </w:div>
    <w:div w:id="1480725485">
      <w:bodyDiv w:val="1"/>
      <w:marLeft w:val="0"/>
      <w:marRight w:val="0"/>
      <w:marTop w:val="0"/>
      <w:marBottom w:val="0"/>
      <w:divBdr>
        <w:top w:val="none" w:sz="0" w:space="0" w:color="auto"/>
        <w:left w:val="none" w:sz="0" w:space="0" w:color="auto"/>
        <w:bottom w:val="none" w:sz="0" w:space="0" w:color="auto"/>
        <w:right w:val="none" w:sz="0" w:space="0" w:color="auto"/>
      </w:divBdr>
    </w:div>
    <w:div w:id="1521160118">
      <w:bodyDiv w:val="1"/>
      <w:marLeft w:val="0"/>
      <w:marRight w:val="0"/>
      <w:marTop w:val="0"/>
      <w:marBottom w:val="0"/>
      <w:divBdr>
        <w:top w:val="none" w:sz="0" w:space="0" w:color="auto"/>
        <w:left w:val="none" w:sz="0" w:space="0" w:color="auto"/>
        <w:bottom w:val="none" w:sz="0" w:space="0" w:color="auto"/>
        <w:right w:val="none" w:sz="0" w:space="0" w:color="auto"/>
      </w:divBdr>
    </w:div>
    <w:div w:id="1545369386">
      <w:bodyDiv w:val="1"/>
      <w:marLeft w:val="0"/>
      <w:marRight w:val="0"/>
      <w:marTop w:val="0"/>
      <w:marBottom w:val="0"/>
      <w:divBdr>
        <w:top w:val="none" w:sz="0" w:space="0" w:color="auto"/>
        <w:left w:val="none" w:sz="0" w:space="0" w:color="auto"/>
        <w:bottom w:val="none" w:sz="0" w:space="0" w:color="auto"/>
        <w:right w:val="none" w:sz="0" w:space="0" w:color="auto"/>
      </w:divBdr>
      <w:divsChild>
        <w:div w:id="1642616531">
          <w:marLeft w:val="547"/>
          <w:marRight w:val="0"/>
          <w:marTop w:val="0"/>
          <w:marBottom w:val="120"/>
          <w:divBdr>
            <w:top w:val="none" w:sz="0" w:space="0" w:color="auto"/>
            <w:left w:val="none" w:sz="0" w:space="0" w:color="auto"/>
            <w:bottom w:val="none" w:sz="0" w:space="0" w:color="auto"/>
            <w:right w:val="none" w:sz="0" w:space="0" w:color="auto"/>
          </w:divBdr>
        </w:div>
        <w:div w:id="1440030669">
          <w:marLeft w:val="547"/>
          <w:marRight w:val="0"/>
          <w:marTop w:val="0"/>
          <w:marBottom w:val="120"/>
          <w:divBdr>
            <w:top w:val="none" w:sz="0" w:space="0" w:color="auto"/>
            <w:left w:val="none" w:sz="0" w:space="0" w:color="auto"/>
            <w:bottom w:val="none" w:sz="0" w:space="0" w:color="auto"/>
            <w:right w:val="none" w:sz="0" w:space="0" w:color="auto"/>
          </w:divBdr>
        </w:div>
        <w:div w:id="773325959">
          <w:marLeft w:val="547"/>
          <w:marRight w:val="0"/>
          <w:marTop w:val="0"/>
          <w:marBottom w:val="120"/>
          <w:divBdr>
            <w:top w:val="none" w:sz="0" w:space="0" w:color="auto"/>
            <w:left w:val="none" w:sz="0" w:space="0" w:color="auto"/>
            <w:bottom w:val="none" w:sz="0" w:space="0" w:color="auto"/>
            <w:right w:val="none" w:sz="0" w:space="0" w:color="auto"/>
          </w:divBdr>
        </w:div>
        <w:div w:id="1025904838">
          <w:marLeft w:val="547"/>
          <w:marRight w:val="0"/>
          <w:marTop w:val="0"/>
          <w:marBottom w:val="120"/>
          <w:divBdr>
            <w:top w:val="none" w:sz="0" w:space="0" w:color="auto"/>
            <w:left w:val="none" w:sz="0" w:space="0" w:color="auto"/>
            <w:bottom w:val="none" w:sz="0" w:space="0" w:color="auto"/>
            <w:right w:val="none" w:sz="0" w:space="0" w:color="auto"/>
          </w:divBdr>
        </w:div>
        <w:div w:id="1679691509">
          <w:marLeft w:val="547"/>
          <w:marRight w:val="0"/>
          <w:marTop w:val="0"/>
          <w:marBottom w:val="120"/>
          <w:divBdr>
            <w:top w:val="none" w:sz="0" w:space="0" w:color="auto"/>
            <w:left w:val="none" w:sz="0" w:space="0" w:color="auto"/>
            <w:bottom w:val="none" w:sz="0" w:space="0" w:color="auto"/>
            <w:right w:val="none" w:sz="0" w:space="0" w:color="auto"/>
          </w:divBdr>
        </w:div>
      </w:divsChild>
    </w:div>
    <w:div w:id="1706710330">
      <w:bodyDiv w:val="1"/>
      <w:marLeft w:val="0"/>
      <w:marRight w:val="0"/>
      <w:marTop w:val="0"/>
      <w:marBottom w:val="0"/>
      <w:divBdr>
        <w:top w:val="none" w:sz="0" w:space="0" w:color="auto"/>
        <w:left w:val="none" w:sz="0" w:space="0" w:color="auto"/>
        <w:bottom w:val="none" w:sz="0" w:space="0" w:color="auto"/>
        <w:right w:val="none" w:sz="0" w:space="0" w:color="auto"/>
      </w:divBdr>
    </w:div>
    <w:div w:id="1735276090">
      <w:bodyDiv w:val="1"/>
      <w:marLeft w:val="0"/>
      <w:marRight w:val="0"/>
      <w:marTop w:val="0"/>
      <w:marBottom w:val="0"/>
      <w:divBdr>
        <w:top w:val="none" w:sz="0" w:space="0" w:color="auto"/>
        <w:left w:val="none" w:sz="0" w:space="0" w:color="auto"/>
        <w:bottom w:val="none" w:sz="0" w:space="0" w:color="auto"/>
        <w:right w:val="none" w:sz="0" w:space="0" w:color="auto"/>
      </w:divBdr>
    </w:div>
    <w:div w:id="1743016621">
      <w:bodyDiv w:val="1"/>
      <w:marLeft w:val="0"/>
      <w:marRight w:val="0"/>
      <w:marTop w:val="0"/>
      <w:marBottom w:val="0"/>
      <w:divBdr>
        <w:top w:val="none" w:sz="0" w:space="0" w:color="auto"/>
        <w:left w:val="none" w:sz="0" w:space="0" w:color="auto"/>
        <w:bottom w:val="none" w:sz="0" w:space="0" w:color="auto"/>
        <w:right w:val="none" w:sz="0" w:space="0" w:color="auto"/>
      </w:divBdr>
    </w:div>
    <w:div w:id="1789742753">
      <w:bodyDiv w:val="1"/>
      <w:marLeft w:val="0"/>
      <w:marRight w:val="0"/>
      <w:marTop w:val="0"/>
      <w:marBottom w:val="0"/>
      <w:divBdr>
        <w:top w:val="none" w:sz="0" w:space="0" w:color="auto"/>
        <w:left w:val="none" w:sz="0" w:space="0" w:color="auto"/>
        <w:bottom w:val="none" w:sz="0" w:space="0" w:color="auto"/>
        <w:right w:val="none" w:sz="0" w:space="0" w:color="auto"/>
      </w:divBdr>
    </w:div>
    <w:div w:id="1863322403">
      <w:bodyDiv w:val="1"/>
      <w:marLeft w:val="0"/>
      <w:marRight w:val="0"/>
      <w:marTop w:val="0"/>
      <w:marBottom w:val="0"/>
      <w:divBdr>
        <w:top w:val="none" w:sz="0" w:space="0" w:color="auto"/>
        <w:left w:val="none" w:sz="0" w:space="0" w:color="auto"/>
        <w:bottom w:val="none" w:sz="0" w:space="0" w:color="auto"/>
        <w:right w:val="none" w:sz="0" w:space="0" w:color="auto"/>
      </w:divBdr>
      <w:divsChild>
        <w:div w:id="575359000">
          <w:marLeft w:val="1714"/>
          <w:marRight w:val="0"/>
          <w:marTop w:val="75"/>
          <w:marBottom w:val="0"/>
          <w:divBdr>
            <w:top w:val="none" w:sz="0" w:space="0" w:color="auto"/>
            <w:left w:val="none" w:sz="0" w:space="0" w:color="auto"/>
            <w:bottom w:val="none" w:sz="0" w:space="0" w:color="auto"/>
            <w:right w:val="none" w:sz="0" w:space="0" w:color="auto"/>
          </w:divBdr>
        </w:div>
        <w:div w:id="940408560">
          <w:marLeft w:val="1714"/>
          <w:marRight w:val="0"/>
          <w:marTop w:val="75"/>
          <w:marBottom w:val="0"/>
          <w:divBdr>
            <w:top w:val="none" w:sz="0" w:space="0" w:color="auto"/>
            <w:left w:val="none" w:sz="0" w:space="0" w:color="auto"/>
            <w:bottom w:val="none" w:sz="0" w:space="0" w:color="auto"/>
            <w:right w:val="none" w:sz="0" w:space="0" w:color="auto"/>
          </w:divBdr>
        </w:div>
        <w:div w:id="1194147734">
          <w:marLeft w:val="1714"/>
          <w:marRight w:val="0"/>
          <w:marTop w:val="75"/>
          <w:marBottom w:val="0"/>
          <w:divBdr>
            <w:top w:val="none" w:sz="0" w:space="0" w:color="auto"/>
            <w:left w:val="none" w:sz="0" w:space="0" w:color="auto"/>
            <w:bottom w:val="none" w:sz="0" w:space="0" w:color="auto"/>
            <w:right w:val="none" w:sz="0" w:space="0" w:color="auto"/>
          </w:divBdr>
        </w:div>
      </w:divsChild>
    </w:div>
    <w:div w:id="1916474860">
      <w:bodyDiv w:val="1"/>
      <w:marLeft w:val="0"/>
      <w:marRight w:val="0"/>
      <w:marTop w:val="0"/>
      <w:marBottom w:val="0"/>
      <w:divBdr>
        <w:top w:val="none" w:sz="0" w:space="0" w:color="auto"/>
        <w:left w:val="none" w:sz="0" w:space="0" w:color="auto"/>
        <w:bottom w:val="none" w:sz="0" w:space="0" w:color="auto"/>
        <w:right w:val="none" w:sz="0" w:space="0" w:color="auto"/>
      </w:divBdr>
    </w:div>
    <w:div w:id="1948734642">
      <w:bodyDiv w:val="1"/>
      <w:marLeft w:val="0"/>
      <w:marRight w:val="0"/>
      <w:marTop w:val="0"/>
      <w:marBottom w:val="0"/>
      <w:divBdr>
        <w:top w:val="none" w:sz="0" w:space="0" w:color="auto"/>
        <w:left w:val="none" w:sz="0" w:space="0" w:color="auto"/>
        <w:bottom w:val="none" w:sz="0" w:space="0" w:color="auto"/>
        <w:right w:val="none" w:sz="0" w:space="0" w:color="auto"/>
      </w:divBdr>
    </w:div>
    <w:div w:id="1970234001">
      <w:bodyDiv w:val="1"/>
      <w:marLeft w:val="0"/>
      <w:marRight w:val="0"/>
      <w:marTop w:val="0"/>
      <w:marBottom w:val="0"/>
      <w:divBdr>
        <w:top w:val="none" w:sz="0" w:space="0" w:color="auto"/>
        <w:left w:val="none" w:sz="0" w:space="0" w:color="auto"/>
        <w:bottom w:val="none" w:sz="0" w:space="0" w:color="auto"/>
        <w:right w:val="none" w:sz="0" w:space="0" w:color="auto"/>
      </w:divBdr>
    </w:div>
    <w:div w:id="1974407042">
      <w:bodyDiv w:val="1"/>
      <w:marLeft w:val="0"/>
      <w:marRight w:val="0"/>
      <w:marTop w:val="0"/>
      <w:marBottom w:val="0"/>
      <w:divBdr>
        <w:top w:val="none" w:sz="0" w:space="0" w:color="auto"/>
        <w:left w:val="none" w:sz="0" w:space="0" w:color="auto"/>
        <w:bottom w:val="none" w:sz="0" w:space="0" w:color="auto"/>
        <w:right w:val="none" w:sz="0" w:space="0" w:color="auto"/>
      </w:divBdr>
      <w:divsChild>
        <w:div w:id="925379446">
          <w:marLeft w:val="0"/>
          <w:marRight w:val="0"/>
          <w:marTop w:val="0"/>
          <w:marBottom w:val="0"/>
          <w:divBdr>
            <w:top w:val="none" w:sz="0" w:space="0" w:color="auto"/>
            <w:left w:val="none" w:sz="0" w:space="0" w:color="auto"/>
            <w:bottom w:val="none" w:sz="0" w:space="0" w:color="auto"/>
            <w:right w:val="none" w:sz="0" w:space="0" w:color="auto"/>
          </w:divBdr>
          <w:divsChild>
            <w:div w:id="1457067384">
              <w:marLeft w:val="0"/>
              <w:marRight w:val="0"/>
              <w:marTop w:val="0"/>
              <w:marBottom w:val="0"/>
              <w:divBdr>
                <w:top w:val="none" w:sz="0" w:space="0" w:color="auto"/>
                <w:left w:val="none" w:sz="0" w:space="0" w:color="auto"/>
                <w:bottom w:val="none" w:sz="0" w:space="0" w:color="auto"/>
                <w:right w:val="none" w:sz="0" w:space="0" w:color="auto"/>
              </w:divBdr>
              <w:divsChild>
                <w:div w:id="1386100382">
                  <w:marLeft w:val="0"/>
                  <w:marRight w:val="0"/>
                  <w:marTop w:val="0"/>
                  <w:marBottom w:val="0"/>
                  <w:divBdr>
                    <w:top w:val="none" w:sz="0" w:space="0" w:color="auto"/>
                    <w:left w:val="none" w:sz="0" w:space="0" w:color="auto"/>
                    <w:bottom w:val="none" w:sz="0" w:space="0" w:color="auto"/>
                    <w:right w:val="none" w:sz="0" w:space="0" w:color="auto"/>
                  </w:divBdr>
                  <w:divsChild>
                    <w:div w:id="2017415372">
                      <w:marLeft w:val="0"/>
                      <w:marRight w:val="0"/>
                      <w:marTop w:val="0"/>
                      <w:marBottom w:val="0"/>
                      <w:divBdr>
                        <w:top w:val="none" w:sz="0" w:space="0" w:color="auto"/>
                        <w:left w:val="none" w:sz="0" w:space="0" w:color="auto"/>
                        <w:bottom w:val="none" w:sz="0" w:space="0" w:color="auto"/>
                        <w:right w:val="none" w:sz="0" w:space="0" w:color="auto"/>
                      </w:divBdr>
                      <w:divsChild>
                        <w:div w:id="1879854719">
                          <w:marLeft w:val="0"/>
                          <w:marRight w:val="0"/>
                          <w:marTop w:val="0"/>
                          <w:marBottom w:val="0"/>
                          <w:divBdr>
                            <w:top w:val="none" w:sz="0" w:space="0" w:color="auto"/>
                            <w:left w:val="none" w:sz="0" w:space="0" w:color="auto"/>
                            <w:bottom w:val="none" w:sz="0" w:space="0" w:color="auto"/>
                            <w:right w:val="none" w:sz="0" w:space="0" w:color="auto"/>
                          </w:divBdr>
                          <w:divsChild>
                            <w:div w:id="1718121927">
                              <w:marLeft w:val="0"/>
                              <w:marRight w:val="0"/>
                              <w:marTop w:val="0"/>
                              <w:marBottom w:val="0"/>
                              <w:divBdr>
                                <w:top w:val="none" w:sz="0" w:space="0" w:color="auto"/>
                                <w:left w:val="none" w:sz="0" w:space="0" w:color="auto"/>
                                <w:bottom w:val="none" w:sz="0" w:space="0" w:color="auto"/>
                                <w:right w:val="none" w:sz="0" w:space="0" w:color="auto"/>
                              </w:divBdr>
                              <w:divsChild>
                                <w:div w:id="1015691624">
                                  <w:marLeft w:val="0"/>
                                  <w:marRight w:val="0"/>
                                  <w:marTop w:val="0"/>
                                  <w:marBottom w:val="0"/>
                                  <w:divBdr>
                                    <w:top w:val="none" w:sz="0" w:space="0" w:color="auto"/>
                                    <w:left w:val="none" w:sz="0" w:space="0" w:color="auto"/>
                                    <w:bottom w:val="none" w:sz="0" w:space="0" w:color="auto"/>
                                    <w:right w:val="none" w:sz="0" w:space="0" w:color="auto"/>
                                  </w:divBdr>
                                  <w:divsChild>
                                    <w:div w:id="273055534">
                                      <w:marLeft w:val="0"/>
                                      <w:marRight w:val="0"/>
                                      <w:marTop w:val="0"/>
                                      <w:marBottom w:val="0"/>
                                      <w:divBdr>
                                        <w:top w:val="none" w:sz="0" w:space="0" w:color="auto"/>
                                        <w:left w:val="none" w:sz="0" w:space="0" w:color="auto"/>
                                        <w:bottom w:val="none" w:sz="0" w:space="0" w:color="auto"/>
                                        <w:right w:val="none" w:sz="0" w:space="0" w:color="auto"/>
                                      </w:divBdr>
                                      <w:divsChild>
                                        <w:div w:id="316111951">
                                          <w:marLeft w:val="0"/>
                                          <w:marRight w:val="0"/>
                                          <w:marTop w:val="0"/>
                                          <w:marBottom w:val="0"/>
                                          <w:divBdr>
                                            <w:top w:val="none" w:sz="0" w:space="0" w:color="auto"/>
                                            <w:left w:val="none" w:sz="0" w:space="0" w:color="auto"/>
                                            <w:bottom w:val="none" w:sz="0" w:space="0" w:color="auto"/>
                                            <w:right w:val="none" w:sz="0" w:space="0" w:color="auto"/>
                                          </w:divBdr>
                                          <w:divsChild>
                                            <w:div w:id="1874223752">
                                              <w:marLeft w:val="0"/>
                                              <w:marRight w:val="0"/>
                                              <w:marTop w:val="0"/>
                                              <w:marBottom w:val="0"/>
                                              <w:divBdr>
                                                <w:top w:val="none" w:sz="0" w:space="0" w:color="auto"/>
                                                <w:left w:val="none" w:sz="0" w:space="0" w:color="auto"/>
                                                <w:bottom w:val="none" w:sz="0" w:space="0" w:color="auto"/>
                                                <w:right w:val="none" w:sz="0" w:space="0" w:color="auto"/>
                                              </w:divBdr>
                                              <w:divsChild>
                                                <w:div w:id="264770170">
                                                  <w:marLeft w:val="0"/>
                                                  <w:marRight w:val="0"/>
                                                  <w:marTop w:val="0"/>
                                                  <w:marBottom w:val="0"/>
                                                  <w:divBdr>
                                                    <w:top w:val="none" w:sz="0" w:space="0" w:color="auto"/>
                                                    <w:left w:val="none" w:sz="0" w:space="0" w:color="auto"/>
                                                    <w:bottom w:val="none" w:sz="0" w:space="0" w:color="auto"/>
                                                    <w:right w:val="none" w:sz="0" w:space="0" w:color="auto"/>
                                                  </w:divBdr>
                                                  <w:divsChild>
                                                    <w:div w:id="1511796723">
                                                      <w:marLeft w:val="0"/>
                                                      <w:marRight w:val="0"/>
                                                      <w:marTop w:val="0"/>
                                                      <w:marBottom w:val="0"/>
                                                      <w:divBdr>
                                                        <w:top w:val="none" w:sz="0" w:space="0" w:color="auto"/>
                                                        <w:left w:val="none" w:sz="0" w:space="0" w:color="auto"/>
                                                        <w:bottom w:val="none" w:sz="0" w:space="0" w:color="auto"/>
                                                        <w:right w:val="none" w:sz="0" w:space="0" w:color="auto"/>
                                                      </w:divBdr>
                                                      <w:divsChild>
                                                        <w:div w:id="1230506294">
                                                          <w:marLeft w:val="0"/>
                                                          <w:marRight w:val="0"/>
                                                          <w:marTop w:val="0"/>
                                                          <w:marBottom w:val="0"/>
                                                          <w:divBdr>
                                                            <w:top w:val="none" w:sz="0" w:space="0" w:color="auto"/>
                                                            <w:left w:val="none" w:sz="0" w:space="0" w:color="auto"/>
                                                            <w:bottom w:val="none" w:sz="0" w:space="0" w:color="auto"/>
                                                            <w:right w:val="none" w:sz="0" w:space="0" w:color="auto"/>
                                                          </w:divBdr>
                                                          <w:divsChild>
                                                            <w:div w:id="1548031106">
                                                              <w:marLeft w:val="0"/>
                                                              <w:marRight w:val="0"/>
                                                              <w:marTop w:val="0"/>
                                                              <w:marBottom w:val="0"/>
                                                              <w:divBdr>
                                                                <w:top w:val="none" w:sz="0" w:space="0" w:color="auto"/>
                                                                <w:left w:val="none" w:sz="0" w:space="0" w:color="auto"/>
                                                                <w:bottom w:val="none" w:sz="0" w:space="0" w:color="auto"/>
                                                                <w:right w:val="none" w:sz="0" w:space="0" w:color="auto"/>
                                                              </w:divBdr>
                                                              <w:divsChild>
                                                                <w:div w:id="367804266">
                                                                  <w:marLeft w:val="0"/>
                                                                  <w:marRight w:val="0"/>
                                                                  <w:marTop w:val="0"/>
                                                                  <w:marBottom w:val="0"/>
                                                                  <w:divBdr>
                                                                    <w:top w:val="none" w:sz="0" w:space="0" w:color="auto"/>
                                                                    <w:left w:val="none" w:sz="0" w:space="0" w:color="auto"/>
                                                                    <w:bottom w:val="none" w:sz="0" w:space="0" w:color="auto"/>
                                                                    <w:right w:val="none" w:sz="0" w:space="0" w:color="auto"/>
                                                                  </w:divBdr>
                                                                  <w:divsChild>
                                                                    <w:div w:id="217061428">
                                                                      <w:marLeft w:val="0"/>
                                                                      <w:marRight w:val="0"/>
                                                                      <w:marTop w:val="0"/>
                                                                      <w:marBottom w:val="0"/>
                                                                      <w:divBdr>
                                                                        <w:top w:val="none" w:sz="0" w:space="0" w:color="auto"/>
                                                                        <w:left w:val="none" w:sz="0" w:space="0" w:color="auto"/>
                                                                        <w:bottom w:val="none" w:sz="0" w:space="0" w:color="auto"/>
                                                                        <w:right w:val="none" w:sz="0" w:space="0" w:color="auto"/>
                                                                      </w:divBdr>
                                                                      <w:divsChild>
                                                                        <w:div w:id="722022671">
                                                                          <w:marLeft w:val="0"/>
                                                                          <w:marRight w:val="0"/>
                                                                          <w:marTop w:val="0"/>
                                                                          <w:marBottom w:val="0"/>
                                                                          <w:divBdr>
                                                                            <w:top w:val="none" w:sz="0" w:space="0" w:color="auto"/>
                                                                            <w:left w:val="none" w:sz="0" w:space="0" w:color="auto"/>
                                                                            <w:bottom w:val="none" w:sz="0" w:space="0" w:color="auto"/>
                                                                            <w:right w:val="none" w:sz="0" w:space="0" w:color="auto"/>
                                                                          </w:divBdr>
                                                                          <w:divsChild>
                                                                            <w:div w:id="69893904">
                                                                              <w:marLeft w:val="0"/>
                                                                              <w:marRight w:val="0"/>
                                                                              <w:marTop w:val="0"/>
                                                                              <w:marBottom w:val="0"/>
                                                                              <w:divBdr>
                                                                                <w:top w:val="none" w:sz="0" w:space="0" w:color="auto"/>
                                                                                <w:left w:val="none" w:sz="0" w:space="0" w:color="auto"/>
                                                                                <w:bottom w:val="none" w:sz="0" w:space="0" w:color="auto"/>
                                                                                <w:right w:val="none" w:sz="0" w:space="0" w:color="auto"/>
                                                                              </w:divBdr>
                                                                              <w:divsChild>
                                                                                <w:div w:id="1578901660">
                                                                                  <w:marLeft w:val="0"/>
                                                                                  <w:marRight w:val="0"/>
                                                                                  <w:marTop w:val="0"/>
                                                                                  <w:marBottom w:val="0"/>
                                                                                  <w:divBdr>
                                                                                    <w:top w:val="none" w:sz="0" w:space="0" w:color="auto"/>
                                                                                    <w:left w:val="none" w:sz="0" w:space="0" w:color="auto"/>
                                                                                    <w:bottom w:val="none" w:sz="0" w:space="0" w:color="auto"/>
                                                                                    <w:right w:val="none" w:sz="0" w:space="0" w:color="auto"/>
                                                                                  </w:divBdr>
                                                                                  <w:divsChild>
                                                                                    <w:div w:id="63988098">
                                                                                      <w:marLeft w:val="0"/>
                                                                                      <w:marRight w:val="0"/>
                                                                                      <w:marTop w:val="0"/>
                                                                                      <w:marBottom w:val="0"/>
                                                                                      <w:divBdr>
                                                                                        <w:top w:val="none" w:sz="0" w:space="0" w:color="auto"/>
                                                                                        <w:left w:val="none" w:sz="0" w:space="0" w:color="auto"/>
                                                                                        <w:bottom w:val="none" w:sz="0" w:space="0" w:color="auto"/>
                                                                                        <w:right w:val="none" w:sz="0" w:space="0" w:color="auto"/>
                                                                                      </w:divBdr>
                                                                                      <w:divsChild>
                                                                                        <w:div w:id="2115175538">
                                                                                          <w:marLeft w:val="0"/>
                                                                                          <w:marRight w:val="0"/>
                                                                                          <w:marTop w:val="0"/>
                                                                                          <w:marBottom w:val="0"/>
                                                                                          <w:divBdr>
                                                                                            <w:top w:val="none" w:sz="0" w:space="0" w:color="auto"/>
                                                                                            <w:left w:val="none" w:sz="0" w:space="0" w:color="auto"/>
                                                                                            <w:bottom w:val="none" w:sz="0" w:space="0" w:color="auto"/>
                                                                                            <w:right w:val="none" w:sz="0" w:space="0" w:color="auto"/>
                                                                                          </w:divBdr>
                                                                                          <w:divsChild>
                                                                                            <w:div w:id="1272938034">
                                                                                              <w:marLeft w:val="0"/>
                                                                                              <w:marRight w:val="120"/>
                                                                                              <w:marTop w:val="0"/>
                                                                                              <w:marBottom w:val="150"/>
                                                                                              <w:divBdr>
                                                                                                <w:top w:val="single" w:sz="2" w:space="0" w:color="EFEFEF"/>
                                                                                                <w:left w:val="single" w:sz="6" w:space="0" w:color="EFEFEF"/>
                                                                                                <w:bottom w:val="single" w:sz="6" w:space="0" w:color="E2E2E2"/>
                                                                                                <w:right w:val="single" w:sz="6" w:space="0" w:color="EFEFEF"/>
                                                                                              </w:divBdr>
                                                                                              <w:divsChild>
                                                                                                <w:div w:id="1857694728">
                                                                                                  <w:marLeft w:val="0"/>
                                                                                                  <w:marRight w:val="0"/>
                                                                                                  <w:marTop w:val="0"/>
                                                                                                  <w:marBottom w:val="0"/>
                                                                                                  <w:divBdr>
                                                                                                    <w:top w:val="none" w:sz="0" w:space="0" w:color="auto"/>
                                                                                                    <w:left w:val="none" w:sz="0" w:space="0" w:color="auto"/>
                                                                                                    <w:bottom w:val="none" w:sz="0" w:space="0" w:color="auto"/>
                                                                                                    <w:right w:val="none" w:sz="0" w:space="0" w:color="auto"/>
                                                                                                  </w:divBdr>
                                                                                                  <w:divsChild>
                                                                                                    <w:div w:id="1277643474">
                                                                                                      <w:marLeft w:val="0"/>
                                                                                                      <w:marRight w:val="0"/>
                                                                                                      <w:marTop w:val="0"/>
                                                                                                      <w:marBottom w:val="0"/>
                                                                                                      <w:divBdr>
                                                                                                        <w:top w:val="none" w:sz="0" w:space="0" w:color="auto"/>
                                                                                                        <w:left w:val="none" w:sz="0" w:space="0" w:color="auto"/>
                                                                                                        <w:bottom w:val="none" w:sz="0" w:space="0" w:color="auto"/>
                                                                                                        <w:right w:val="none" w:sz="0" w:space="0" w:color="auto"/>
                                                                                                      </w:divBdr>
                                                                                                      <w:divsChild>
                                                                                                        <w:div w:id="1755393663">
                                                                                                          <w:marLeft w:val="0"/>
                                                                                                          <w:marRight w:val="0"/>
                                                                                                          <w:marTop w:val="0"/>
                                                                                                          <w:marBottom w:val="0"/>
                                                                                                          <w:divBdr>
                                                                                                            <w:top w:val="none" w:sz="0" w:space="0" w:color="auto"/>
                                                                                                            <w:left w:val="none" w:sz="0" w:space="0" w:color="auto"/>
                                                                                                            <w:bottom w:val="none" w:sz="0" w:space="0" w:color="auto"/>
                                                                                                            <w:right w:val="none" w:sz="0" w:space="0" w:color="auto"/>
                                                                                                          </w:divBdr>
                                                                                                          <w:divsChild>
                                                                                                            <w:div w:id="1910572172">
                                                                                                              <w:marLeft w:val="0"/>
                                                                                                              <w:marRight w:val="0"/>
                                                                                                              <w:marTop w:val="0"/>
                                                                                                              <w:marBottom w:val="0"/>
                                                                                                              <w:divBdr>
                                                                                                                <w:top w:val="none" w:sz="0" w:space="0" w:color="auto"/>
                                                                                                                <w:left w:val="none" w:sz="0" w:space="0" w:color="auto"/>
                                                                                                                <w:bottom w:val="none" w:sz="0" w:space="0" w:color="auto"/>
                                                                                                                <w:right w:val="none" w:sz="0" w:space="0" w:color="auto"/>
                                                                                                              </w:divBdr>
                                                                                                              <w:divsChild>
                                                                                                                <w:div w:id="89378387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17737481">
                                                                                                                      <w:marLeft w:val="225"/>
                                                                                                                      <w:marRight w:val="225"/>
                                                                                                                      <w:marTop w:val="75"/>
                                                                                                                      <w:marBottom w:val="75"/>
                                                                                                                      <w:divBdr>
                                                                                                                        <w:top w:val="none" w:sz="0" w:space="0" w:color="auto"/>
                                                                                                                        <w:left w:val="none" w:sz="0" w:space="0" w:color="auto"/>
                                                                                                                        <w:bottom w:val="none" w:sz="0" w:space="0" w:color="auto"/>
                                                                                                                        <w:right w:val="none" w:sz="0" w:space="0" w:color="auto"/>
                                                                                                                      </w:divBdr>
                                                                                                                      <w:divsChild>
                                                                                                                        <w:div w:id="1098333278">
                                                                                                                          <w:marLeft w:val="0"/>
                                                                                                                          <w:marRight w:val="0"/>
                                                                                                                          <w:marTop w:val="0"/>
                                                                                                                          <w:marBottom w:val="0"/>
                                                                                                                          <w:divBdr>
                                                                                                                            <w:top w:val="single" w:sz="6" w:space="0" w:color="auto"/>
                                                                                                                            <w:left w:val="single" w:sz="6" w:space="0" w:color="auto"/>
                                                                                                                            <w:bottom w:val="single" w:sz="6" w:space="0" w:color="auto"/>
                                                                                                                            <w:right w:val="single" w:sz="6" w:space="0" w:color="auto"/>
                                                                                                                          </w:divBdr>
                                                                                                                          <w:divsChild>
                                                                                                                            <w:div w:id="839999963">
                                                                                                                              <w:marLeft w:val="0"/>
                                                                                                                              <w:marRight w:val="0"/>
                                                                                                                              <w:marTop w:val="0"/>
                                                                                                                              <w:marBottom w:val="0"/>
                                                                                                                              <w:divBdr>
                                                                                                                                <w:top w:val="none" w:sz="0" w:space="0" w:color="auto"/>
                                                                                                                                <w:left w:val="none" w:sz="0" w:space="0" w:color="auto"/>
                                                                                                                                <w:bottom w:val="none" w:sz="0" w:space="0" w:color="auto"/>
                                                                                                                                <w:right w:val="none" w:sz="0" w:space="0" w:color="auto"/>
                                                                                                                              </w:divBdr>
                                                                                                                              <w:divsChild>
                                                                                                                                <w:div w:id="252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556326">
      <w:bodyDiv w:val="1"/>
      <w:marLeft w:val="0"/>
      <w:marRight w:val="0"/>
      <w:marTop w:val="0"/>
      <w:marBottom w:val="0"/>
      <w:divBdr>
        <w:top w:val="none" w:sz="0" w:space="0" w:color="auto"/>
        <w:left w:val="none" w:sz="0" w:space="0" w:color="auto"/>
        <w:bottom w:val="none" w:sz="0" w:space="0" w:color="auto"/>
        <w:right w:val="none" w:sz="0" w:space="0" w:color="auto"/>
      </w:divBdr>
      <w:divsChild>
        <w:div w:id="1297250690">
          <w:marLeft w:val="907"/>
          <w:marRight w:val="0"/>
          <w:marTop w:val="0"/>
          <w:marBottom w:val="0"/>
          <w:divBdr>
            <w:top w:val="none" w:sz="0" w:space="0" w:color="auto"/>
            <w:left w:val="none" w:sz="0" w:space="0" w:color="auto"/>
            <w:bottom w:val="none" w:sz="0" w:space="0" w:color="auto"/>
            <w:right w:val="none" w:sz="0" w:space="0" w:color="auto"/>
          </w:divBdr>
        </w:div>
        <w:div w:id="1242983860">
          <w:marLeft w:val="1714"/>
          <w:marRight w:val="0"/>
          <w:marTop w:val="75"/>
          <w:marBottom w:val="0"/>
          <w:divBdr>
            <w:top w:val="none" w:sz="0" w:space="0" w:color="auto"/>
            <w:left w:val="none" w:sz="0" w:space="0" w:color="auto"/>
            <w:bottom w:val="none" w:sz="0" w:space="0" w:color="auto"/>
            <w:right w:val="none" w:sz="0" w:space="0" w:color="auto"/>
          </w:divBdr>
        </w:div>
        <w:div w:id="1124738849">
          <w:marLeft w:val="2246"/>
          <w:marRight w:val="0"/>
          <w:marTop w:val="75"/>
          <w:marBottom w:val="0"/>
          <w:divBdr>
            <w:top w:val="none" w:sz="0" w:space="0" w:color="auto"/>
            <w:left w:val="none" w:sz="0" w:space="0" w:color="auto"/>
            <w:bottom w:val="none" w:sz="0" w:space="0" w:color="auto"/>
            <w:right w:val="none" w:sz="0" w:space="0" w:color="auto"/>
          </w:divBdr>
        </w:div>
        <w:div w:id="1938635852">
          <w:marLeft w:val="2246"/>
          <w:marRight w:val="0"/>
          <w:marTop w:val="75"/>
          <w:marBottom w:val="0"/>
          <w:divBdr>
            <w:top w:val="none" w:sz="0" w:space="0" w:color="auto"/>
            <w:left w:val="none" w:sz="0" w:space="0" w:color="auto"/>
            <w:bottom w:val="none" w:sz="0" w:space="0" w:color="auto"/>
            <w:right w:val="none" w:sz="0" w:space="0" w:color="auto"/>
          </w:divBdr>
        </w:div>
        <w:div w:id="1077484853">
          <w:marLeft w:val="2246"/>
          <w:marRight w:val="0"/>
          <w:marTop w:val="75"/>
          <w:marBottom w:val="0"/>
          <w:divBdr>
            <w:top w:val="none" w:sz="0" w:space="0" w:color="auto"/>
            <w:left w:val="none" w:sz="0" w:space="0" w:color="auto"/>
            <w:bottom w:val="none" w:sz="0" w:space="0" w:color="auto"/>
            <w:right w:val="none" w:sz="0" w:space="0" w:color="auto"/>
          </w:divBdr>
        </w:div>
        <w:div w:id="413472044">
          <w:marLeft w:val="1714"/>
          <w:marRight w:val="0"/>
          <w:marTop w:val="75"/>
          <w:marBottom w:val="0"/>
          <w:divBdr>
            <w:top w:val="none" w:sz="0" w:space="0" w:color="auto"/>
            <w:left w:val="none" w:sz="0" w:space="0" w:color="auto"/>
            <w:bottom w:val="none" w:sz="0" w:space="0" w:color="auto"/>
            <w:right w:val="none" w:sz="0" w:space="0" w:color="auto"/>
          </w:divBdr>
        </w:div>
        <w:div w:id="815142804">
          <w:marLeft w:val="2246"/>
          <w:marRight w:val="0"/>
          <w:marTop w:val="75"/>
          <w:marBottom w:val="0"/>
          <w:divBdr>
            <w:top w:val="none" w:sz="0" w:space="0" w:color="auto"/>
            <w:left w:val="none" w:sz="0" w:space="0" w:color="auto"/>
            <w:bottom w:val="none" w:sz="0" w:space="0" w:color="auto"/>
            <w:right w:val="none" w:sz="0" w:space="0" w:color="auto"/>
          </w:divBdr>
        </w:div>
        <w:div w:id="930819035">
          <w:marLeft w:val="2246"/>
          <w:marRight w:val="0"/>
          <w:marTop w:val="75"/>
          <w:marBottom w:val="0"/>
          <w:divBdr>
            <w:top w:val="none" w:sz="0" w:space="0" w:color="auto"/>
            <w:left w:val="none" w:sz="0" w:space="0" w:color="auto"/>
            <w:bottom w:val="none" w:sz="0" w:space="0" w:color="auto"/>
            <w:right w:val="none" w:sz="0" w:space="0" w:color="auto"/>
          </w:divBdr>
        </w:div>
        <w:div w:id="78840869">
          <w:marLeft w:val="2246"/>
          <w:marRight w:val="0"/>
          <w:marTop w:val="75"/>
          <w:marBottom w:val="0"/>
          <w:divBdr>
            <w:top w:val="none" w:sz="0" w:space="0" w:color="auto"/>
            <w:left w:val="none" w:sz="0" w:space="0" w:color="auto"/>
            <w:bottom w:val="none" w:sz="0" w:space="0" w:color="auto"/>
            <w:right w:val="none" w:sz="0" w:space="0" w:color="auto"/>
          </w:divBdr>
        </w:div>
      </w:divsChild>
    </w:div>
    <w:div w:id="1989625104">
      <w:bodyDiv w:val="1"/>
      <w:marLeft w:val="0"/>
      <w:marRight w:val="0"/>
      <w:marTop w:val="0"/>
      <w:marBottom w:val="0"/>
      <w:divBdr>
        <w:top w:val="none" w:sz="0" w:space="0" w:color="auto"/>
        <w:left w:val="none" w:sz="0" w:space="0" w:color="auto"/>
        <w:bottom w:val="none" w:sz="0" w:space="0" w:color="auto"/>
        <w:right w:val="none" w:sz="0" w:space="0" w:color="auto"/>
      </w:divBdr>
    </w:div>
    <w:div w:id="2023777950">
      <w:bodyDiv w:val="1"/>
      <w:marLeft w:val="0"/>
      <w:marRight w:val="0"/>
      <w:marTop w:val="0"/>
      <w:marBottom w:val="0"/>
      <w:divBdr>
        <w:top w:val="none" w:sz="0" w:space="0" w:color="auto"/>
        <w:left w:val="none" w:sz="0" w:space="0" w:color="auto"/>
        <w:bottom w:val="none" w:sz="0" w:space="0" w:color="auto"/>
        <w:right w:val="none" w:sz="0" w:space="0" w:color="auto"/>
      </w:divBdr>
    </w:div>
    <w:div w:id="206402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chart" Target="charts/chart4.xml"/><Relationship Id="rId23" Type="http://schemas.microsoft.com/office/2007/relationships/diagramDrawing" Target="diagrams/drawing1.xml"/><Relationship Id="rId28"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3.xml"/><Relationship Id="rId22" Type="http://schemas.openxmlformats.org/officeDocument/2006/relationships/diagramColors" Target="diagrams/colors1.xml"/><Relationship Id="rId27" Type="http://schemas.openxmlformats.org/officeDocument/2006/relationships/image" Target="media/image5.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fm000549.fm.lt\home\24_vp_dep\bendras\Master_planas%20(Paulius)\Ataskaita%20LRV\2018%20IV%20ketv\IAS%20darbiniai\2018%20m.%20IV%20ketv.%20finans%20duo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m000549.fm.lt\home\24_vp_dep\bendras\Master_planas%20(Paulius)\Ataskaita%20LRV\2018%20IV%20ketv\IAS%20darbiniai\2018%20m.%20IV%20ketv.%20finans%20duom.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tx2">
                <a:lumMod val="60000"/>
                <a:lumOff val="40000"/>
              </a:schemeClr>
            </a:solidFill>
          </c:spPr>
          <c:invertIfNegative val="0"/>
          <c:dPt>
            <c:idx val="14"/>
            <c:invertIfNegative val="0"/>
            <c:bubble3D val="0"/>
            <c:spPr>
              <a:solidFill>
                <a:schemeClr val="accent6">
                  <a:lumMod val="75000"/>
                </a:schemeClr>
              </a:solidFill>
            </c:spPr>
          </c:dPt>
          <c:dPt>
            <c:idx val="15"/>
            <c:invertIfNegative val="0"/>
            <c:bubble3D val="0"/>
          </c:dPt>
          <c:dPt>
            <c:idx val="16"/>
            <c:invertIfNegative val="0"/>
            <c:bubble3D val="0"/>
          </c:dPt>
          <c:dPt>
            <c:idx val="20"/>
            <c:invertIfNegative val="0"/>
            <c:bubble3D val="0"/>
            <c:spPr>
              <a:solidFill>
                <a:srgbClr val="009900"/>
              </a:solidFill>
            </c:spPr>
          </c:dPt>
          <c:dPt>
            <c:idx val="21"/>
            <c:invertIfNegative val="0"/>
            <c:bubble3D val="0"/>
          </c:dPt>
          <c:dPt>
            <c:idx val="22"/>
            <c:invertIfNegative val="0"/>
            <c:bubble3D val="0"/>
          </c:dPt>
          <c:dPt>
            <c:idx val="23"/>
            <c:invertIfNegative val="0"/>
            <c:bubble3D val="0"/>
          </c:dPt>
          <c:dLbls>
            <c:showLegendKey val="0"/>
            <c:showVal val="1"/>
            <c:showCatName val="0"/>
            <c:showSerName val="0"/>
            <c:showPercent val="0"/>
            <c:showBubbleSize val="0"/>
            <c:showLeaderLines val="0"/>
          </c:dLbls>
          <c:cat>
            <c:strRef>
              <c:f>'LT grafikas'!$G$3:$G$31</c:f>
              <c:strCache>
                <c:ptCount val="29"/>
                <c:pt idx="0">
                  <c:v>Kroatija</c:v>
                </c:pt>
                <c:pt idx="1">
                  <c:v>Rumunija</c:v>
                </c:pt>
                <c:pt idx="2">
                  <c:v>Italija</c:v>
                </c:pt>
                <c:pt idx="3">
                  <c:v>D. Britanija</c:v>
                </c:pt>
                <c:pt idx="4">
                  <c:v>Slovėnija</c:v>
                </c:pt>
                <c:pt idx="5">
                  <c:v>Malta</c:v>
                </c:pt>
                <c:pt idx="6">
                  <c:v>Austrija</c:v>
                </c:pt>
                <c:pt idx="7">
                  <c:v>Ispanija</c:v>
                </c:pt>
                <c:pt idx="8">
                  <c:v>Latvija</c:v>
                </c:pt>
                <c:pt idx="9">
                  <c:v>Slovakija</c:v>
                </c:pt>
                <c:pt idx="10">
                  <c:v>Danija</c:v>
                </c:pt>
                <c:pt idx="11">
                  <c:v>Čekija</c:v>
                </c:pt>
                <c:pt idx="12">
                  <c:v>Belgija</c:v>
                </c:pt>
                <c:pt idx="13">
                  <c:v>Vokietija</c:v>
                </c:pt>
                <c:pt idx="14">
                  <c:v>ES vidurkis</c:v>
                </c:pt>
                <c:pt idx="15">
                  <c:v>Airija</c:v>
                </c:pt>
                <c:pt idx="16">
                  <c:v>Bulgarija</c:v>
                </c:pt>
                <c:pt idx="17">
                  <c:v>Prancūzija</c:v>
                </c:pt>
                <c:pt idx="18">
                  <c:v>Nyderlandai</c:v>
                </c:pt>
                <c:pt idx="19">
                  <c:v>Lenkija</c:v>
                </c:pt>
                <c:pt idx="20">
                  <c:v>Lietuva</c:v>
                </c:pt>
                <c:pt idx="21">
                  <c:v>Švedija</c:v>
                </c:pt>
                <c:pt idx="22">
                  <c:v>Estija</c:v>
                </c:pt>
                <c:pt idx="23">
                  <c:v>Vengrija</c:v>
                </c:pt>
                <c:pt idx="24">
                  <c:v>Portugalija</c:v>
                </c:pt>
                <c:pt idx="25">
                  <c:v>Graikija</c:v>
                </c:pt>
                <c:pt idx="26">
                  <c:v>Kipras</c:v>
                </c:pt>
                <c:pt idx="27">
                  <c:v>Suomija</c:v>
                </c:pt>
                <c:pt idx="28">
                  <c:v>Liuksemburgas</c:v>
                </c:pt>
              </c:strCache>
            </c:strRef>
          </c:cat>
          <c:val>
            <c:numRef>
              <c:f>'LT grafikas'!$H$3:$H$31</c:f>
              <c:numCache>
                <c:formatCode>0%</c:formatCode>
                <c:ptCount val="29"/>
                <c:pt idx="0">
                  <c:v>0.13151087330036507</c:v>
                </c:pt>
                <c:pt idx="1">
                  <c:v>0.18995807634615858</c:v>
                </c:pt>
                <c:pt idx="2">
                  <c:v>0.18845117613460413</c:v>
                </c:pt>
                <c:pt idx="3">
                  <c:v>0.18695381466852129</c:v>
                </c:pt>
                <c:pt idx="4">
                  <c:v>0.20126246305391585</c:v>
                </c:pt>
                <c:pt idx="5">
                  <c:v>0.20481268531541072</c:v>
                </c:pt>
                <c:pt idx="6">
                  <c:v>0.20584007118838907</c:v>
                </c:pt>
                <c:pt idx="7">
                  <c:v>0.20884517887774323</c:v>
                </c:pt>
                <c:pt idx="8">
                  <c:v>0.21347258453251944</c:v>
                </c:pt>
                <c:pt idx="9">
                  <c:v>0.22629752571125475</c:v>
                </c:pt>
                <c:pt idx="10">
                  <c:v>0.23252044529318655</c:v>
                </c:pt>
                <c:pt idx="11">
                  <c:v>0.23141482662718349</c:v>
                </c:pt>
                <c:pt idx="12">
                  <c:v>0.23095681431537904</c:v>
                </c:pt>
                <c:pt idx="13">
                  <c:v>0.24460520638859104</c:v>
                </c:pt>
                <c:pt idx="14">
                  <c:v>0.2456962244637993</c:v>
                </c:pt>
                <c:pt idx="15">
                  <c:v>0.24518702409417956</c:v>
                </c:pt>
                <c:pt idx="16">
                  <c:v>0.24744832612369111</c:v>
                </c:pt>
                <c:pt idx="17">
                  <c:v>0.2502000993837552</c:v>
                </c:pt>
                <c:pt idx="18">
                  <c:v>0.28050829576130076</c:v>
                </c:pt>
                <c:pt idx="19">
                  <c:v>0.28108429148313224</c:v>
                </c:pt>
                <c:pt idx="20">
                  <c:v>0.2961744443713446</c:v>
                </c:pt>
                <c:pt idx="21">
                  <c:v>0.31793833912589431</c:v>
                </c:pt>
                <c:pt idx="22">
                  <c:v>0.31883789109963939</c:v>
                </c:pt>
                <c:pt idx="23">
                  <c:v>0.32285444181937423</c:v>
                </c:pt>
                <c:pt idx="24">
                  <c:v>0.32192730978079981</c:v>
                </c:pt>
                <c:pt idx="25">
                  <c:v>0.32311122308260343</c:v>
                </c:pt>
                <c:pt idx="26">
                  <c:v>0.36032643914690565</c:v>
                </c:pt>
                <c:pt idx="27">
                  <c:v>0.37638698455389785</c:v>
                </c:pt>
                <c:pt idx="28">
                  <c:v>0.41270230593954393</c:v>
                </c:pt>
              </c:numCache>
            </c:numRef>
          </c:val>
        </c:ser>
        <c:dLbls>
          <c:showLegendKey val="0"/>
          <c:showVal val="0"/>
          <c:showCatName val="0"/>
          <c:showSerName val="0"/>
          <c:showPercent val="0"/>
          <c:showBubbleSize val="0"/>
        </c:dLbls>
        <c:gapWidth val="150"/>
        <c:axId val="158317184"/>
        <c:axId val="162267520"/>
      </c:barChart>
      <c:catAx>
        <c:axId val="158317184"/>
        <c:scaling>
          <c:orientation val="minMax"/>
        </c:scaling>
        <c:delete val="0"/>
        <c:axPos val="l"/>
        <c:numFmt formatCode="0%" sourceLinked="1"/>
        <c:majorTickMark val="out"/>
        <c:minorTickMark val="none"/>
        <c:tickLblPos val="nextTo"/>
        <c:txPr>
          <a:bodyPr/>
          <a:lstStyle/>
          <a:p>
            <a:pPr>
              <a:defRPr sz="900" baseline="0"/>
            </a:pPr>
            <a:endParaRPr lang="lt-LT"/>
          </a:p>
        </c:txPr>
        <c:crossAx val="162267520"/>
        <c:crosses val="autoZero"/>
        <c:auto val="1"/>
        <c:lblAlgn val="ctr"/>
        <c:lblOffset val="100"/>
        <c:noMultiLvlLbl val="0"/>
      </c:catAx>
      <c:valAx>
        <c:axId val="162267520"/>
        <c:scaling>
          <c:orientation val="minMax"/>
        </c:scaling>
        <c:delete val="1"/>
        <c:axPos val="b"/>
        <c:majorGridlines/>
        <c:numFmt formatCode="0%" sourceLinked="1"/>
        <c:majorTickMark val="out"/>
        <c:minorTickMark val="none"/>
        <c:tickLblPos val="nextTo"/>
        <c:crossAx val="15831718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348031822853436"/>
          <c:y val="0"/>
          <c:w val="0.75767933034102219"/>
          <c:h val="0.88499020106986181"/>
        </c:manualLayout>
      </c:layout>
      <c:barChart>
        <c:barDir val="bar"/>
        <c:grouping val="stacked"/>
        <c:varyColors val="0"/>
        <c:ser>
          <c:idx val="0"/>
          <c:order val="0"/>
          <c:tx>
            <c:strRef>
              <c:f>'Bendr grafik'!$B$28</c:f>
              <c:strCache>
                <c:ptCount val="1"/>
                <c:pt idx="0">
                  <c:v>Iki 2017-12-31</c:v>
                </c:pt>
              </c:strCache>
            </c:strRef>
          </c:tx>
          <c:invertIfNegative val="0"/>
          <c:dPt>
            <c:idx val="4"/>
            <c:invertIfNegative val="0"/>
            <c:bubble3D val="0"/>
            <c:spPr>
              <a:pattFill prst="pct50">
                <a:fgClr>
                  <a:srgbClr val="0070C0"/>
                </a:fgClr>
                <a:bgClr>
                  <a:schemeClr val="bg1"/>
                </a:bgClr>
              </a:pattFill>
            </c:spPr>
          </c:dPt>
          <c:dLbls>
            <c:dLbl>
              <c:idx val="4"/>
              <c:layout>
                <c:manualLayout>
                  <c:x val="0.21423247094113235"/>
                  <c:y val="0"/>
                </c:manualLayout>
              </c:layout>
              <c:dLblPos val="ctr"/>
              <c:showLegendKey val="0"/>
              <c:showVal val="1"/>
              <c:showCatName val="0"/>
              <c:showSerName val="0"/>
              <c:showPercent val="0"/>
              <c:showBubbleSize val="0"/>
            </c:dLbl>
            <c:txPr>
              <a:bodyPr/>
              <a:lstStyle/>
              <a:p>
                <a:pPr>
                  <a:defRPr baseline="0"/>
                </a:pPr>
                <a:endParaRPr lang="lt-LT"/>
              </a:p>
            </c:txPr>
            <c:dLblPos val="ctr"/>
            <c:showLegendKey val="0"/>
            <c:showVal val="1"/>
            <c:showCatName val="0"/>
            <c:showSerName val="0"/>
            <c:showPercent val="0"/>
            <c:showBubbleSize val="0"/>
            <c:showLeaderLines val="0"/>
          </c:dLbls>
          <c:cat>
            <c:strRef>
              <c:f>'Bendr grafik'!$A$29:$A$33</c:f>
              <c:strCache>
                <c:ptCount val="5"/>
                <c:pt idx="0">
                  <c:v>EK deklaruota</c:v>
                </c:pt>
                <c:pt idx="1">
                  <c:v>Išmokėta </c:v>
                </c:pt>
                <c:pt idx="2">
                  <c:v>Skirta projektams</c:v>
                </c:pt>
                <c:pt idx="3">
                  <c:v>Paskelbti kvietimai arba sudaryti projektų sąrašai</c:v>
                </c:pt>
                <c:pt idx="4">
                  <c:v>Numatyta investuoti ES fondų lėšų</c:v>
                </c:pt>
              </c:strCache>
            </c:strRef>
          </c:cat>
          <c:val>
            <c:numRef>
              <c:f>'Bendr grafik'!$B$29:$B$33</c:f>
              <c:numCache>
                <c:formatCode>_-* #,##0\ _L_t_-;\-* #,##0\ _L_t_-;_-* "-"??\ _L_t_-;_-@_-</c:formatCode>
                <c:ptCount val="5"/>
                <c:pt idx="0">
                  <c:v>869</c:v>
                </c:pt>
                <c:pt idx="1">
                  <c:v>1285.8446097399999</c:v>
                </c:pt>
                <c:pt idx="2">
                  <c:v>2908.0782094900001</c:v>
                </c:pt>
                <c:pt idx="3">
                  <c:v>4418.9679119800003</c:v>
                </c:pt>
                <c:pt idx="4" formatCode="#,##0">
                  <c:v>6709.3961300000001</c:v>
                </c:pt>
              </c:numCache>
            </c:numRef>
          </c:val>
        </c:ser>
        <c:ser>
          <c:idx val="1"/>
          <c:order val="1"/>
          <c:tx>
            <c:strRef>
              <c:f>'Bendr grafik'!$C$28</c:f>
              <c:strCache>
                <c:ptCount val="1"/>
                <c:pt idx="0">
                  <c:v>Per 2018 m.</c:v>
                </c:pt>
              </c:strCache>
            </c:strRef>
          </c:tx>
          <c:spPr>
            <a:solidFill>
              <a:srgbClr val="92D050"/>
            </a:solidFill>
          </c:spPr>
          <c:invertIfNegative val="0"/>
          <c:dLbls>
            <c:dLbl>
              <c:idx val="0"/>
              <c:layout>
                <c:manualLayout>
                  <c:x val="2.6950478850536471E-2"/>
                  <c:y val="0"/>
                </c:manualLayout>
              </c:layout>
              <c:tx>
                <c:rich>
                  <a:bodyPr/>
                  <a:lstStyle/>
                  <a:p>
                    <a:r>
                      <a:rPr lang="en-US" sz="1000"/>
                      <a:t> 936 (14%)    </a:t>
                    </a:r>
                    <a:endParaRPr lang="en-US"/>
                  </a:p>
                </c:rich>
              </c:tx>
              <c:dLblPos val="ctr"/>
              <c:showLegendKey val="0"/>
              <c:showVal val="1"/>
              <c:showCatName val="0"/>
              <c:showSerName val="0"/>
              <c:showPercent val="0"/>
              <c:showBubbleSize val="0"/>
            </c:dLbl>
            <c:dLbl>
              <c:idx val="1"/>
              <c:layout>
                <c:manualLayout>
                  <c:x val="3.2086237871859644E-2"/>
                  <c:y val="-4.4288390884184969E-3"/>
                </c:manualLayout>
              </c:layout>
              <c:tx>
                <c:rich>
                  <a:bodyPr/>
                  <a:lstStyle/>
                  <a:p>
                    <a:r>
                      <a:rPr lang="en-US" sz="1000"/>
                      <a:t> 736 (11%)    </a:t>
                    </a:r>
                    <a:endParaRPr lang="en-US"/>
                  </a:p>
                </c:rich>
              </c:tx>
              <c:dLblPos val="ctr"/>
              <c:showLegendKey val="0"/>
              <c:showVal val="1"/>
              <c:showCatName val="0"/>
              <c:showSerName val="0"/>
              <c:showPercent val="0"/>
              <c:showBubbleSize val="0"/>
            </c:dLbl>
            <c:dLbl>
              <c:idx val="2"/>
              <c:layout>
                <c:manualLayout>
                  <c:x val="1.8297081141005249E-2"/>
                  <c:y val="0"/>
                </c:manualLayout>
              </c:layout>
              <c:tx>
                <c:rich>
                  <a:bodyPr/>
                  <a:lstStyle/>
                  <a:p>
                    <a:r>
                      <a:rPr lang="en-US" sz="1000"/>
                      <a:t> 1 363 (20%)    </a:t>
                    </a:r>
                    <a:endParaRPr lang="en-US"/>
                  </a:p>
                </c:rich>
              </c:tx>
              <c:dLblPos val="ctr"/>
              <c:showLegendKey val="0"/>
              <c:showVal val="1"/>
              <c:showCatName val="0"/>
              <c:showSerName val="0"/>
              <c:showPercent val="0"/>
              <c:showBubbleSize val="0"/>
            </c:dLbl>
            <c:dLbl>
              <c:idx val="3"/>
              <c:layout>
                <c:manualLayout>
                  <c:x val="1.6834446327120504E-2"/>
                  <c:y val="4.4283492464239132E-3"/>
                </c:manualLayout>
              </c:layout>
              <c:tx>
                <c:rich>
                  <a:bodyPr/>
                  <a:lstStyle/>
                  <a:p>
                    <a:r>
                      <a:rPr lang="en-US" sz="1000"/>
                      <a:t> 1 090</a:t>
                    </a:r>
                    <a:r>
                      <a:rPr lang="lt-LT" sz="1000"/>
                      <a:t> (</a:t>
                    </a:r>
                    <a:r>
                      <a:rPr lang="en-US" sz="1000"/>
                      <a:t>16%)    </a:t>
                    </a:r>
                    <a:endParaRPr lang="en-US"/>
                  </a:p>
                </c:rich>
              </c:tx>
              <c:dLblPos val="ctr"/>
              <c:showLegendKey val="0"/>
              <c:showVal val="1"/>
              <c:showCatName val="0"/>
              <c:showSerName val="0"/>
              <c:showPercent val="0"/>
              <c:showBubbleSize val="0"/>
            </c:dLbl>
            <c:dLbl>
              <c:idx val="4"/>
              <c:delete val="1"/>
            </c:dLbl>
            <c:dLbl>
              <c:idx val="5"/>
              <c:delete val="1"/>
            </c:dLbl>
            <c:txPr>
              <a:bodyPr/>
              <a:lstStyle/>
              <a:p>
                <a:pPr>
                  <a:defRPr sz="1000" b="1">
                    <a:solidFill>
                      <a:schemeClr val="accent3">
                        <a:lumMod val="50000"/>
                      </a:schemeClr>
                    </a:solidFill>
                  </a:defRPr>
                </a:pPr>
                <a:endParaRPr lang="lt-LT"/>
              </a:p>
            </c:txPr>
            <c:dLblPos val="inBase"/>
            <c:showLegendKey val="0"/>
            <c:showVal val="1"/>
            <c:showCatName val="0"/>
            <c:showSerName val="0"/>
            <c:showPercent val="0"/>
            <c:showBubbleSize val="0"/>
            <c:showLeaderLines val="0"/>
          </c:dLbls>
          <c:cat>
            <c:strRef>
              <c:f>'Bendr grafik'!$A$29:$A$33</c:f>
              <c:strCache>
                <c:ptCount val="5"/>
                <c:pt idx="0">
                  <c:v>EK deklaruota</c:v>
                </c:pt>
                <c:pt idx="1">
                  <c:v>Išmokėta </c:v>
                </c:pt>
                <c:pt idx="2">
                  <c:v>Skirta projektams</c:v>
                </c:pt>
                <c:pt idx="3">
                  <c:v>Paskelbti kvietimai arba sudaryti projektų sąrašai</c:v>
                </c:pt>
                <c:pt idx="4">
                  <c:v>Numatyta investuoti ES fondų lėšų</c:v>
                </c:pt>
              </c:strCache>
            </c:strRef>
          </c:cat>
          <c:val>
            <c:numRef>
              <c:f>'Bendr grafik'!$C$29:$C$33</c:f>
              <c:numCache>
                <c:formatCode>_-* #,##0\ _L_t_-;\-* #,##0\ _L_t_-;_-* "-"??\ _L_t_-;_-@_-</c:formatCode>
                <c:ptCount val="5"/>
                <c:pt idx="0">
                  <c:v>936</c:v>
                </c:pt>
                <c:pt idx="1">
                  <c:v>735.8472840280001</c:v>
                </c:pt>
                <c:pt idx="2">
                  <c:v>1363.3177504499995</c:v>
                </c:pt>
                <c:pt idx="3">
                  <c:v>1089.9575074499999</c:v>
                </c:pt>
                <c:pt idx="4">
                  <c:v>0</c:v>
                </c:pt>
              </c:numCache>
            </c:numRef>
          </c:val>
        </c:ser>
        <c:dLbls>
          <c:showLegendKey val="0"/>
          <c:showVal val="0"/>
          <c:showCatName val="0"/>
          <c:showSerName val="0"/>
          <c:showPercent val="0"/>
          <c:showBubbleSize val="0"/>
        </c:dLbls>
        <c:gapWidth val="150"/>
        <c:overlap val="100"/>
        <c:axId val="163890304"/>
        <c:axId val="163891840"/>
      </c:barChart>
      <c:catAx>
        <c:axId val="163890304"/>
        <c:scaling>
          <c:orientation val="minMax"/>
        </c:scaling>
        <c:delete val="0"/>
        <c:axPos val="l"/>
        <c:majorTickMark val="out"/>
        <c:minorTickMark val="none"/>
        <c:tickLblPos val="nextTo"/>
        <c:txPr>
          <a:bodyPr anchor="t" anchorCtr="0"/>
          <a:lstStyle/>
          <a:p>
            <a:pPr>
              <a:defRPr sz="900" b="1"/>
            </a:pPr>
            <a:endParaRPr lang="lt-LT"/>
          </a:p>
        </c:txPr>
        <c:crossAx val="163891840"/>
        <c:crosses val="autoZero"/>
        <c:auto val="1"/>
        <c:lblAlgn val="ctr"/>
        <c:lblOffset val="100"/>
        <c:noMultiLvlLbl val="0"/>
      </c:catAx>
      <c:valAx>
        <c:axId val="163891840"/>
        <c:scaling>
          <c:orientation val="minMax"/>
        </c:scaling>
        <c:delete val="0"/>
        <c:axPos val="b"/>
        <c:majorGridlines>
          <c:spPr>
            <a:ln>
              <a:noFill/>
            </a:ln>
          </c:spPr>
        </c:majorGridlines>
        <c:numFmt formatCode="_-* #,##0\ _L_t_-;\-* #,##0\ _L_t_-;_-* &quot;-&quot;??\ _L_t_-;_-@_-" sourceLinked="1"/>
        <c:majorTickMark val="out"/>
        <c:minorTickMark val="none"/>
        <c:tickLblPos val="nextTo"/>
        <c:spPr>
          <a:ln>
            <a:noFill/>
          </a:ln>
        </c:spPr>
        <c:txPr>
          <a:bodyPr/>
          <a:lstStyle/>
          <a:p>
            <a:pPr>
              <a:defRPr>
                <a:solidFill>
                  <a:schemeClr val="bg1"/>
                </a:solidFill>
              </a:defRPr>
            </a:pPr>
            <a:endParaRPr lang="lt-LT"/>
          </a:p>
        </c:txPr>
        <c:crossAx val="163890304"/>
        <c:crosses val="autoZero"/>
        <c:crossBetween val="between"/>
      </c:valAx>
    </c:plotArea>
    <c:legend>
      <c:legendPos val="b"/>
      <c:layout>
        <c:manualLayout>
          <c:xMode val="edge"/>
          <c:yMode val="edge"/>
          <c:x val="7.467979944589756E-2"/>
          <c:y val="0.88823047362658059"/>
          <c:w val="0.6705672376224906"/>
          <c:h val="8.7843958806931466E-2"/>
        </c:manualLayout>
      </c:layout>
      <c:overlay val="0"/>
      <c:txPr>
        <a:bodyPr/>
        <a:lstStyle/>
        <a:p>
          <a:pPr>
            <a:defRPr sz="1000" b="1"/>
          </a:pPr>
          <a:endParaRPr lang="lt-LT"/>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88576957145609"/>
          <c:y val="4.051338201829971E-2"/>
          <c:w val="0.78523927866638943"/>
          <c:h val="0.766068954449313"/>
        </c:manualLayout>
      </c:layout>
      <c:barChart>
        <c:barDir val="bar"/>
        <c:grouping val="percentStacked"/>
        <c:varyColors val="0"/>
        <c:ser>
          <c:idx val="0"/>
          <c:order val="0"/>
          <c:tx>
            <c:strRef>
              <c:f>'Pagal minist '!$D$16</c:f>
              <c:strCache>
                <c:ptCount val="1"/>
                <c:pt idx="0">
                  <c:v>Išmokėta</c:v>
                </c:pt>
              </c:strCache>
            </c:strRef>
          </c:tx>
          <c:spPr>
            <a:solidFill>
              <a:schemeClr val="tx2">
                <a:lumMod val="60000"/>
                <a:lumOff val="40000"/>
                <a:alpha val="89000"/>
              </a:schemeClr>
            </a:solidFill>
          </c:spPr>
          <c:invertIfNegative val="0"/>
          <c:dLbls>
            <c:dLbl>
              <c:idx val="4"/>
              <c:tx>
                <c:rich>
                  <a:bodyPr/>
                  <a:lstStyle/>
                  <a:p>
                    <a:r>
                      <a:rPr lang="en-US"/>
                      <a:t>2</a:t>
                    </a:r>
                    <a:r>
                      <a:rPr lang="lt-LT"/>
                      <a:t>2</a:t>
                    </a:r>
                    <a:r>
                      <a:rPr lang="en-US"/>
                      <a:t>%</a:t>
                    </a:r>
                  </a:p>
                </c:rich>
              </c:tx>
              <c:showLegendKey val="0"/>
              <c:showVal val="1"/>
              <c:showCatName val="0"/>
              <c:showSerName val="0"/>
              <c:showPercent val="0"/>
              <c:showBubbleSize val="0"/>
            </c:dLbl>
            <c:spPr>
              <a:noFill/>
              <a:ln>
                <a:noFill/>
              </a:ln>
              <a:effectLst/>
            </c:spPr>
            <c:txPr>
              <a:bodyPr/>
              <a:lstStyle/>
              <a:p>
                <a:pPr>
                  <a:defRPr sz="1000" b="0">
                    <a:latin typeface="+mn-lt"/>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'Pagal minist '!$C$17:$C$27</c:f>
              <c:strCache>
                <c:ptCount val="11"/>
                <c:pt idx="0">
                  <c:v>KM</c:v>
                </c:pt>
                <c:pt idx="1">
                  <c:v>EM</c:v>
                </c:pt>
                <c:pt idx="2">
                  <c:v>VRM</c:v>
                </c:pt>
                <c:pt idx="3">
                  <c:v>ŠMSM</c:v>
                </c:pt>
                <c:pt idx="4">
                  <c:v>SAM</c:v>
                </c:pt>
                <c:pt idx="5">
                  <c:v>EIM</c:v>
                </c:pt>
                <c:pt idx="6">
                  <c:v>SM</c:v>
                </c:pt>
                <c:pt idx="7">
                  <c:v>AM</c:v>
                </c:pt>
                <c:pt idx="8">
                  <c:v>FM</c:v>
                </c:pt>
                <c:pt idx="9">
                  <c:v>SADM</c:v>
                </c:pt>
                <c:pt idx="10">
                  <c:v> VISO</c:v>
                </c:pt>
              </c:strCache>
            </c:strRef>
          </c:cat>
          <c:val>
            <c:numRef>
              <c:f>'Pagal minist '!$D$17:$D$27</c:f>
              <c:numCache>
                <c:formatCode>0%</c:formatCode>
                <c:ptCount val="11"/>
                <c:pt idx="0">
                  <c:v>0.16103103663890866</c:v>
                </c:pt>
                <c:pt idx="1">
                  <c:v>0.16017297428961844</c:v>
                </c:pt>
                <c:pt idx="2">
                  <c:v>0.18034226817995758</c:v>
                </c:pt>
                <c:pt idx="3">
                  <c:v>0.21206780120027757</c:v>
                </c:pt>
                <c:pt idx="4">
                  <c:v>0.21293048456205285</c:v>
                </c:pt>
                <c:pt idx="5">
                  <c:v>0.23331058135206101</c:v>
                </c:pt>
                <c:pt idx="6">
                  <c:v>0.35280477816932665</c:v>
                </c:pt>
                <c:pt idx="7">
                  <c:v>0.42923578091340692</c:v>
                </c:pt>
                <c:pt idx="8">
                  <c:v>0.42651841998772932</c:v>
                </c:pt>
                <c:pt idx="9">
                  <c:v>0.45609795446360196</c:v>
                </c:pt>
                <c:pt idx="10">
                  <c:v>0.30107031405820422</c:v>
                </c:pt>
              </c:numCache>
            </c:numRef>
          </c:val>
          <c:extLst xmlns:c16r2="http://schemas.microsoft.com/office/drawing/2015/06/chart">
            <c:ext xmlns:c16="http://schemas.microsoft.com/office/drawing/2014/chart" uri="{C3380CC4-5D6E-409C-BE32-E72D297353CC}">
              <c16:uniqueId val="{00000000-7EDC-4460-A9EB-5A241377B780}"/>
            </c:ext>
          </c:extLst>
        </c:ser>
        <c:ser>
          <c:idx val="1"/>
          <c:order val="1"/>
          <c:tx>
            <c:strRef>
              <c:f>'Pagal minist '!$E$16</c:f>
              <c:strCache>
                <c:ptCount val="1"/>
                <c:pt idx="0">
                  <c:v>Skirta projektams</c:v>
                </c:pt>
              </c:strCache>
            </c:strRef>
          </c:tx>
          <c:spPr>
            <a:solidFill>
              <a:srgbClr val="99CCFF">
                <a:alpha val="69804"/>
              </a:srgbClr>
            </a:solidFill>
          </c:spPr>
          <c:invertIfNegative val="0"/>
          <c:dLbls>
            <c:dLbl>
              <c:idx val="0"/>
              <c:tx>
                <c:rich>
                  <a:bodyPr/>
                  <a:lstStyle/>
                  <a:p>
                    <a:r>
                      <a:rPr lang="en-US"/>
                      <a:t>4</a:t>
                    </a:r>
                    <a:r>
                      <a:rPr lang="lt-LT"/>
                      <a:t>7</a:t>
                    </a:r>
                    <a:r>
                      <a:rPr lang="en-US"/>
                      <a:t>%</a:t>
                    </a:r>
                  </a:p>
                </c:rich>
              </c:tx>
              <c:showLegendKey val="0"/>
              <c:showVal val="1"/>
              <c:showCatName val="0"/>
              <c:showSerName val="0"/>
              <c:showPercent val="0"/>
              <c:showBubbleSize val="0"/>
            </c:dLbl>
            <c:dLbl>
              <c:idx val="8"/>
              <c:tx>
                <c:rich>
                  <a:bodyPr/>
                  <a:lstStyle/>
                  <a:p>
                    <a:r>
                      <a:rPr lang="lt-LT"/>
                      <a:t>3</a:t>
                    </a:r>
                    <a:r>
                      <a:rPr lang="en-US"/>
                      <a:t>%</a:t>
                    </a:r>
                  </a:p>
                </c:rich>
              </c:tx>
              <c:showLegendKey val="0"/>
              <c:showVal val="1"/>
              <c:showCatName val="0"/>
              <c:showSerName val="0"/>
              <c:showPercent val="0"/>
              <c:showBubbleSize val="0"/>
            </c:dLbl>
            <c:spPr>
              <a:noFill/>
              <a:ln>
                <a:noFill/>
              </a:ln>
              <a:effectLst/>
            </c:spPr>
            <c:txPr>
              <a:bodyPr/>
              <a:lstStyle/>
              <a:p>
                <a:pPr>
                  <a:defRPr sz="1000" b="0">
                    <a:latin typeface="+mn-lt"/>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'Pagal minist '!$C$17:$C$27</c:f>
              <c:strCache>
                <c:ptCount val="11"/>
                <c:pt idx="0">
                  <c:v>KM</c:v>
                </c:pt>
                <c:pt idx="1">
                  <c:v>EM</c:v>
                </c:pt>
                <c:pt idx="2">
                  <c:v>VRM</c:v>
                </c:pt>
                <c:pt idx="3">
                  <c:v>ŠMSM</c:v>
                </c:pt>
                <c:pt idx="4">
                  <c:v>SAM</c:v>
                </c:pt>
                <c:pt idx="5">
                  <c:v>EIM</c:v>
                </c:pt>
                <c:pt idx="6">
                  <c:v>SM</c:v>
                </c:pt>
                <c:pt idx="7">
                  <c:v>AM</c:v>
                </c:pt>
                <c:pt idx="8">
                  <c:v>FM</c:v>
                </c:pt>
                <c:pt idx="9">
                  <c:v>SADM</c:v>
                </c:pt>
                <c:pt idx="10">
                  <c:v> VISO</c:v>
                </c:pt>
              </c:strCache>
            </c:strRef>
          </c:cat>
          <c:val>
            <c:numRef>
              <c:f>'Pagal minist '!$E$17:$E$27</c:f>
              <c:numCache>
                <c:formatCode>0%</c:formatCode>
                <c:ptCount val="11"/>
                <c:pt idx="0">
                  <c:v>0.47633241326908626</c:v>
                </c:pt>
                <c:pt idx="1">
                  <c:v>0.46158020446091091</c:v>
                </c:pt>
                <c:pt idx="2">
                  <c:v>0.39467224948044421</c:v>
                </c:pt>
                <c:pt idx="3">
                  <c:v>0.429415788981097</c:v>
                </c:pt>
                <c:pt idx="4">
                  <c:v>0.364894015957962</c:v>
                </c:pt>
                <c:pt idx="5">
                  <c:v>0.34868600732060484</c:v>
                </c:pt>
                <c:pt idx="6">
                  <c:v>0.21933809012709427</c:v>
                </c:pt>
                <c:pt idx="7">
                  <c:v>0.369627007180514</c:v>
                </c:pt>
                <c:pt idx="8">
                  <c:v>3.6534066792531524E-2</c:v>
                </c:pt>
                <c:pt idx="9">
                  <c:v>0.24975658065887507</c:v>
                </c:pt>
                <c:pt idx="10">
                  <c:v>0.33555865778638994</c:v>
                </c:pt>
              </c:numCache>
            </c:numRef>
          </c:val>
          <c:extLst xmlns:c16r2="http://schemas.microsoft.com/office/drawing/2015/06/chart">
            <c:ext xmlns:c16="http://schemas.microsoft.com/office/drawing/2014/chart" uri="{C3380CC4-5D6E-409C-BE32-E72D297353CC}">
              <c16:uniqueId val="{00000001-7EDC-4460-A9EB-5A241377B780}"/>
            </c:ext>
          </c:extLst>
        </c:ser>
        <c:ser>
          <c:idx val="2"/>
          <c:order val="2"/>
          <c:tx>
            <c:strRef>
              <c:f>'Pagal minist '!$F$16</c:f>
              <c:strCache>
                <c:ptCount val="1"/>
                <c:pt idx="0">
                  <c:v>Paskelbti kvietimai
arba sudaryti projektų sąrašai</c:v>
                </c:pt>
              </c:strCache>
            </c:strRef>
          </c:tx>
          <c:spPr>
            <a:solidFill>
              <a:schemeClr val="accent3">
                <a:lumMod val="60000"/>
                <a:lumOff val="40000"/>
                <a:alpha val="80000"/>
              </a:schemeClr>
            </a:solidFill>
          </c:spPr>
          <c:invertIfNegative val="0"/>
          <c:dLbls>
            <c:spPr>
              <a:noFill/>
              <a:ln>
                <a:noFill/>
              </a:ln>
              <a:effectLst/>
            </c:spPr>
            <c:txPr>
              <a:bodyPr/>
              <a:lstStyle/>
              <a:p>
                <a:pPr>
                  <a:defRPr sz="1000" b="0">
                    <a:latin typeface="+mn-lt"/>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'Pagal minist '!$C$17:$C$27</c:f>
              <c:strCache>
                <c:ptCount val="11"/>
                <c:pt idx="0">
                  <c:v>KM</c:v>
                </c:pt>
                <c:pt idx="1">
                  <c:v>EM</c:v>
                </c:pt>
                <c:pt idx="2">
                  <c:v>VRM</c:v>
                </c:pt>
                <c:pt idx="3">
                  <c:v>ŠMSM</c:v>
                </c:pt>
                <c:pt idx="4">
                  <c:v>SAM</c:v>
                </c:pt>
                <c:pt idx="5">
                  <c:v>EIM</c:v>
                </c:pt>
                <c:pt idx="6">
                  <c:v>SM</c:v>
                </c:pt>
                <c:pt idx="7">
                  <c:v>AM</c:v>
                </c:pt>
                <c:pt idx="8">
                  <c:v>FM</c:v>
                </c:pt>
                <c:pt idx="9">
                  <c:v>SADM</c:v>
                </c:pt>
                <c:pt idx="10">
                  <c:v> VISO</c:v>
                </c:pt>
              </c:strCache>
            </c:strRef>
          </c:cat>
          <c:val>
            <c:numRef>
              <c:f>'Pagal minist '!$F$17:$F$27</c:f>
              <c:numCache>
                <c:formatCode>0%</c:formatCode>
                <c:ptCount val="11"/>
                <c:pt idx="0">
                  <c:v>0.22817837202613914</c:v>
                </c:pt>
                <c:pt idx="1">
                  <c:v>9.1744615812316466E-2</c:v>
                </c:pt>
                <c:pt idx="2">
                  <c:v>0.23848593119484168</c:v>
                </c:pt>
                <c:pt idx="3">
                  <c:v>8.0474006254543068E-2</c:v>
                </c:pt>
                <c:pt idx="4">
                  <c:v>0.1334539266340766</c:v>
                </c:pt>
                <c:pt idx="5">
                  <c:v>0.34844600975935347</c:v>
                </c:pt>
                <c:pt idx="6">
                  <c:v>0.21603801910313863</c:v>
                </c:pt>
                <c:pt idx="7">
                  <c:v>7.0746628327452349E-2</c:v>
                </c:pt>
                <c:pt idx="8">
                  <c:v>0.53528183692728137</c:v>
                </c:pt>
                <c:pt idx="9">
                  <c:v>0.10860609784824077</c:v>
                </c:pt>
                <c:pt idx="10">
                  <c:v>0.18445833515869639</c:v>
                </c:pt>
              </c:numCache>
            </c:numRef>
          </c:val>
          <c:extLst xmlns:c16r2="http://schemas.microsoft.com/office/drawing/2015/06/chart">
            <c:ext xmlns:c16="http://schemas.microsoft.com/office/drawing/2014/chart" uri="{C3380CC4-5D6E-409C-BE32-E72D297353CC}">
              <c16:uniqueId val="{00000002-7EDC-4460-A9EB-5A241377B780}"/>
            </c:ext>
          </c:extLst>
        </c:ser>
        <c:ser>
          <c:idx val="3"/>
          <c:order val="3"/>
          <c:tx>
            <c:strRef>
              <c:f>'Pagal minist '!$G$16</c:f>
              <c:strCache>
                <c:ptCount val="1"/>
                <c:pt idx="0">
                  <c:v>Lėšos planavimo etape</c:v>
                </c:pt>
              </c:strCache>
            </c:strRef>
          </c:tx>
          <c:spPr>
            <a:solidFill>
              <a:schemeClr val="accent4">
                <a:lumMod val="40000"/>
                <a:lumOff val="60000"/>
                <a:alpha val="55000"/>
              </a:schemeClr>
            </a:solidFill>
          </c:spPr>
          <c:invertIfNegative val="0"/>
          <c:dLbls>
            <c:spPr>
              <a:noFill/>
              <a:ln>
                <a:noFill/>
              </a:ln>
              <a:effectLst/>
            </c:spPr>
            <c:txPr>
              <a:bodyPr/>
              <a:lstStyle/>
              <a:p>
                <a:pPr>
                  <a:defRPr sz="1000" b="0">
                    <a:latin typeface="+mn-lt"/>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'Pagal minist '!$C$17:$C$27</c:f>
              <c:strCache>
                <c:ptCount val="11"/>
                <c:pt idx="0">
                  <c:v>KM</c:v>
                </c:pt>
                <c:pt idx="1">
                  <c:v>EM</c:v>
                </c:pt>
                <c:pt idx="2">
                  <c:v>VRM</c:v>
                </c:pt>
                <c:pt idx="3">
                  <c:v>ŠMSM</c:v>
                </c:pt>
                <c:pt idx="4">
                  <c:v>SAM</c:v>
                </c:pt>
                <c:pt idx="5">
                  <c:v>EIM</c:v>
                </c:pt>
                <c:pt idx="6">
                  <c:v>SM</c:v>
                </c:pt>
                <c:pt idx="7">
                  <c:v>AM</c:v>
                </c:pt>
                <c:pt idx="8">
                  <c:v>FM</c:v>
                </c:pt>
                <c:pt idx="9">
                  <c:v>SADM</c:v>
                </c:pt>
                <c:pt idx="10">
                  <c:v> VISO</c:v>
                </c:pt>
              </c:strCache>
            </c:strRef>
          </c:cat>
          <c:val>
            <c:numRef>
              <c:f>'Pagal minist '!$G$17:$G$27</c:f>
              <c:numCache>
                <c:formatCode>0%</c:formatCode>
                <c:ptCount val="11"/>
                <c:pt idx="0">
                  <c:v>0.13445817806586591</c:v>
                </c:pt>
                <c:pt idx="1">
                  <c:v>0.28650220543715421</c:v>
                </c:pt>
                <c:pt idx="2">
                  <c:v>0.18649955114475653</c:v>
                </c:pt>
                <c:pt idx="3">
                  <c:v>0.27804240356408239</c:v>
                </c:pt>
                <c:pt idx="4">
                  <c:v>0.28872157284590855</c:v>
                </c:pt>
                <c:pt idx="5">
                  <c:v>6.9557401567980653E-2</c:v>
                </c:pt>
                <c:pt idx="6">
                  <c:v>0.21181911260044045</c:v>
                </c:pt>
                <c:pt idx="7">
                  <c:v>0.13039058357862679</c:v>
                </c:pt>
                <c:pt idx="8">
                  <c:v>1.6656762924577664E-3</c:v>
                </c:pt>
                <c:pt idx="9">
                  <c:v>0.18553936702928228</c:v>
                </c:pt>
                <c:pt idx="10">
                  <c:v>0.17891269299670945</c:v>
                </c:pt>
              </c:numCache>
            </c:numRef>
          </c:val>
          <c:extLst xmlns:c16r2="http://schemas.microsoft.com/office/drawing/2015/06/chart">
            <c:ext xmlns:c16="http://schemas.microsoft.com/office/drawing/2014/chart" uri="{C3380CC4-5D6E-409C-BE32-E72D297353CC}">
              <c16:uniqueId val="{00000003-7EDC-4460-A9EB-5A241377B780}"/>
            </c:ext>
          </c:extLst>
        </c:ser>
        <c:dLbls>
          <c:showLegendKey val="0"/>
          <c:showVal val="0"/>
          <c:showCatName val="0"/>
          <c:showSerName val="0"/>
          <c:showPercent val="0"/>
          <c:showBubbleSize val="0"/>
        </c:dLbls>
        <c:gapWidth val="76"/>
        <c:overlap val="100"/>
        <c:axId val="165485568"/>
        <c:axId val="165495552"/>
      </c:barChart>
      <c:catAx>
        <c:axId val="165485568"/>
        <c:scaling>
          <c:orientation val="minMax"/>
        </c:scaling>
        <c:delete val="0"/>
        <c:axPos val="l"/>
        <c:numFmt formatCode="General" sourceLinked="0"/>
        <c:majorTickMark val="out"/>
        <c:minorTickMark val="none"/>
        <c:tickLblPos val="nextTo"/>
        <c:txPr>
          <a:bodyPr/>
          <a:lstStyle/>
          <a:p>
            <a:pPr>
              <a:defRPr sz="900" b="1">
                <a:latin typeface="+mn-lt"/>
              </a:defRPr>
            </a:pPr>
            <a:endParaRPr lang="lt-LT"/>
          </a:p>
        </c:txPr>
        <c:crossAx val="165495552"/>
        <c:crosses val="autoZero"/>
        <c:auto val="1"/>
        <c:lblAlgn val="ctr"/>
        <c:lblOffset val="100"/>
        <c:noMultiLvlLbl val="0"/>
      </c:catAx>
      <c:valAx>
        <c:axId val="165495552"/>
        <c:scaling>
          <c:orientation val="minMax"/>
        </c:scaling>
        <c:delete val="0"/>
        <c:axPos val="b"/>
        <c:majorGridlines/>
        <c:numFmt formatCode="0%" sourceLinked="1"/>
        <c:majorTickMark val="out"/>
        <c:minorTickMark val="none"/>
        <c:tickLblPos val="nextTo"/>
        <c:spPr>
          <a:solidFill>
            <a:schemeClr val="bg1"/>
          </a:solidFill>
        </c:spPr>
        <c:txPr>
          <a:bodyPr/>
          <a:lstStyle/>
          <a:p>
            <a:pPr>
              <a:defRPr>
                <a:solidFill>
                  <a:schemeClr val="bg1"/>
                </a:solidFill>
              </a:defRPr>
            </a:pPr>
            <a:endParaRPr lang="lt-LT"/>
          </a:p>
        </c:txPr>
        <c:crossAx val="165485568"/>
        <c:crosses val="autoZero"/>
        <c:crossBetween val="between"/>
      </c:valAx>
    </c:plotArea>
    <c:legend>
      <c:legendPos val="r"/>
      <c:layout>
        <c:manualLayout>
          <c:xMode val="edge"/>
          <c:yMode val="edge"/>
          <c:x val="1.5858298283864258E-2"/>
          <c:y val="0.85537442039817579"/>
          <c:w val="0.97184030404582911"/>
          <c:h val="0.14186496489486358"/>
        </c:manualLayout>
      </c:layout>
      <c:overlay val="0"/>
      <c:txPr>
        <a:bodyPr/>
        <a:lstStyle/>
        <a:p>
          <a:pPr>
            <a:defRPr sz="900" b="1">
              <a:latin typeface="+mn-lt"/>
            </a:defRPr>
          </a:pPr>
          <a:endParaRPr lang="lt-LT"/>
        </a:p>
      </c:txPr>
    </c:legend>
    <c:plotVisOnly val="1"/>
    <c:dispBlanksAs val="gap"/>
    <c:showDLblsOverMax val="0"/>
  </c:chart>
  <c:txPr>
    <a:bodyPr/>
    <a:lstStyle/>
    <a:p>
      <a:pPr>
        <a:defRPr b="1">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Asignavimai!$L$1:$L$2</c:f>
              <c:strCache>
                <c:ptCount val="1"/>
                <c:pt idx="0">
                  <c:v>Investuoti 2018 m. ES fondų asignavimai</c:v>
                </c:pt>
              </c:strCache>
            </c:strRef>
          </c:tx>
          <c:spPr>
            <a:solidFill>
              <a:schemeClr val="tx2">
                <a:lumMod val="40000"/>
                <a:lumOff val="60000"/>
              </a:schemeClr>
            </a:solidFill>
          </c:spPr>
          <c:invertIfNegative val="0"/>
          <c:dLbls>
            <c:dLbl>
              <c:idx val="0"/>
              <c:layout>
                <c:manualLayout>
                  <c:x val="1.8939393939393947E-2"/>
                  <c:y val="0"/>
                </c:manualLayout>
              </c:layout>
              <c:tx>
                <c:rich>
                  <a:bodyPr/>
                  <a:lstStyle/>
                  <a:p>
                    <a:r>
                      <a:rPr lang="en-US"/>
                      <a:t>47%</a:t>
                    </a:r>
                    <a:r>
                      <a:rPr lang="lt-LT"/>
                      <a:t> (21)</a:t>
                    </a:r>
                    <a:endParaRPr lang="en-US"/>
                  </a:p>
                </c:rich>
              </c:tx>
              <c:showLegendKey val="0"/>
              <c:showVal val="1"/>
              <c:showCatName val="0"/>
              <c:showSerName val="0"/>
              <c:showPercent val="0"/>
              <c:showBubbleSize val="0"/>
            </c:dLbl>
            <c:dLbl>
              <c:idx val="1"/>
              <c:layout>
                <c:manualLayout>
                  <c:x val="5.6818181818181733E-3"/>
                  <c:y val="0"/>
                </c:manualLayout>
              </c:layout>
              <c:tx>
                <c:rich>
                  <a:bodyPr/>
                  <a:lstStyle/>
                  <a:p>
                    <a:r>
                      <a:rPr lang="en-US"/>
                      <a:t>57%</a:t>
                    </a:r>
                    <a:r>
                      <a:rPr lang="lt-LT"/>
                      <a:t> (44)</a:t>
                    </a:r>
                    <a:endParaRPr lang="en-US"/>
                  </a:p>
                </c:rich>
              </c:tx>
              <c:showLegendKey val="0"/>
              <c:showVal val="1"/>
              <c:showCatName val="0"/>
              <c:showSerName val="0"/>
              <c:showPercent val="0"/>
              <c:showBubbleSize val="0"/>
            </c:dLbl>
            <c:dLbl>
              <c:idx val="2"/>
              <c:tx>
                <c:rich>
                  <a:bodyPr/>
                  <a:lstStyle/>
                  <a:p>
                    <a:r>
                      <a:rPr lang="en-US"/>
                      <a:t>64%</a:t>
                    </a:r>
                    <a:r>
                      <a:rPr lang="lt-LT"/>
                      <a:t> (128)</a:t>
                    </a:r>
                    <a:endParaRPr lang="en-US"/>
                  </a:p>
                </c:rich>
              </c:tx>
              <c:showLegendKey val="0"/>
              <c:showVal val="1"/>
              <c:showCatName val="0"/>
              <c:showSerName val="0"/>
              <c:showPercent val="0"/>
              <c:showBubbleSize val="0"/>
            </c:dLbl>
            <c:dLbl>
              <c:idx val="3"/>
              <c:tx>
                <c:rich>
                  <a:bodyPr/>
                  <a:lstStyle/>
                  <a:p>
                    <a:r>
                      <a:rPr lang="en-US"/>
                      <a:t>70%</a:t>
                    </a:r>
                    <a:r>
                      <a:rPr lang="lt-LT"/>
                      <a:t> (101)</a:t>
                    </a:r>
                    <a:endParaRPr lang="en-US"/>
                  </a:p>
                </c:rich>
              </c:tx>
              <c:showLegendKey val="0"/>
              <c:showVal val="1"/>
              <c:showCatName val="0"/>
              <c:showSerName val="0"/>
              <c:showPercent val="0"/>
              <c:showBubbleSize val="0"/>
            </c:dLbl>
            <c:dLbl>
              <c:idx val="4"/>
              <c:tx>
                <c:rich>
                  <a:bodyPr/>
                  <a:lstStyle/>
                  <a:p>
                    <a:r>
                      <a:rPr lang="en-US"/>
                      <a:t>70%</a:t>
                    </a:r>
                    <a:r>
                      <a:rPr lang="lt-LT"/>
                      <a:t> (52)</a:t>
                    </a:r>
                    <a:endParaRPr lang="en-US"/>
                  </a:p>
                </c:rich>
              </c:tx>
              <c:showLegendKey val="0"/>
              <c:showVal val="1"/>
              <c:showCatName val="0"/>
              <c:showSerName val="0"/>
              <c:showPercent val="0"/>
              <c:showBubbleSize val="0"/>
            </c:dLbl>
            <c:dLbl>
              <c:idx val="5"/>
              <c:tx>
                <c:rich>
                  <a:bodyPr/>
                  <a:lstStyle/>
                  <a:p>
                    <a:r>
                      <a:rPr lang="en-US"/>
                      <a:t>76%</a:t>
                    </a:r>
                    <a:r>
                      <a:rPr lang="lt-LT"/>
                      <a:t> (43)</a:t>
                    </a:r>
                    <a:endParaRPr lang="en-US"/>
                  </a:p>
                </c:rich>
              </c:tx>
              <c:showLegendKey val="0"/>
              <c:showVal val="1"/>
              <c:showCatName val="0"/>
              <c:showSerName val="0"/>
              <c:showPercent val="0"/>
              <c:showBubbleSize val="0"/>
            </c:dLbl>
            <c:dLbl>
              <c:idx val="6"/>
              <c:tx>
                <c:rich>
                  <a:bodyPr/>
                  <a:lstStyle/>
                  <a:p>
                    <a:r>
                      <a:rPr lang="en-US"/>
                      <a:t>82%</a:t>
                    </a:r>
                    <a:r>
                      <a:rPr lang="lt-LT"/>
                      <a:t> (25)</a:t>
                    </a:r>
                    <a:endParaRPr lang="en-US"/>
                  </a:p>
                </c:rich>
              </c:tx>
              <c:showLegendKey val="0"/>
              <c:showVal val="1"/>
              <c:showCatName val="0"/>
              <c:showSerName val="0"/>
              <c:showPercent val="0"/>
              <c:showBubbleSize val="0"/>
            </c:dLbl>
            <c:dLbl>
              <c:idx val="7"/>
              <c:tx>
                <c:rich>
                  <a:bodyPr/>
                  <a:lstStyle/>
                  <a:p>
                    <a:r>
                      <a:rPr lang="en-US"/>
                      <a:t>83%</a:t>
                    </a:r>
                    <a:r>
                      <a:rPr lang="lt-LT"/>
                      <a:t> (137)</a:t>
                    </a:r>
                    <a:endParaRPr lang="en-US"/>
                  </a:p>
                </c:rich>
              </c:tx>
              <c:showLegendKey val="0"/>
              <c:showVal val="1"/>
              <c:showCatName val="0"/>
              <c:showSerName val="0"/>
              <c:showPercent val="0"/>
              <c:showBubbleSize val="0"/>
            </c:dLbl>
            <c:dLbl>
              <c:idx val="8"/>
              <c:tx>
                <c:rich>
                  <a:bodyPr/>
                  <a:lstStyle/>
                  <a:p>
                    <a:r>
                      <a:rPr lang="en-US"/>
                      <a:t>85%</a:t>
                    </a:r>
                    <a:r>
                      <a:rPr lang="lt-LT"/>
                      <a:t> (75)</a:t>
                    </a:r>
                    <a:endParaRPr lang="en-US"/>
                  </a:p>
                </c:rich>
              </c:tx>
              <c:showLegendKey val="0"/>
              <c:showVal val="1"/>
              <c:showCatName val="0"/>
              <c:showSerName val="0"/>
              <c:showPercent val="0"/>
              <c:showBubbleSize val="0"/>
            </c:dLbl>
            <c:dLbl>
              <c:idx val="9"/>
              <c:tx>
                <c:rich>
                  <a:bodyPr/>
                  <a:lstStyle/>
                  <a:p>
                    <a:r>
                      <a:rPr lang="en-US"/>
                      <a:t>98%</a:t>
                    </a:r>
                    <a:r>
                      <a:rPr lang="lt-LT"/>
                      <a:t> (109)</a:t>
                    </a:r>
                    <a:endParaRPr lang="en-US"/>
                  </a:p>
                </c:rich>
              </c:tx>
              <c:showLegendKey val="0"/>
              <c:showVal val="1"/>
              <c:showCatName val="0"/>
              <c:showSerName val="0"/>
              <c:showPercent val="0"/>
              <c:showBubbleSize val="0"/>
            </c:dLbl>
            <c:dLbl>
              <c:idx val="10"/>
              <c:tx>
                <c:rich>
                  <a:bodyPr/>
                  <a:lstStyle/>
                  <a:p>
                    <a:r>
                      <a:rPr lang="en-US"/>
                      <a:t>74%</a:t>
                    </a:r>
                    <a:r>
                      <a:rPr lang="lt-LT"/>
                      <a:t> (736)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Asignavimai!$K$3:$K$13</c:f>
              <c:strCache>
                <c:ptCount val="11"/>
                <c:pt idx="0">
                  <c:v>KM</c:v>
                </c:pt>
                <c:pt idx="1">
                  <c:v>EM</c:v>
                </c:pt>
                <c:pt idx="2">
                  <c:v>SM</c:v>
                </c:pt>
                <c:pt idx="3">
                  <c:v>AM</c:v>
                </c:pt>
                <c:pt idx="4">
                  <c:v>VRM</c:v>
                </c:pt>
                <c:pt idx="5">
                  <c:v>SAM</c:v>
                </c:pt>
                <c:pt idx="6">
                  <c:v>FM</c:v>
                </c:pt>
                <c:pt idx="7">
                  <c:v>EIM</c:v>
                </c:pt>
                <c:pt idx="8">
                  <c:v>SADM</c:v>
                </c:pt>
                <c:pt idx="9">
                  <c:v>ŠMSM</c:v>
                </c:pt>
                <c:pt idx="10">
                  <c:v>Viso:</c:v>
                </c:pt>
              </c:strCache>
            </c:strRef>
          </c:cat>
          <c:val>
            <c:numRef>
              <c:f>Asignavimai!$L$3:$L$13</c:f>
              <c:numCache>
                <c:formatCode>0%</c:formatCode>
                <c:ptCount val="11"/>
                <c:pt idx="0">
                  <c:v>0.46620671032357469</c:v>
                </c:pt>
                <c:pt idx="1">
                  <c:v>0.57451597662815113</c:v>
                </c:pt>
                <c:pt idx="2">
                  <c:v>0.64026253369016051</c:v>
                </c:pt>
                <c:pt idx="3">
                  <c:v>0.69522450006877556</c:v>
                </c:pt>
                <c:pt idx="4">
                  <c:v>0.7</c:v>
                </c:pt>
                <c:pt idx="5">
                  <c:v>0.76484324554280669</c:v>
                </c:pt>
                <c:pt idx="6">
                  <c:v>0.82024597154072443</c:v>
                </c:pt>
                <c:pt idx="7">
                  <c:v>0.83322408826222327</c:v>
                </c:pt>
                <c:pt idx="8">
                  <c:v>0.85425533690179167</c:v>
                </c:pt>
                <c:pt idx="9">
                  <c:v>0.98263162798235282</c:v>
                </c:pt>
                <c:pt idx="10">
                  <c:v>0.737913441664661</c:v>
                </c:pt>
              </c:numCache>
            </c:numRef>
          </c:val>
        </c:ser>
        <c:ser>
          <c:idx val="1"/>
          <c:order val="1"/>
          <c:tx>
            <c:strRef>
              <c:f>Asignavimai!$M$1:$M$2</c:f>
              <c:strCache>
                <c:ptCount val="1"/>
                <c:pt idx="0">
                  <c:v>Neinvestuoti 2018 m. ES fondų asignavimai</c:v>
                </c:pt>
              </c:strCache>
            </c:strRef>
          </c:tx>
          <c:spPr>
            <a:solidFill>
              <a:schemeClr val="accent3">
                <a:lumMod val="60000"/>
                <a:lumOff val="40000"/>
              </a:schemeClr>
            </a:solidFill>
          </c:spPr>
          <c:invertIfNegative val="0"/>
          <c:dLbls>
            <c:dLbl>
              <c:idx val="0"/>
              <c:tx>
                <c:rich>
                  <a:bodyPr/>
                  <a:lstStyle/>
                  <a:p>
                    <a:r>
                      <a:rPr lang="en-US"/>
                      <a:t>53%</a:t>
                    </a:r>
                    <a:r>
                      <a:rPr lang="lt-LT"/>
                      <a:t> (24)</a:t>
                    </a:r>
                    <a:endParaRPr lang="en-US"/>
                  </a:p>
                </c:rich>
              </c:tx>
              <c:showLegendKey val="0"/>
              <c:showVal val="1"/>
              <c:showCatName val="0"/>
              <c:showSerName val="0"/>
              <c:showPercent val="0"/>
              <c:showBubbleSize val="0"/>
            </c:dLbl>
            <c:dLbl>
              <c:idx val="1"/>
              <c:tx>
                <c:rich>
                  <a:bodyPr/>
                  <a:lstStyle/>
                  <a:p>
                    <a:r>
                      <a:rPr lang="en-US"/>
                      <a:t>43%</a:t>
                    </a:r>
                    <a:r>
                      <a:rPr lang="lt-LT"/>
                      <a:t> (32)</a:t>
                    </a:r>
                    <a:endParaRPr lang="en-US"/>
                  </a:p>
                </c:rich>
              </c:tx>
              <c:showLegendKey val="0"/>
              <c:showVal val="1"/>
              <c:showCatName val="0"/>
              <c:showSerName val="0"/>
              <c:showPercent val="0"/>
              <c:showBubbleSize val="0"/>
            </c:dLbl>
            <c:dLbl>
              <c:idx val="2"/>
              <c:tx>
                <c:rich>
                  <a:bodyPr/>
                  <a:lstStyle/>
                  <a:p>
                    <a:r>
                      <a:rPr lang="en-US"/>
                      <a:t>36%</a:t>
                    </a:r>
                    <a:r>
                      <a:rPr lang="lt-LT"/>
                      <a:t> (72)</a:t>
                    </a:r>
                    <a:endParaRPr lang="en-US"/>
                  </a:p>
                </c:rich>
              </c:tx>
              <c:showLegendKey val="0"/>
              <c:showVal val="1"/>
              <c:showCatName val="0"/>
              <c:showSerName val="0"/>
              <c:showPercent val="0"/>
              <c:showBubbleSize val="0"/>
            </c:dLbl>
            <c:dLbl>
              <c:idx val="3"/>
              <c:tx>
                <c:rich>
                  <a:bodyPr/>
                  <a:lstStyle/>
                  <a:p>
                    <a:r>
                      <a:rPr lang="en-US"/>
                      <a:t>30%</a:t>
                    </a:r>
                    <a:r>
                      <a:rPr lang="lt-LT"/>
                      <a:t> (44)</a:t>
                    </a:r>
                    <a:endParaRPr lang="en-US"/>
                  </a:p>
                </c:rich>
              </c:tx>
              <c:showLegendKey val="0"/>
              <c:showVal val="1"/>
              <c:showCatName val="0"/>
              <c:showSerName val="0"/>
              <c:showPercent val="0"/>
              <c:showBubbleSize val="0"/>
            </c:dLbl>
            <c:dLbl>
              <c:idx val="4"/>
              <c:tx>
                <c:rich>
                  <a:bodyPr/>
                  <a:lstStyle/>
                  <a:p>
                    <a:r>
                      <a:rPr lang="en-US"/>
                      <a:t>30%</a:t>
                    </a:r>
                    <a:r>
                      <a:rPr lang="lt-LT"/>
                      <a:t> (28)</a:t>
                    </a:r>
                    <a:endParaRPr lang="en-US"/>
                  </a:p>
                </c:rich>
              </c:tx>
              <c:showLegendKey val="0"/>
              <c:showVal val="1"/>
              <c:showCatName val="0"/>
              <c:showSerName val="0"/>
              <c:showPercent val="0"/>
              <c:showBubbleSize val="0"/>
            </c:dLbl>
            <c:dLbl>
              <c:idx val="5"/>
              <c:tx>
                <c:rich>
                  <a:bodyPr/>
                  <a:lstStyle/>
                  <a:p>
                    <a:r>
                      <a:rPr lang="en-US"/>
                      <a:t>24%</a:t>
                    </a:r>
                    <a:r>
                      <a:rPr lang="lt-LT"/>
                      <a:t> (13)</a:t>
                    </a:r>
                    <a:endParaRPr lang="en-US"/>
                  </a:p>
                </c:rich>
              </c:tx>
              <c:showLegendKey val="0"/>
              <c:showVal val="1"/>
              <c:showCatName val="0"/>
              <c:showSerName val="0"/>
              <c:showPercent val="0"/>
              <c:showBubbleSize val="0"/>
            </c:dLbl>
            <c:dLbl>
              <c:idx val="6"/>
              <c:tx>
                <c:rich>
                  <a:bodyPr/>
                  <a:lstStyle/>
                  <a:p>
                    <a:r>
                      <a:rPr lang="en-US"/>
                      <a:t>18%</a:t>
                    </a:r>
                    <a:r>
                      <a:rPr lang="lt-LT"/>
                      <a:t> (6)</a:t>
                    </a:r>
                    <a:endParaRPr lang="en-US"/>
                  </a:p>
                </c:rich>
              </c:tx>
              <c:showLegendKey val="0"/>
              <c:showVal val="1"/>
              <c:showCatName val="0"/>
              <c:showSerName val="0"/>
              <c:showPercent val="0"/>
              <c:showBubbleSize val="0"/>
            </c:dLbl>
            <c:dLbl>
              <c:idx val="7"/>
              <c:tx>
                <c:rich>
                  <a:bodyPr/>
                  <a:lstStyle/>
                  <a:p>
                    <a:r>
                      <a:rPr lang="en-US"/>
                      <a:t>17%</a:t>
                    </a:r>
                    <a:r>
                      <a:rPr lang="lt-LT"/>
                      <a:t> (27)</a:t>
                    </a:r>
                    <a:endParaRPr lang="en-US"/>
                  </a:p>
                </c:rich>
              </c:tx>
              <c:showLegendKey val="0"/>
              <c:showVal val="1"/>
              <c:showCatName val="0"/>
              <c:showSerName val="0"/>
              <c:showPercent val="0"/>
              <c:showBubbleSize val="0"/>
            </c:dLbl>
            <c:dLbl>
              <c:idx val="8"/>
              <c:layout>
                <c:manualLayout>
                  <c:x val="-1.6640665626625067E-2"/>
                  <c:y val="0"/>
                </c:manualLayout>
              </c:layout>
              <c:tx>
                <c:rich>
                  <a:bodyPr/>
                  <a:lstStyle/>
                  <a:p>
                    <a:r>
                      <a:rPr lang="en-US"/>
                      <a:t>15%</a:t>
                    </a:r>
                    <a:r>
                      <a:rPr lang="lt-LT"/>
                      <a:t> (13)</a:t>
                    </a:r>
                    <a:endParaRPr lang="en-US"/>
                  </a:p>
                </c:rich>
              </c:tx>
              <c:showLegendKey val="0"/>
              <c:showVal val="1"/>
              <c:showCatName val="0"/>
              <c:showSerName val="0"/>
              <c:showPercent val="0"/>
              <c:showBubbleSize val="0"/>
            </c:dLbl>
            <c:dLbl>
              <c:idx val="9"/>
              <c:layout>
                <c:manualLayout>
                  <c:x val="-1.6646471649866247E-2"/>
                  <c:y val="-3.5326086200657175E-3"/>
                </c:manualLayout>
              </c:layout>
              <c:tx>
                <c:rich>
                  <a:bodyPr/>
                  <a:lstStyle/>
                  <a:p>
                    <a:r>
                      <a:rPr lang="en-US"/>
                      <a:t>2%</a:t>
                    </a:r>
                    <a:r>
                      <a:rPr lang="lt-LT"/>
                      <a:t> (2)</a:t>
                    </a:r>
                    <a:endParaRPr lang="en-US"/>
                  </a:p>
                </c:rich>
              </c:tx>
              <c:showLegendKey val="0"/>
              <c:showVal val="1"/>
              <c:showCatName val="0"/>
              <c:showSerName val="0"/>
              <c:showPercent val="0"/>
              <c:showBubbleSize val="0"/>
            </c:dLbl>
            <c:dLbl>
              <c:idx val="10"/>
              <c:tx>
                <c:rich>
                  <a:bodyPr/>
                  <a:lstStyle/>
                  <a:p>
                    <a:r>
                      <a:rPr lang="en-US"/>
                      <a:t>26%</a:t>
                    </a:r>
                    <a:r>
                      <a:rPr lang="lt-LT"/>
                      <a:t> (261)</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Asignavimai!$K$3:$K$13</c:f>
              <c:strCache>
                <c:ptCount val="11"/>
                <c:pt idx="0">
                  <c:v>KM</c:v>
                </c:pt>
                <c:pt idx="1">
                  <c:v>EM</c:v>
                </c:pt>
                <c:pt idx="2">
                  <c:v>SM</c:v>
                </c:pt>
                <c:pt idx="3">
                  <c:v>AM</c:v>
                </c:pt>
                <c:pt idx="4">
                  <c:v>VRM</c:v>
                </c:pt>
                <c:pt idx="5">
                  <c:v>SAM</c:v>
                </c:pt>
                <c:pt idx="6">
                  <c:v>FM</c:v>
                </c:pt>
                <c:pt idx="7">
                  <c:v>EIM</c:v>
                </c:pt>
                <c:pt idx="8">
                  <c:v>SADM</c:v>
                </c:pt>
                <c:pt idx="9">
                  <c:v>ŠMSM</c:v>
                </c:pt>
                <c:pt idx="10">
                  <c:v>Viso:</c:v>
                </c:pt>
              </c:strCache>
            </c:strRef>
          </c:cat>
          <c:val>
            <c:numRef>
              <c:f>Asignavimai!$M$3:$M$13</c:f>
              <c:numCache>
                <c:formatCode>0%</c:formatCode>
                <c:ptCount val="11"/>
                <c:pt idx="0">
                  <c:v>0.53379328967642525</c:v>
                </c:pt>
                <c:pt idx="1">
                  <c:v>0.42548402337184887</c:v>
                </c:pt>
                <c:pt idx="2">
                  <c:v>0.35973746630983949</c:v>
                </c:pt>
                <c:pt idx="3">
                  <c:v>0.30477549993122444</c:v>
                </c:pt>
                <c:pt idx="4">
                  <c:v>0.30000000000000004</c:v>
                </c:pt>
                <c:pt idx="5">
                  <c:v>0.23515675445719331</c:v>
                </c:pt>
                <c:pt idx="6">
                  <c:v>0.17975402845927557</c:v>
                </c:pt>
                <c:pt idx="7">
                  <c:v>0.16677591173777673</c:v>
                </c:pt>
                <c:pt idx="8">
                  <c:v>0.14574466309820833</c:v>
                </c:pt>
                <c:pt idx="9">
                  <c:v>1.7368372017647182E-2</c:v>
                </c:pt>
                <c:pt idx="10">
                  <c:v>0.262086558335339</c:v>
                </c:pt>
              </c:numCache>
            </c:numRef>
          </c:val>
        </c:ser>
        <c:dLbls>
          <c:showLegendKey val="0"/>
          <c:showVal val="0"/>
          <c:showCatName val="0"/>
          <c:showSerName val="0"/>
          <c:showPercent val="0"/>
          <c:showBubbleSize val="0"/>
        </c:dLbls>
        <c:gapWidth val="150"/>
        <c:overlap val="100"/>
        <c:axId val="165525376"/>
        <c:axId val="165526912"/>
      </c:barChart>
      <c:catAx>
        <c:axId val="165525376"/>
        <c:scaling>
          <c:orientation val="minMax"/>
        </c:scaling>
        <c:delete val="0"/>
        <c:axPos val="l"/>
        <c:majorTickMark val="out"/>
        <c:minorTickMark val="none"/>
        <c:tickLblPos val="nextTo"/>
        <c:crossAx val="165526912"/>
        <c:crosses val="autoZero"/>
        <c:auto val="1"/>
        <c:lblAlgn val="ctr"/>
        <c:lblOffset val="100"/>
        <c:noMultiLvlLbl val="0"/>
      </c:catAx>
      <c:valAx>
        <c:axId val="165526912"/>
        <c:scaling>
          <c:orientation val="minMax"/>
          <c:max val="1"/>
        </c:scaling>
        <c:delete val="0"/>
        <c:axPos val="b"/>
        <c:majorGridlines/>
        <c:numFmt formatCode="0%" sourceLinked="1"/>
        <c:majorTickMark val="out"/>
        <c:minorTickMark val="none"/>
        <c:tickLblPos val="nextTo"/>
        <c:crossAx val="16552537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7867672324747763"/>
                  <c:y val="1.1050166013517746E-2"/>
                </c:manualLayout>
              </c:layout>
              <c:showLegendKey val="0"/>
              <c:showVal val="1"/>
              <c:showCatName val="1"/>
              <c:showSerName val="0"/>
              <c:showPercent val="0"/>
              <c:showBubbleSize val="0"/>
            </c:dLbl>
            <c:dLbl>
              <c:idx val="4"/>
              <c:layout>
                <c:manualLayout>
                  <c:x val="7.7415463576124569E-2"/>
                  <c:y val="0.14913909100303649"/>
                </c:manualLayout>
              </c:layout>
              <c:showLegendKey val="0"/>
              <c:showVal val="1"/>
              <c:showCatName val="1"/>
              <c:showSerName val="0"/>
              <c:showPercent val="0"/>
              <c:showBubbleSize val="0"/>
            </c:dLbl>
            <c:dLbl>
              <c:idx val="5"/>
              <c:layout>
                <c:manualLayout>
                  <c:x val="3.7667019972323815E-2"/>
                  <c:y val="0.1724396142896383"/>
                </c:manualLayout>
              </c:layout>
              <c:showLegendKey val="0"/>
              <c:showVal val="1"/>
              <c:showCatName val="1"/>
              <c:showSerName val="0"/>
              <c:showPercent val="0"/>
              <c:showBubbleSize val="0"/>
            </c:dLbl>
            <c:dLbl>
              <c:idx val="6"/>
              <c:layout>
                <c:manualLayout>
                  <c:x val="-6.0117862017864718E-2"/>
                  <c:y val="-0.27552566406190365"/>
                </c:manualLayout>
              </c:layout>
              <c:showLegendKey val="0"/>
              <c:showVal val="1"/>
              <c:showCatName val="1"/>
              <c:showSerName val="0"/>
              <c:showPercent val="0"/>
              <c:showBubbleSize val="0"/>
            </c:dLbl>
            <c:dLbl>
              <c:idx val="7"/>
              <c:layout>
                <c:manualLayout>
                  <c:x val="-1.8478555090004196E-2"/>
                  <c:y val="-2.8081579088328246E-2"/>
                </c:manualLayout>
              </c:layout>
              <c:showLegendKey val="0"/>
              <c:showVal val="1"/>
              <c:showCatName val="1"/>
              <c:showSerName val="0"/>
              <c:showPercent val="0"/>
              <c:showBubbleSize val="0"/>
            </c:dLbl>
            <c:dLbl>
              <c:idx val="8"/>
              <c:layout>
                <c:manualLayout>
                  <c:x val="0.16245739124779734"/>
                  <c:y val="0.16297895897504983"/>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'Bendras Pagal ministerija'!$A$14:$A$23</c:f>
              <c:strCache>
                <c:ptCount val="10"/>
                <c:pt idx="0">
                  <c:v>Finansų rinkų plėtra</c:v>
                </c:pt>
                <c:pt idx="1">
                  <c:v>Sveikata</c:v>
                </c:pt>
                <c:pt idx="2">
                  <c:v>Institucinės globos pertvarka</c:v>
                </c:pt>
                <c:pt idx="3">
                  <c:v>Viešasis administravimas</c:v>
                </c:pt>
                <c:pt idx="4">
                  <c:v>Valstybės išteklių konsolidavimas ir duomenų atvėrimas</c:v>
                </c:pt>
                <c:pt idx="5">
                  <c:v>Strateginės infrastruktūros plėtojimas</c:v>
                </c:pt>
                <c:pt idx="6">
                  <c:v>Švietimas</c:v>
                </c:pt>
                <c:pt idx="7">
                  <c:v>Inovacijos ir inovatyvi ekonomika</c:v>
                </c:pt>
                <c:pt idx="8">
                  <c:v>Energijos efektyvumo didinimas</c:v>
                </c:pt>
                <c:pt idx="9">
                  <c:v>Kultūros paveldo įveiklinimas ir kultūrinio verslumo skatinimas</c:v>
                </c:pt>
              </c:strCache>
            </c:strRef>
          </c:cat>
          <c:val>
            <c:numRef>
              <c:f>'Bendras Pagal ministerija'!$B$14:$B$23</c:f>
              <c:numCache>
                <c:formatCode>0.00</c:formatCode>
                <c:ptCount val="10"/>
                <c:pt idx="0">
                  <c:v>8.75</c:v>
                </c:pt>
                <c:pt idx="1">
                  <c:v>17.98</c:v>
                </c:pt>
                <c:pt idx="2">
                  <c:v>8.09</c:v>
                </c:pt>
                <c:pt idx="3">
                  <c:v>14.38</c:v>
                </c:pt>
                <c:pt idx="4">
                  <c:v>13.06</c:v>
                </c:pt>
                <c:pt idx="5">
                  <c:v>43.26</c:v>
                </c:pt>
                <c:pt idx="6">
                  <c:v>220.22</c:v>
                </c:pt>
                <c:pt idx="7">
                  <c:v>11.29</c:v>
                </c:pt>
                <c:pt idx="8">
                  <c:v>82.6</c:v>
                </c:pt>
                <c:pt idx="9">
                  <c:v>28.28</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'Bendras Pagal ministerija'!$B$1</c:f>
              <c:strCache>
                <c:ptCount val="1"/>
                <c:pt idx="0">
                  <c:v>2019 m. planuojama išmokėti prioritetinėms kryptims, mln. Eur</c:v>
                </c:pt>
              </c:strCache>
            </c:strRef>
          </c:tx>
          <c:spPr>
            <a:solidFill>
              <a:schemeClr val="accent1"/>
            </a:solidFill>
          </c:spPr>
          <c:invertIfNegative val="0"/>
          <c:dLbls>
            <c:showLegendKey val="0"/>
            <c:showVal val="1"/>
            <c:showCatName val="0"/>
            <c:showSerName val="0"/>
            <c:showPercent val="0"/>
            <c:showBubbleSize val="0"/>
            <c:showLeaderLines val="0"/>
          </c:dLbls>
          <c:cat>
            <c:strRef>
              <c:f>'Bendras Pagal ministerija'!$A$2:$A$10</c:f>
              <c:strCache>
                <c:ptCount val="9"/>
                <c:pt idx="0">
                  <c:v>AM</c:v>
                </c:pt>
                <c:pt idx="1">
                  <c:v>KM</c:v>
                </c:pt>
                <c:pt idx="2">
                  <c:v>SADM</c:v>
                </c:pt>
                <c:pt idx="3">
                  <c:v>SM</c:v>
                </c:pt>
                <c:pt idx="4">
                  <c:v>SAM</c:v>
                </c:pt>
                <c:pt idx="5">
                  <c:v>ŠMSM</c:v>
                </c:pt>
                <c:pt idx="6">
                  <c:v>VRM</c:v>
                </c:pt>
                <c:pt idx="7">
                  <c:v>EIM</c:v>
                </c:pt>
                <c:pt idx="8">
                  <c:v>EM</c:v>
                </c:pt>
              </c:strCache>
            </c:strRef>
          </c:cat>
          <c:val>
            <c:numRef>
              <c:f>'Bendras Pagal ministerija'!$B$2:$B$10</c:f>
              <c:numCache>
                <c:formatCode>0.0</c:formatCode>
                <c:ptCount val="9"/>
                <c:pt idx="0">
                  <c:v>60.7</c:v>
                </c:pt>
                <c:pt idx="1">
                  <c:v>28.28</c:v>
                </c:pt>
                <c:pt idx="2">
                  <c:v>8.09</c:v>
                </c:pt>
                <c:pt idx="3">
                  <c:v>57.57</c:v>
                </c:pt>
                <c:pt idx="4">
                  <c:v>17.98</c:v>
                </c:pt>
                <c:pt idx="5">
                  <c:v>220.22</c:v>
                </c:pt>
                <c:pt idx="6">
                  <c:v>14.38</c:v>
                </c:pt>
                <c:pt idx="7">
                  <c:v>17.260000000000002</c:v>
                </c:pt>
                <c:pt idx="8">
                  <c:v>23.43</c:v>
                </c:pt>
              </c:numCache>
            </c:numRef>
          </c:val>
        </c:ser>
        <c:ser>
          <c:idx val="1"/>
          <c:order val="1"/>
          <c:tx>
            <c:strRef>
              <c:f>'Bendras Pagal ministerija'!$D$1</c:f>
              <c:strCache>
                <c:ptCount val="1"/>
                <c:pt idx="0">
                  <c:v>2019 m. biudžete ministerijoms numatytos ES lėšos, mln. Eur</c:v>
                </c:pt>
              </c:strCache>
            </c:strRef>
          </c:tx>
          <c:spPr>
            <a:solidFill>
              <a:schemeClr val="accent1">
                <a:lumMod val="40000"/>
                <a:lumOff val="60000"/>
              </a:schemeClr>
            </a:solidFill>
          </c:spPr>
          <c:invertIfNegative val="0"/>
          <c:cat>
            <c:strRef>
              <c:f>'Bendras Pagal ministerija'!$A$2:$A$10</c:f>
              <c:strCache>
                <c:ptCount val="9"/>
                <c:pt idx="0">
                  <c:v>AM</c:v>
                </c:pt>
                <c:pt idx="1">
                  <c:v>KM</c:v>
                </c:pt>
                <c:pt idx="2">
                  <c:v>SADM</c:v>
                </c:pt>
                <c:pt idx="3">
                  <c:v>SM</c:v>
                </c:pt>
                <c:pt idx="4">
                  <c:v>SAM</c:v>
                </c:pt>
                <c:pt idx="5">
                  <c:v>ŠMSM</c:v>
                </c:pt>
                <c:pt idx="6">
                  <c:v>VRM</c:v>
                </c:pt>
                <c:pt idx="7">
                  <c:v>EIM</c:v>
                </c:pt>
                <c:pt idx="8">
                  <c:v>EM</c:v>
                </c:pt>
              </c:strCache>
            </c:strRef>
          </c:cat>
          <c:val>
            <c:numRef>
              <c:f>'Bendras Pagal ministerija'!$D$2:$D$10</c:f>
              <c:numCache>
                <c:formatCode>0.0</c:formatCode>
                <c:ptCount val="9"/>
                <c:pt idx="0">
                  <c:v>146</c:v>
                </c:pt>
                <c:pt idx="1">
                  <c:v>48.72</c:v>
                </c:pt>
                <c:pt idx="2">
                  <c:v>111.91</c:v>
                </c:pt>
                <c:pt idx="3">
                  <c:v>137.13</c:v>
                </c:pt>
                <c:pt idx="4">
                  <c:v>37.819999999999993</c:v>
                </c:pt>
                <c:pt idx="5">
                  <c:v>-2.0000000000010232E-2</c:v>
                </c:pt>
                <c:pt idx="6">
                  <c:v>87.62</c:v>
                </c:pt>
                <c:pt idx="7">
                  <c:v>78.039999999999992</c:v>
                </c:pt>
                <c:pt idx="8">
                  <c:v>66.27000000000001</c:v>
                </c:pt>
              </c:numCache>
            </c:numRef>
          </c:val>
        </c:ser>
        <c:dLbls>
          <c:showLegendKey val="0"/>
          <c:showVal val="0"/>
          <c:showCatName val="0"/>
          <c:showSerName val="0"/>
          <c:showPercent val="0"/>
          <c:showBubbleSize val="0"/>
        </c:dLbls>
        <c:gapWidth val="40"/>
        <c:overlap val="100"/>
        <c:axId val="166808960"/>
        <c:axId val="166814848"/>
      </c:barChart>
      <c:catAx>
        <c:axId val="166808960"/>
        <c:scaling>
          <c:orientation val="minMax"/>
        </c:scaling>
        <c:delete val="0"/>
        <c:axPos val="b"/>
        <c:majorTickMark val="out"/>
        <c:minorTickMark val="none"/>
        <c:tickLblPos val="nextTo"/>
        <c:crossAx val="166814848"/>
        <c:crosses val="autoZero"/>
        <c:auto val="1"/>
        <c:lblAlgn val="ctr"/>
        <c:lblOffset val="100"/>
        <c:noMultiLvlLbl val="0"/>
      </c:catAx>
      <c:valAx>
        <c:axId val="166814848"/>
        <c:scaling>
          <c:orientation val="minMax"/>
          <c:min val="0"/>
        </c:scaling>
        <c:delete val="0"/>
        <c:axPos val="l"/>
        <c:majorGridlines/>
        <c:numFmt formatCode="0.0" sourceLinked="1"/>
        <c:majorTickMark val="out"/>
        <c:minorTickMark val="none"/>
        <c:tickLblPos val="nextTo"/>
        <c:crossAx val="166808960"/>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842F18-0170-4FB3-92F4-D6EF7DAD50D6}"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lt-LT"/>
        </a:p>
      </dgm:t>
    </dgm:pt>
    <dgm:pt modelId="{2FA775E4-DCBA-4E1A-8E4C-068981B7A349}">
      <dgm:prSet phldrT="[Tekstas]" custT="1"/>
      <dgm:spPr/>
      <dgm:t>
        <a:bodyPr/>
        <a:lstStyle/>
        <a:p>
          <a:r>
            <a:rPr lang="lt-LT" sz="1200" b="1" dirty="0" smtClean="0"/>
            <a:t>201</a:t>
          </a:r>
          <a:r>
            <a:rPr lang="en-GB" sz="1200" b="1" dirty="0" smtClean="0"/>
            <a:t>9</a:t>
          </a:r>
          <a:r>
            <a:rPr lang="lt-LT" sz="1200" b="1" dirty="0" smtClean="0"/>
            <a:t> M. TIKSLAI</a:t>
          </a:r>
          <a:endParaRPr lang="lt-LT" sz="1200" b="1" dirty="0"/>
        </a:p>
      </dgm:t>
    </dgm:pt>
    <dgm:pt modelId="{3094FFAB-31D6-4E9A-A7DF-8F35852F6BCF}" type="parTrans" cxnId="{E501C76B-D5C0-4FBB-AFEA-0D545C6BD4C6}">
      <dgm:prSet/>
      <dgm:spPr/>
      <dgm:t>
        <a:bodyPr/>
        <a:lstStyle/>
        <a:p>
          <a:endParaRPr lang="lt-LT" sz="1200" b="1"/>
        </a:p>
      </dgm:t>
    </dgm:pt>
    <dgm:pt modelId="{D046814B-5935-455E-9638-817DD7F60460}" type="sibTrans" cxnId="{E501C76B-D5C0-4FBB-AFEA-0D545C6BD4C6}">
      <dgm:prSet/>
      <dgm:spPr/>
      <dgm:t>
        <a:bodyPr/>
        <a:lstStyle/>
        <a:p>
          <a:endParaRPr lang="lt-LT" sz="1200" b="1"/>
        </a:p>
      </dgm:t>
    </dgm:pt>
    <dgm:pt modelId="{B0241D49-6BE1-42C5-98C4-3DC78B8DE762}">
      <dgm:prSet phldrT="[Tekstas]" custT="1"/>
      <dgm:spPr/>
      <dgm:t>
        <a:bodyPr/>
        <a:lstStyle/>
        <a:p>
          <a:r>
            <a:rPr lang="lt-LT" sz="1200" b="1" dirty="0" smtClean="0"/>
            <a:t>INVESTICIJOS Į POKYČIUS STRATEGINĖSE SRITYSE</a:t>
          </a:r>
          <a:endParaRPr lang="lt-LT" sz="1200" b="1" dirty="0"/>
        </a:p>
      </dgm:t>
    </dgm:pt>
    <dgm:pt modelId="{EAB98874-19FB-4C8A-B59C-75097F0BD3F5}" type="parTrans" cxnId="{A36438D9-7E16-4018-B1BD-152506506B92}">
      <dgm:prSet/>
      <dgm:spPr/>
      <dgm:t>
        <a:bodyPr/>
        <a:lstStyle/>
        <a:p>
          <a:endParaRPr lang="lt-LT" sz="1200" b="1"/>
        </a:p>
      </dgm:t>
    </dgm:pt>
    <dgm:pt modelId="{F5359A90-1220-47F5-A392-29F2EDFD8282}" type="sibTrans" cxnId="{A36438D9-7E16-4018-B1BD-152506506B92}">
      <dgm:prSet/>
      <dgm:spPr/>
      <dgm:t>
        <a:bodyPr/>
        <a:lstStyle/>
        <a:p>
          <a:endParaRPr lang="lt-LT" sz="1200" b="1"/>
        </a:p>
      </dgm:t>
    </dgm:pt>
    <dgm:pt modelId="{15B7AC98-09CB-4895-A98E-E6840BC82D89}">
      <dgm:prSet phldrT="[Tekstas]" custT="1"/>
      <dgm:spPr/>
      <dgm:t>
        <a:bodyPr/>
        <a:lstStyle/>
        <a:p>
          <a:r>
            <a:rPr lang="lt-LT" sz="1200" b="1" dirty="0" smtClean="0"/>
            <a:t>PASIRENGIMAS POST 2020 INVESTICIJOMS</a:t>
          </a:r>
          <a:endParaRPr lang="lt-LT" sz="1200" b="1" dirty="0"/>
        </a:p>
      </dgm:t>
    </dgm:pt>
    <dgm:pt modelId="{0CC948F2-0023-4088-B541-6D7207A5A3B0}" type="parTrans" cxnId="{8F69405D-78F6-474D-9E6B-9EF05BB57171}">
      <dgm:prSet/>
      <dgm:spPr/>
      <dgm:t>
        <a:bodyPr/>
        <a:lstStyle/>
        <a:p>
          <a:endParaRPr lang="lt-LT" sz="1200" b="1"/>
        </a:p>
      </dgm:t>
    </dgm:pt>
    <dgm:pt modelId="{6BE876F6-B7D8-4112-90FC-9D40B8588CB8}" type="sibTrans" cxnId="{8F69405D-78F6-474D-9E6B-9EF05BB57171}">
      <dgm:prSet/>
      <dgm:spPr/>
      <dgm:t>
        <a:bodyPr/>
        <a:lstStyle/>
        <a:p>
          <a:endParaRPr lang="lt-LT" sz="1200" b="1"/>
        </a:p>
      </dgm:t>
    </dgm:pt>
    <dgm:pt modelId="{B4B03819-A0C1-457B-9FA5-AA1EECBB5876}">
      <dgm:prSet phldrT="[Tekstas]" custT="1"/>
      <dgm:spPr/>
      <dgm:t>
        <a:bodyPr/>
        <a:lstStyle/>
        <a:p>
          <a:pPr algn="ctr"/>
          <a:r>
            <a:rPr lang="lt-LT" sz="1200" b="1" dirty="0" smtClean="0"/>
            <a:t>E</a:t>
          </a:r>
          <a:r>
            <a:rPr lang="en-GB" sz="1200" b="1" dirty="0" smtClean="0"/>
            <a:t>F</a:t>
          </a:r>
          <a:r>
            <a:rPr lang="lt-LT" sz="1200" b="1" dirty="0" smtClean="0"/>
            <a:t>EKTYVI IR LANKSTI </a:t>
          </a:r>
          <a:r>
            <a:rPr lang="en-GB" sz="1200" b="1" dirty="0" smtClean="0"/>
            <a:t>VKS</a:t>
          </a:r>
          <a:endParaRPr lang="lt-LT" sz="1200" b="1" dirty="0"/>
        </a:p>
      </dgm:t>
    </dgm:pt>
    <dgm:pt modelId="{10358584-713D-4607-ABA5-C2989B73081C}" type="parTrans" cxnId="{7848CF8E-26E3-40BB-BC90-450566B2191C}">
      <dgm:prSet/>
      <dgm:spPr/>
      <dgm:t>
        <a:bodyPr/>
        <a:lstStyle/>
        <a:p>
          <a:endParaRPr lang="lt-LT" sz="1200" b="1"/>
        </a:p>
      </dgm:t>
    </dgm:pt>
    <dgm:pt modelId="{238EC895-ED7E-4515-94F3-E260AF6C6438}" type="sibTrans" cxnId="{7848CF8E-26E3-40BB-BC90-450566B2191C}">
      <dgm:prSet/>
      <dgm:spPr/>
      <dgm:t>
        <a:bodyPr/>
        <a:lstStyle/>
        <a:p>
          <a:endParaRPr lang="lt-LT" sz="1200" b="1"/>
        </a:p>
      </dgm:t>
    </dgm:pt>
    <dgm:pt modelId="{E668D297-04A5-43F7-B5E0-FBA431F92975}" type="pres">
      <dgm:prSet presAssocID="{EC842F18-0170-4FB3-92F4-D6EF7DAD50D6}" presName="Name0" presStyleCnt="0">
        <dgm:presLayoutVars>
          <dgm:orgChart val="1"/>
          <dgm:chPref val="1"/>
          <dgm:dir/>
          <dgm:animOne val="branch"/>
          <dgm:animLvl val="lvl"/>
          <dgm:resizeHandles/>
        </dgm:presLayoutVars>
      </dgm:prSet>
      <dgm:spPr/>
      <dgm:t>
        <a:bodyPr/>
        <a:lstStyle/>
        <a:p>
          <a:endParaRPr lang="lt-LT"/>
        </a:p>
      </dgm:t>
    </dgm:pt>
    <dgm:pt modelId="{294A7039-53D6-46E0-8D56-FA4845379E2B}" type="pres">
      <dgm:prSet presAssocID="{2FA775E4-DCBA-4E1A-8E4C-068981B7A349}" presName="hierRoot1" presStyleCnt="0">
        <dgm:presLayoutVars>
          <dgm:hierBranch val="init"/>
        </dgm:presLayoutVars>
      </dgm:prSet>
      <dgm:spPr/>
    </dgm:pt>
    <dgm:pt modelId="{F3971F44-50C5-4F4B-BDE0-FD6754916897}" type="pres">
      <dgm:prSet presAssocID="{2FA775E4-DCBA-4E1A-8E4C-068981B7A349}" presName="rootComposite1" presStyleCnt="0"/>
      <dgm:spPr/>
    </dgm:pt>
    <dgm:pt modelId="{78D766F4-CBB3-4C45-B582-7EF3F6E9DDFC}" type="pres">
      <dgm:prSet presAssocID="{2FA775E4-DCBA-4E1A-8E4C-068981B7A349}" presName="rootText1" presStyleLbl="alignAcc1" presStyleIdx="0" presStyleCnt="0" custScaleX="121051">
        <dgm:presLayoutVars>
          <dgm:chPref val="3"/>
        </dgm:presLayoutVars>
      </dgm:prSet>
      <dgm:spPr/>
      <dgm:t>
        <a:bodyPr/>
        <a:lstStyle/>
        <a:p>
          <a:endParaRPr lang="lt-LT"/>
        </a:p>
      </dgm:t>
    </dgm:pt>
    <dgm:pt modelId="{8881198C-1AAB-4311-AC36-B48757469B9B}" type="pres">
      <dgm:prSet presAssocID="{2FA775E4-DCBA-4E1A-8E4C-068981B7A349}" presName="topArc1" presStyleLbl="parChTrans1D1" presStyleIdx="0" presStyleCnt="8"/>
      <dgm:spPr/>
    </dgm:pt>
    <dgm:pt modelId="{B828F671-947D-4FEA-814E-D861EB042CAA}" type="pres">
      <dgm:prSet presAssocID="{2FA775E4-DCBA-4E1A-8E4C-068981B7A349}" presName="bottomArc1" presStyleLbl="parChTrans1D1" presStyleIdx="1" presStyleCnt="8"/>
      <dgm:spPr/>
    </dgm:pt>
    <dgm:pt modelId="{0BF557E4-4DD6-458C-B3F4-E4A1E642868D}" type="pres">
      <dgm:prSet presAssocID="{2FA775E4-DCBA-4E1A-8E4C-068981B7A349}" presName="topConnNode1" presStyleLbl="node1" presStyleIdx="0" presStyleCnt="0"/>
      <dgm:spPr/>
      <dgm:t>
        <a:bodyPr/>
        <a:lstStyle/>
        <a:p>
          <a:endParaRPr lang="lt-LT"/>
        </a:p>
      </dgm:t>
    </dgm:pt>
    <dgm:pt modelId="{BE97EAA6-2855-472A-8AF6-B493D08E1A77}" type="pres">
      <dgm:prSet presAssocID="{2FA775E4-DCBA-4E1A-8E4C-068981B7A349}" presName="hierChild2" presStyleCnt="0"/>
      <dgm:spPr/>
    </dgm:pt>
    <dgm:pt modelId="{0D88ECF3-05D9-4AD9-B51F-D05AABE63FD2}" type="pres">
      <dgm:prSet presAssocID="{EAB98874-19FB-4C8A-B59C-75097F0BD3F5}" presName="Name28" presStyleLbl="parChTrans1D2" presStyleIdx="0" presStyleCnt="3"/>
      <dgm:spPr/>
      <dgm:t>
        <a:bodyPr/>
        <a:lstStyle/>
        <a:p>
          <a:endParaRPr lang="lt-LT"/>
        </a:p>
      </dgm:t>
    </dgm:pt>
    <dgm:pt modelId="{FC323B5B-8DEF-4B4A-AE63-D97B94FF8C0D}" type="pres">
      <dgm:prSet presAssocID="{B0241D49-6BE1-42C5-98C4-3DC78B8DE762}" presName="hierRoot2" presStyleCnt="0">
        <dgm:presLayoutVars>
          <dgm:hierBranch val="init"/>
        </dgm:presLayoutVars>
      </dgm:prSet>
      <dgm:spPr/>
    </dgm:pt>
    <dgm:pt modelId="{8072CBEE-CFB1-4DB7-9E22-3E9602ADDBDC}" type="pres">
      <dgm:prSet presAssocID="{B0241D49-6BE1-42C5-98C4-3DC78B8DE762}" presName="rootComposite2" presStyleCnt="0"/>
      <dgm:spPr/>
    </dgm:pt>
    <dgm:pt modelId="{1FD751AF-2E5F-44B2-8282-7814C768E198}" type="pres">
      <dgm:prSet presAssocID="{B0241D49-6BE1-42C5-98C4-3DC78B8DE762}" presName="rootText2" presStyleLbl="alignAcc1" presStyleIdx="0" presStyleCnt="0">
        <dgm:presLayoutVars>
          <dgm:chPref val="3"/>
        </dgm:presLayoutVars>
      </dgm:prSet>
      <dgm:spPr/>
      <dgm:t>
        <a:bodyPr/>
        <a:lstStyle/>
        <a:p>
          <a:endParaRPr lang="lt-LT"/>
        </a:p>
      </dgm:t>
    </dgm:pt>
    <dgm:pt modelId="{E6C359AA-59AF-4797-84DD-0AF160D7863C}" type="pres">
      <dgm:prSet presAssocID="{B0241D49-6BE1-42C5-98C4-3DC78B8DE762}" presName="topArc2" presStyleLbl="parChTrans1D1" presStyleIdx="2" presStyleCnt="8"/>
      <dgm:spPr/>
    </dgm:pt>
    <dgm:pt modelId="{9978CD2A-9B2B-4C62-95FE-FEEA8DA14B3A}" type="pres">
      <dgm:prSet presAssocID="{B0241D49-6BE1-42C5-98C4-3DC78B8DE762}" presName="bottomArc2" presStyleLbl="parChTrans1D1" presStyleIdx="3" presStyleCnt="8"/>
      <dgm:spPr/>
    </dgm:pt>
    <dgm:pt modelId="{C8A9D35A-7092-4A59-AF47-C22931C854D0}" type="pres">
      <dgm:prSet presAssocID="{B0241D49-6BE1-42C5-98C4-3DC78B8DE762}" presName="topConnNode2" presStyleLbl="node2" presStyleIdx="0" presStyleCnt="0"/>
      <dgm:spPr/>
      <dgm:t>
        <a:bodyPr/>
        <a:lstStyle/>
        <a:p>
          <a:endParaRPr lang="lt-LT"/>
        </a:p>
      </dgm:t>
    </dgm:pt>
    <dgm:pt modelId="{6D7E02CA-3929-4250-92AD-C6EBBDC44DCC}" type="pres">
      <dgm:prSet presAssocID="{B0241D49-6BE1-42C5-98C4-3DC78B8DE762}" presName="hierChild4" presStyleCnt="0"/>
      <dgm:spPr/>
    </dgm:pt>
    <dgm:pt modelId="{2E006F00-0ACB-4DD0-B152-6CCBEC489D05}" type="pres">
      <dgm:prSet presAssocID="{B0241D49-6BE1-42C5-98C4-3DC78B8DE762}" presName="hierChild5" presStyleCnt="0"/>
      <dgm:spPr/>
    </dgm:pt>
    <dgm:pt modelId="{5F31F6C0-DF0B-4DA0-8D53-9B0550FA9F4F}" type="pres">
      <dgm:prSet presAssocID="{0CC948F2-0023-4088-B541-6D7207A5A3B0}" presName="Name28" presStyleLbl="parChTrans1D2" presStyleIdx="1" presStyleCnt="3"/>
      <dgm:spPr/>
      <dgm:t>
        <a:bodyPr/>
        <a:lstStyle/>
        <a:p>
          <a:endParaRPr lang="lt-LT"/>
        </a:p>
      </dgm:t>
    </dgm:pt>
    <dgm:pt modelId="{57F849C6-E123-4A8E-BDF6-8E8CB0CA1C4F}" type="pres">
      <dgm:prSet presAssocID="{15B7AC98-09CB-4895-A98E-E6840BC82D89}" presName="hierRoot2" presStyleCnt="0">
        <dgm:presLayoutVars>
          <dgm:hierBranch val="init"/>
        </dgm:presLayoutVars>
      </dgm:prSet>
      <dgm:spPr/>
    </dgm:pt>
    <dgm:pt modelId="{107EC13D-0424-4F6E-B080-8FEF0BA2D25A}" type="pres">
      <dgm:prSet presAssocID="{15B7AC98-09CB-4895-A98E-E6840BC82D89}" presName="rootComposite2" presStyleCnt="0"/>
      <dgm:spPr/>
    </dgm:pt>
    <dgm:pt modelId="{C164F408-26BD-454B-8DAE-0C9721505A1D}" type="pres">
      <dgm:prSet presAssocID="{15B7AC98-09CB-4895-A98E-E6840BC82D89}" presName="rootText2" presStyleLbl="alignAcc1" presStyleIdx="0" presStyleCnt="0">
        <dgm:presLayoutVars>
          <dgm:chPref val="3"/>
        </dgm:presLayoutVars>
      </dgm:prSet>
      <dgm:spPr/>
      <dgm:t>
        <a:bodyPr/>
        <a:lstStyle/>
        <a:p>
          <a:endParaRPr lang="lt-LT"/>
        </a:p>
      </dgm:t>
    </dgm:pt>
    <dgm:pt modelId="{BE0100FF-8028-47F2-8358-E604FC8F4335}" type="pres">
      <dgm:prSet presAssocID="{15B7AC98-09CB-4895-A98E-E6840BC82D89}" presName="topArc2" presStyleLbl="parChTrans1D1" presStyleIdx="4" presStyleCnt="8"/>
      <dgm:spPr/>
    </dgm:pt>
    <dgm:pt modelId="{7C45171E-6312-4A09-AE1F-88AB1FE59587}" type="pres">
      <dgm:prSet presAssocID="{15B7AC98-09CB-4895-A98E-E6840BC82D89}" presName="bottomArc2" presStyleLbl="parChTrans1D1" presStyleIdx="5" presStyleCnt="8"/>
      <dgm:spPr/>
    </dgm:pt>
    <dgm:pt modelId="{8910E02D-5D8D-4851-9C97-1952CA15A677}" type="pres">
      <dgm:prSet presAssocID="{15B7AC98-09CB-4895-A98E-E6840BC82D89}" presName="topConnNode2" presStyleLbl="node2" presStyleIdx="0" presStyleCnt="0"/>
      <dgm:spPr/>
      <dgm:t>
        <a:bodyPr/>
        <a:lstStyle/>
        <a:p>
          <a:endParaRPr lang="lt-LT"/>
        </a:p>
      </dgm:t>
    </dgm:pt>
    <dgm:pt modelId="{EB1B0F5A-634F-4675-9F05-50F10265355F}" type="pres">
      <dgm:prSet presAssocID="{15B7AC98-09CB-4895-A98E-E6840BC82D89}" presName="hierChild4" presStyleCnt="0"/>
      <dgm:spPr/>
    </dgm:pt>
    <dgm:pt modelId="{6F68E21D-1780-420C-8CE7-64E0EC6EA4B8}" type="pres">
      <dgm:prSet presAssocID="{15B7AC98-09CB-4895-A98E-E6840BC82D89}" presName="hierChild5" presStyleCnt="0"/>
      <dgm:spPr/>
    </dgm:pt>
    <dgm:pt modelId="{5FC42DFC-7E67-47BA-BA12-6396BC6E2F17}" type="pres">
      <dgm:prSet presAssocID="{10358584-713D-4607-ABA5-C2989B73081C}" presName="Name28" presStyleLbl="parChTrans1D2" presStyleIdx="2" presStyleCnt="3"/>
      <dgm:spPr/>
      <dgm:t>
        <a:bodyPr/>
        <a:lstStyle/>
        <a:p>
          <a:endParaRPr lang="lt-LT"/>
        </a:p>
      </dgm:t>
    </dgm:pt>
    <dgm:pt modelId="{A09E4E18-FC54-4E92-9AD9-556CAF0A233A}" type="pres">
      <dgm:prSet presAssocID="{B4B03819-A0C1-457B-9FA5-AA1EECBB5876}" presName="hierRoot2" presStyleCnt="0">
        <dgm:presLayoutVars>
          <dgm:hierBranch val="init"/>
        </dgm:presLayoutVars>
      </dgm:prSet>
      <dgm:spPr/>
    </dgm:pt>
    <dgm:pt modelId="{9F1065CE-24D8-426F-92B9-7ABF78A1A877}" type="pres">
      <dgm:prSet presAssocID="{B4B03819-A0C1-457B-9FA5-AA1EECBB5876}" presName="rootComposite2" presStyleCnt="0"/>
      <dgm:spPr/>
    </dgm:pt>
    <dgm:pt modelId="{B3440E52-5F55-42A0-AA49-5C4C9B5E2C41}" type="pres">
      <dgm:prSet presAssocID="{B4B03819-A0C1-457B-9FA5-AA1EECBB5876}" presName="rootText2" presStyleLbl="alignAcc1" presStyleIdx="0" presStyleCnt="0">
        <dgm:presLayoutVars>
          <dgm:chPref val="3"/>
        </dgm:presLayoutVars>
      </dgm:prSet>
      <dgm:spPr/>
      <dgm:t>
        <a:bodyPr/>
        <a:lstStyle/>
        <a:p>
          <a:endParaRPr lang="lt-LT"/>
        </a:p>
      </dgm:t>
    </dgm:pt>
    <dgm:pt modelId="{7B456C59-6C73-4EF3-AD9F-4DED9F35B98F}" type="pres">
      <dgm:prSet presAssocID="{B4B03819-A0C1-457B-9FA5-AA1EECBB5876}" presName="topArc2" presStyleLbl="parChTrans1D1" presStyleIdx="6" presStyleCnt="8"/>
      <dgm:spPr/>
    </dgm:pt>
    <dgm:pt modelId="{F083CD92-477B-4C2E-8B42-F2D70961D78F}" type="pres">
      <dgm:prSet presAssocID="{B4B03819-A0C1-457B-9FA5-AA1EECBB5876}" presName="bottomArc2" presStyleLbl="parChTrans1D1" presStyleIdx="7" presStyleCnt="8"/>
      <dgm:spPr/>
    </dgm:pt>
    <dgm:pt modelId="{298C3128-785C-484A-8FBD-37BD05627801}" type="pres">
      <dgm:prSet presAssocID="{B4B03819-A0C1-457B-9FA5-AA1EECBB5876}" presName="topConnNode2" presStyleLbl="node2" presStyleIdx="0" presStyleCnt="0"/>
      <dgm:spPr/>
      <dgm:t>
        <a:bodyPr/>
        <a:lstStyle/>
        <a:p>
          <a:endParaRPr lang="lt-LT"/>
        </a:p>
      </dgm:t>
    </dgm:pt>
    <dgm:pt modelId="{2CE7E242-4C4E-4EEA-A3CB-8D52D7453942}" type="pres">
      <dgm:prSet presAssocID="{B4B03819-A0C1-457B-9FA5-AA1EECBB5876}" presName="hierChild4" presStyleCnt="0"/>
      <dgm:spPr/>
    </dgm:pt>
    <dgm:pt modelId="{F323197F-F2CF-4419-B87B-7D9431D233B5}" type="pres">
      <dgm:prSet presAssocID="{B4B03819-A0C1-457B-9FA5-AA1EECBB5876}" presName="hierChild5" presStyleCnt="0"/>
      <dgm:spPr/>
    </dgm:pt>
    <dgm:pt modelId="{A6D92161-BE9D-4CB7-8475-F2E9DAA41829}" type="pres">
      <dgm:prSet presAssocID="{2FA775E4-DCBA-4E1A-8E4C-068981B7A349}" presName="hierChild3" presStyleCnt="0"/>
      <dgm:spPr/>
    </dgm:pt>
  </dgm:ptLst>
  <dgm:cxnLst>
    <dgm:cxn modelId="{E501C76B-D5C0-4FBB-AFEA-0D545C6BD4C6}" srcId="{EC842F18-0170-4FB3-92F4-D6EF7DAD50D6}" destId="{2FA775E4-DCBA-4E1A-8E4C-068981B7A349}" srcOrd="0" destOrd="0" parTransId="{3094FFAB-31D6-4E9A-A7DF-8F35852F6BCF}" sibTransId="{D046814B-5935-455E-9638-817DD7F60460}"/>
    <dgm:cxn modelId="{7CFF59A1-8C04-43CC-8F83-994E20CF1EC7}" type="presOf" srcId="{15B7AC98-09CB-4895-A98E-E6840BC82D89}" destId="{8910E02D-5D8D-4851-9C97-1952CA15A677}" srcOrd="1" destOrd="0" presId="urn:microsoft.com/office/officeart/2008/layout/HalfCircleOrganizationChart"/>
    <dgm:cxn modelId="{8F69405D-78F6-474D-9E6B-9EF05BB57171}" srcId="{2FA775E4-DCBA-4E1A-8E4C-068981B7A349}" destId="{15B7AC98-09CB-4895-A98E-E6840BC82D89}" srcOrd="1" destOrd="0" parTransId="{0CC948F2-0023-4088-B541-6D7207A5A3B0}" sibTransId="{6BE876F6-B7D8-4112-90FC-9D40B8588CB8}"/>
    <dgm:cxn modelId="{A36438D9-7E16-4018-B1BD-152506506B92}" srcId="{2FA775E4-DCBA-4E1A-8E4C-068981B7A349}" destId="{B0241D49-6BE1-42C5-98C4-3DC78B8DE762}" srcOrd="0" destOrd="0" parTransId="{EAB98874-19FB-4C8A-B59C-75097F0BD3F5}" sibTransId="{F5359A90-1220-47F5-A392-29F2EDFD8282}"/>
    <dgm:cxn modelId="{7848CF8E-26E3-40BB-BC90-450566B2191C}" srcId="{2FA775E4-DCBA-4E1A-8E4C-068981B7A349}" destId="{B4B03819-A0C1-457B-9FA5-AA1EECBB5876}" srcOrd="2" destOrd="0" parTransId="{10358584-713D-4607-ABA5-C2989B73081C}" sibTransId="{238EC895-ED7E-4515-94F3-E260AF6C6438}"/>
    <dgm:cxn modelId="{8C8D4DB1-1E76-47A9-8161-008AAB37E87B}" type="presOf" srcId="{15B7AC98-09CB-4895-A98E-E6840BC82D89}" destId="{C164F408-26BD-454B-8DAE-0C9721505A1D}" srcOrd="0" destOrd="0" presId="urn:microsoft.com/office/officeart/2008/layout/HalfCircleOrganizationChart"/>
    <dgm:cxn modelId="{9F208CF5-EEE2-4EBB-9D24-973052669B52}" type="presOf" srcId="{10358584-713D-4607-ABA5-C2989B73081C}" destId="{5FC42DFC-7E67-47BA-BA12-6396BC6E2F17}" srcOrd="0" destOrd="0" presId="urn:microsoft.com/office/officeart/2008/layout/HalfCircleOrganizationChart"/>
    <dgm:cxn modelId="{DE197863-8D8B-4C21-8EB7-98CFAD37B261}" type="presOf" srcId="{B0241D49-6BE1-42C5-98C4-3DC78B8DE762}" destId="{1FD751AF-2E5F-44B2-8282-7814C768E198}" srcOrd="0" destOrd="0" presId="urn:microsoft.com/office/officeart/2008/layout/HalfCircleOrganizationChart"/>
    <dgm:cxn modelId="{3C20E495-53AF-4801-A5E6-46BE43C1AAC3}" type="presOf" srcId="{EC842F18-0170-4FB3-92F4-D6EF7DAD50D6}" destId="{E668D297-04A5-43F7-B5E0-FBA431F92975}" srcOrd="0" destOrd="0" presId="urn:microsoft.com/office/officeart/2008/layout/HalfCircleOrganizationChart"/>
    <dgm:cxn modelId="{4C50953F-8840-4979-A4DC-EB46A756F2D6}" type="presOf" srcId="{0CC948F2-0023-4088-B541-6D7207A5A3B0}" destId="{5F31F6C0-DF0B-4DA0-8D53-9B0550FA9F4F}" srcOrd="0" destOrd="0" presId="urn:microsoft.com/office/officeart/2008/layout/HalfCircleOrganizationChart"/>
    <dgm:cxn modelId="{3E0BF2D0-DBA3-4462-B9B6-76041AFAB6EB}" type="presOf" srcId="{B4B03819-A0C1-457B-9FA5-AA1EECBB5876}" destId="{B3440E52-5F55-42A0-AA49-5C4C9B5E2C41}" srcOrd="0" destOrd="0" presId="urn:microsoft.com/office/officeart/2008/layout/HalfCircleOrganizationChart"/>
    <dgm:cxn modelId="{9C7B50FE-FB23-4A7C-9109-AD6B2CBB287A}" type="presOf" srcId="{2FA775E4-DCBA-4E1A-8E4C-068981B7A349}" destId="{78D766F4-CBB3-4C45-B582-7EF3F6E9DDFC}" srcOrd="0" destOrd="0" presId="urn:microsoft.com/office/officeart/2008/layout/HalfCircleOrganizationChart"/>
    <dgm:cxn modelId="{C99A315F-906F-40C2-991B-F4ECC6B6385F}" type="presOf" srcId="{B0241D49-6BE1-42C5-98C4-3DC78B8DE762}" destId="{C8A9D35A-7092-4A59-AF47-C22931C854D0}" srcOrd="1" destOrd="0" presId="urn:microsoft.com/office/officeart/2008/layout/HalfCircleOrganizationChart"/>
    <dgm:cxn modelId="{1B22A7E0-C94A-471E-8D99-44288E266F66}" type="presOf" srcId="{EAB98874-19FB-4C8A-B59C-75097F0BD3F5}" destId="{0D88ECF3-05D9-4AD9-B51F-D05AABE63FD2}" srcOrd="0" destOrd="0" presId="urn:microsoft.com/office/officeart/2008/layout/HalfCircleOrganizationChart"/>
    <dgm:cxn modelId="{D9DDB9EC-DD74-49C2-87DD-E3D2915CEA09}" type="presOf" srcId="{B4B03819-A0C1-457B-9FA5-AA1EECBB5876}" destId="{298C3128-785C-484A-8FBD-37BD05627801}" srcOrd="1" destOrd="0" presId="urn:microsoft.com/office/officeart/2008/layout/HalfCircleOrganizationChart"/>
    <dgm:cxn modelId="{4E4A10AE-FDD4-4524-B8EB-760DF1EF0EA4}" type="presOf" srcId="{2FA775E4-DCBA-4E1A-8E4C-068981B7A349}" destId="{0BF557E4-4DD6-458C-B3F4-E4A1E642868D}" srcOrd="1" destOrd="0" presId="urn:microsoft.com/office/officeart/2008/layout/HalfCircleOrganizationChart"/>
    <dgm:cxn modelId="{2A0D79FE-E07B-460B-9F27-C65146E5F4ED}" type="presParOf" srcId="{E668D297-04A5-43F7-B5E0-FBA431F92975}" destId="{294A7039-53D6-46E0-8D56-FA4845379E2B}" srcOrd="0" destOrd="0" presId="urn:microsoft.com/office/officeart/2008/layout/HalfCircleOrganizationChart"/>
    <dgm:cxn modelId="{AC1EB7DD-1BCF-4ABE-A7E5-C56DDEFAA688}" type="presParOf" srcId="{294A7039-53D6-46E0-8D56-FA4845379E2B}" destId="{F3971F44-50C5-4F4B-BDE0-FD6754916897}" srcOrd="0" destOrd="0" presId="urn:microsoft.com/office/officeart/2008/layout/HalfCircleOrganizationChart"/>
    <dgm:cxn modelId="{90852526-8C4B-4D72-BB44-9866EBB0B3E5}" type="presParOf" srcId="{F3971F44-50C5-4F4B-BDE0-FD6754916897}" destId="{78D766F4-CBB3-4C45-B582-7EF3F6E9DDFC}" srcOrd="0" destOrd="0" presId="urn:microsoft.com/office/officeart/2008/layout/HalfCircleOrganizationChart"/>
    <dgm:cxn modelId="{8D3F1EA8-1889-47D5-9561-60711C812F56}" type="presParOf" srcId="{F3971F44-50C5-4F4B-BDE0-FD6754916897}" destId="{8881198C-1AAB-4311-AC36-B48757469B9B}" srcOrd="1" destOrd="0" presId="urn:microsoft.com/office/officeart/2008/layout/HalfCircleOrganizationChart"/>
    <dgm:cxn modelId="{0383BC2A-7126-4331-BAED-D0AD817B8957}" type="presParOf" srcId="{F3971F44-50C5-4F4B-BDE0-FD6754916897}" destId="{B828F671-947D-4FEA-814E-D861EB042CAA}" srcOrd="2" destOrd="0" presId="urn:microsoft.com/office/officeart/2008/layout/HalfCircleOrganizationChart"/>
    <dgm:cxn modelId="{79331E23-0E00-4B5F-B5D8-17EBB4024930}" type="presParOf" srcId="{F3971F44-50C5-4F4B-BDE0-FD6754916897}" destId="{0BF557E4-4DD6-458C-B3F4-E4A1E642868D}" srcOrd="3" destOrd="0" presId="urn:microsoft.com/office/officeart/2008/layout/HalfCircleOrganizationChart"/>
    <dgm:cxn modelId="{DC8611D3-6912-43A0-99E0-ACC2FDB4B8DA}" type="presParOf" srcId="{294A7039-53D6-46E0-8D56-FA4845379E2B}" destId="{BE97EAA6-2855-472A-8AF6-B493D08E1A77}" srcOrd="1" destOrd="0" presId="urn:microsoft.com/office/officeart/2008/layout/HalfCircleOrganizationChart"/>
    <dgm:cxn modelId="{FEA39E60-C424-439A-BF12-2D871E0ACB6C}" type="presParOf" srcId="{BE97EAA6-2855-472A-8AF6-B493D08E1A77}" destId="{0D88ECF3-05D9-4AD9-B51F-D05AABE63FD2}" srcOrd="0" destOrd="0" presId="urn:microsoft.com/office/officeart/2008/layout/HalfCircleOrganizationChart"/>
    <dgm:cxn modelId="{61AA4EA9-5157-4511-9E20-4B169FFD7D5B}" type="presParOf" srcId="{BE97EAA6-2855-472A-8AF6-B493D08E1A77}" destId="{FC323B5B-8DEF-4B4A-AE63-D97B94FF8C0D}" srcOrd="1" destOrd="0" presId="urn:microsoft.com/office/officeart/2008/layout/HalfCircleOrganizationChart"/>
    <dgm:cxn modelId="{EFA4D254-8191-4E29-A449-68397F86B129}" type="presParOf" srcId="{FC323B5B-8DEF-4B4A-AE63-D97B94FF8C0D}" destId="{8072CBEE-CFB1-4DB7-9E22-3E9602ADDBDC}" srcOrd="0" destOrd="0" presId="urn:microsoft.com/office/officeart/2008/layout/HalfCircleOrganizationChart"/>
    <dgm:cxn modelId="{8E5A223C-F17D-44BB-A533-D881CABACC72}" type="presParOf" srcId="{8072CBEE-CFB1-4DB7-9E22-3E9602ADDBDC}" destId="{1FD751AF-2E5F-44B2-8282-7814C768E198}" srcOrd="0" destOrd="0" presId="urn:microsoft.com/office/officeart/2008/layout/HalfCircleOrganizationChart"/>
    <dgm:cxn modelId="{9B3B9EAC-20E9-4C49-B333-EEC57BB0EC56}" type="presParOf" srcId="{8072CBEE-CFB1-4DB7-9E22-3E9602ADDBDC}" destId="{E6C359AA-59AF-4797-84DD-0AF160D7863C}" srcOrd="1" destOrd="0" presId="urn:microsoft.com/office/officeart/2008/layout/HalfCircleOrganizationChart"/>
    <dgm:cxn modelId="{3ABD15F7-1BB4-4535-9DC5-01C0B3B11557}" type="presParOf" srcId="{8072CBEE-CFB1-4DB7-9E22-3E9602ADDBDC}" destId="{9978CD2A-9B2B-4C62-95FE-FEEA8DA14B3A}" srcOrd="2" destOrd="0" presId="urn:microsoft.com/office/officeart/2008/layout/HalfCircleOrganizationChart"/>
    <dgm:cxn modelId="{CB86E47A-C5EA-4381-82EB-827876046CED}" type="presParOf" srcId="{8072CBEE-CFB1-4DB7-9E22-3E9602ADDBDC}" destId="{C8A9D35A-7092-4A59-AF47-C22931C854D0}" srcOrd="3" destOrd="0" presId="urn:microsoft.com/office/officeart/2008/layout/HalfCircleOrganizationChart"/>
    <dgm:cxn modelId="{0E457573-19DD-4DC9-8527-DD3038E713D9}" type="presParOf" srcId="{FC323B5B-8DEF-4B4A-AE63-D97B94FF8C0D}" destId="{6D7E02CA-3929-4250-92AD-C6EBBDC44DCC}" srcOrd="1" destOrd="0" presId="urn:microsoft.com/office/officeart/2008/layout/HalfCircleOrganizationChart"/>
    <dgm:cxn modelId="{46A69EE5-8613-41F4-8599-E87C39F5944E}" type="presParOf" srcId="{FC323B5B-8DEF-4B4A-AE63-D97B94FF8C0D}" destId="{2E006F00-0ACB-4DD0-B152-6CCBEC489D05}" srcOrd="2" destOrd="0" presId="urn:microsoft.com/office/officeart/2008/layout/HalfCircleOrganizationChart"/>
    <dgm:cxn modelId="{DD37D54B-D421-4657-8E8B-95F12D32AB35}" type="presParOf" srcId="{BE97EAA6-2855-472A-8AF6-B493D08E1A77}" destId="{5F31F6C0-DF0B-4DA0-8D53-9B0550FA9F4F}" srcOrd="2" destOrd="0" presId="urn:microsoft.com/office/officeart/2008/layout/HalfCircleOrganizationChart"/>
    <dgm:cxn modelId="{794B4428-6649-428A-8767-307535FAF24F}" type="presParOf" srcId="{BE97EAA6-2855-472A-8AF6-B493D08E1A77}" destId="{57F849C6-E123-4A8E-BDF6-8E8CB0CA1C4F}" srcOrd="3" destOrd="0" presId="urn:microsoft.com/office/officeart/2008/layout/HalfCircleOrganizationChart"/>
    <dgm:cxn modelId="{076A4D53-6324-45B1-9A2B-6FBA5649C9AB}" type="presParOf" srcId="{57F849C6-E123-4A8E-BDF6-8E8CB0CA1C4F}" destId="{107EC13D-0424-4F6E-B080-8FEF0BA2D25A}" srcOrd="0" destOrd="0" presId="urn:microsoft.com/office/officeart/2008/layout/HalfCircleOrganizationChart"/>
    <dgm:cxn modelId="{680B79D9-7817-41D7-810E-F70D5099556D}" type="presParOf" srcId="{107EC13D-0424-4F6E-B080-8FEF0BA2D25A}" destId="{C164F408-26BD-454B-8DAE-0C9721505A1D}" srcOrd="0" destOrd="0" presId="urn:microsoft.com/office/officeart/2008/layout/HalfCircleOrganizationChart"/>
    <dgm:cxn modelId="{88F9A448-0539-4416-9404-03832A26DC1E}" type="presParOf" srcId="{107EC13D-0424-4F6E-B080-8FEF0BA2D25A}" destId="{BE0100FF-8028-47F2-8358-E604FC8F4335}" srcOrd="1" destOrd="0" presId="urn:microsoft.com/office/officeart/2008/layout/HalfCircleOrganizationChart"/>
    <dgm:cxn modelId="{88B72042-93D9-4048-9407-377CDF5F706B}" type="presParOf" srcId="{107EC13D-0424-4F6E-B080-8FEF0BA2D25A}" destId="{7C45171E-6312-4A09-AE1F-88AB1FE59587}" srcOrd="2" destOrd="0" presId="urn:microsoft.com/office/officeart/2008/layout/HalfCircleOrganizationChart"/>
    <dgm:cxn modelId="{EC810600-1674-48E1-B3E5-C224F1C87F0C}" type="presParOf" srcId="{107EC13D-0424-4F6E-B080-8FEF0BA2D25A}" destId="{8910E02D-5D8D-4851-9C97-1952CA15A677}" srcOrd="3" destOrd="0" presId="urn:microsoft.com/office/officeart/2008/layout/HalfCircleOrganizationChart"/>
    <dgm:cxn modelId="{D4B62C47-722F-46E4-83F3-CD2049564CD1}" type="presParOf" srcId="{57F849C6-E123-4A8E-BDF6-8E8CB0CA1C4F}" destId="{EB1B0F5A-634F-4675-9F05-50F10265355F}" srcOrd="1" destOrd="0" presId="urn:microsoft.com/office/officeart/2008/layout/HalfCircleOrganizationChart"/>
    <dgm:cxn modelId="{E4856E3E-E408-4850-BA6C-C4360C38D2E4}" type="presParOf" srcId="{57F849C6-E123-4A8E-BDF6-8E8CB0CA1C4F}" destId="{6F68E21D-1780-420C-8CE7-64E0EC6EA4B8}" srcOrd="2" destOrd="0" presId="urn:microsoft.com/office/officeart/2008/layout/HalfCircleOrganizationChart"/>
    <dgm:cxn modelId="{9C02609A-17AA-44E5-8DB6-6CA9F554DD78}" type="presParOf" srcId="{BE97EAA6-2855-472A-8AF6-B493D08E1A77}" destId="{5FC42DFC-7E67-47BA-BA12-6396BC6E2F17}" srcOrd="4" destOrd="0" presId="urn:microsoft.com/office/officeart/2008/layout/HalfCircleOrganizationChart"/>
    <dgm:cxn modelId="{F7A2D881-D099-43C6-BF1D-76AD44A23650}" type="presParOf" srcId="{BE97EAA6-2855-472A-8AF6-B493D08E1A77}" destId="{A09E4E18-FC54-4E92-9AD9-556CAF0A233A}" srcOrd="5" destOrd="0" presId="urn:microsoft.com/office/officeart/2008/layout/HalfCircleOrganizationChart"/>
    <dgm:cxn modelId="{A696DD99-E90F-4DB6-8155-C62EFBEE6624}" type="presParOf" srcId="{A09E4E18-FC54-4E92-9AD9-556CAF0A233A}" destId="{9F1065CE-24D8-426F-92B9-7ABF78A1A877}" srcOrd="0" destOrd="0" presId="urn:microsoft.com/office/officeart/2008/layout/HalfCircleOrganizationChart"/>
    <dgm:cxn modelId="{D92780F9-4CCD-4B10-B261-4398FE1D97FA}" type="presParOf" srcId="{9F1065CE-24D8-426F-92B9-7ABF78A1A877}" destId="{B3440E52-5F55-42A0-AA49-5C4C9B5E2C41}" srcOrd="0" destOrd="0" presId="urn:microsoft.com/office/officeart/2008/layout/HalfCircleOrganizationChart"/>
    <dgm:cxn modelId="{9A9BFC84-6BAB-4162-BBB4-30934FFED84A}" type="presParOf" srcId="{9F1065CE-24D8-426F-92B9-7ABF78A1A877}" destId="{7B456C59-6C73-4EF3-AD9F-4DED9F35B98F}" srcOrd="1" destOrd="0" presId="urn:microsoft.com/office/officeart/2008/layout/HalfCircleOrganizationChart"/>
    <dgm:cxn modelId="{45697192-F664-410C-8424-5F2049039759}" type="presParOf" srcId="{9F1065CE-24D8-426F-92B9-7ABF78A1A877}" destId="{F083CD92-477B-4C2E-8B42-F2D70961D78F}" srcOrd="2" destOrd="0" presId="urn:microsoft.com/office/officeart/2008/layout/HalfCircleOrganizationChart"/>
    <dgm:cxn modelId="{3F67ADE0-7FA3-4581-85C9-387CD1F9B76F}" type="presParOf" srcId="{9F1065CE-24D8-426F-92B9-7ABF78A1A877}" destId="{298C3128-785C-484A-8FBD-37BD05627801}" srcOrd="3" destOrd="0" presId="urn:microsoft.com/office/officeart/2008/layout/HalfCircleOrganizationChart"/>
    <dgm:cxn modelId="{03FE3EF5-108D-4EF4-A079-43B733EDF01A}" type="presParOf" srcId="{A09E4E18-FC54-4E92-9AD9-556CAF0A233A}" destId="{2CE7E242-4C4E-4EEA-A3CB-8D52D7453942}" srcOrd="1" destOrd="0" presId="urn:microsoft.com/office/officeart/2008/layout/HalfCircleOrganizationChart"/>
    <dgm:cxn modelId="{C2546ED2-CD77-43AD-B169-7A330492E7FF}" type="presParOf" srcId="{A09E4E18-FC54-4E92-9AD9-556CAF0A233A}" destId="{F323197F-F2CF-4419-B87B-7D9431D233B5}" srcOrd="2" destOrd="0" presId="urn:microsoft.com/office/officeart/2008/layout/HalfCircleOrganizationChart"/>
    <dgm:cxn modelId="{37BD6B3A-79DD-4BDE-A952-3AB0DC26CE16}" type="presParOf" srcId="{294A7039-53D6-46E0-8D56-FA4845379E2B}" destId="{A6D92161-BE9D-4CB7-8475-F2E9DAA41829}" srcOrd="2" destOrd="0" presId="urn:microsoft.com/office/officeart/2008/layout/HalfCircleOrganization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42DFC-7E67-47BA-BA12-6396BC6E2F17}">
      <dsp:nvSpPr>
        <dsp:cNvPr id="0" name=""/>
        <dsp:cNvSpPr/>
      </dsp:nvSpPr>
      <dsp:spPr>
        <a:xfrm>
          <a:off x="3060064" y="1355661"/>
          <a:ext cx="2165018" cy="375746"/>
        </a:xfrm>
        <a:custGeom>
          <a:avLst/>
          <a:gdLst/>
          <a:ahLst/>
          <a:cxnLst/>
          <a:rect l="0" t="0" r="0" b="0"/>
          <a:pathLst>
            <a:path>
              <a:moveTo>
                <a:pt x="0" y="0"/>
              </a:moveTo>
              <a:lnTo>
                <a:pt x="0" y="187873"/>
              </a:lnTo>
              <a:lnTo>
                <a:pt x="2165018" y="187873"/>
              </a:lnTo>
              <a:lnTo>
                <a:pt x="2165018" y="3757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31F6C0-DF0B-4DA0-8D53-9B0550FA9F4F}">
      <dsp:nvSpPr>
        <dsp:cNvPr id="0" name=""/>
        <dsp:cNvSpPr/>
      </dsp:nvSpPr>
      <dsp:spPr>
        <a:xfrm>
          <a:off x="3014344" y="1355661"/>
          <a:ext cx="91440" cy="375746"/>
        </a:xfrm>
        <a:custGeom>
          <a:avLst/>
          <a:gdLst/>
          <a:ahLst/>
          <a:cxnLst/>
          <a:rect l="0" t="0" r="0" b="0"/>
          <a:pathLst>
            <a:path>
              <a:moveTo>
                <a:pt x="45720" y="0"/>
              </a:moveTo>
              <a:lnTo>
                <a:pt x="45720" y="3757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88ECF3-05D9-4AD9-B51F-D05AABE63FD2}">
      <dsp:nvSpPr>
        <dsp:cNvPr id="0" name=""/>
        <dsp:cNvSpPr/>
      </dsp:nvSpPr>
      <dsp:spPr>
        <a:xfrm>
          <a:off x="895046" y="1355661"/>
          <a:ext cx="2165018" cy="375746"/>
        </a:xfrm>
        <a:custGeom>
          <a:avLst/>
          <a:gdLst/>
          <a:ahLst/>
          <a:cxnLst/>
          <a:rect l="0" t="0" r="0" b="0"/>
          <a:pathLst>
            <a:path>
              <a:moveTo>
                <a:pt x="2165018" y="0"/>
              </a:moveTo>
              <a:lnTo>
                <a:pt x="2165018" y="187873"/>
              </a:lnTo>
              <a:lnTo>
                <a:pt x="0" y="187873"/>
              </a:lnTo>
              <a:lnTo>
                <a:pt x="0" y="3757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81198C-1AAB-4311-AC36-B48757469B9B}">
      <dsp:nvSpPr>
        <dsp:cNvPr id="0" name=""/>
        <dsp:cNvSpPr/>
      </dsp:nvSpPr>
      <dsp:spPr>
        <a:xfrm>
          <a:off x="2518582" y="461025"/>
          <a:ext cx="1082965" cy="894635"/>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28F671-947D-4FEA-814E-D861EB042CAA}">
      <dsp:nvSpPr>
        <dsp:cNvPr id="0" name=""/>
        <dsp:cNvSpPr/>
      </dsp:nvSpPr>
      <dsp:spPr>
        <a:xfrm>
          <a:off x="2518582" y="461025"/>
          <a:ext cx="1082965" cy="894635"/>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D766F4-CBB3-4C45-B582-7EF3F6E9DDFC}">
      <dsp:nvSpPr>
        <dsp:cNvPr id="0" name=""/>
        <dsp:cNvSpPr/>
      </dsp:nvSpPr>
      <dsp:spPr>
        <a:xfrm>
          <a:off x="1977099" y="622059"/>
          <a:ext cx="2165930" cy="57256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dirty="0" smtClean="0"/>
            <a:t>201</a:t>
          </a:r>
          <a:r>
            <a:rPr lang="en-GB" sz="1200" b="1" kern="1200" dirty="0" smtClean="0"/>
            <a:t>9</a:t>
          </a:r>
          <a:r>
            <a:rPr lang="lt-LT" sz="1200" b="1" kern="1200" dirty="0" smtClean="0"/>
            <a:t> M. TIKSLAI</a:t>
          </a:r>
          <a:endParaRPr lang="lt-LT" sz="1200" b="1" kern="1200" dirty="0"/>
        </a:p>
      </dsp:txBody>
      <dsp:txXfrm>
        <a:off x="1977099" y="622059"/>
        <a:ext cx="2165930" cy="572566"/>
      </dsp:txXfrm>
    </dsp:sp>
    <dsp:sp modelId="{E6C359AA-59AF-4797-84DD-0AF160D7863C}">
      <dsp:nvSpPr>
        <dsp:cNvPr id="0" name=""/>
        <dsp:cNvSpPr/>
      </dsp:nvSpPr>
      <dsp:spPr>
        <a:xfrm>
          <a:off x="447728" y="1731407"/>
          <a:ext cx="894635" cy="894635"/>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78CD2A-9B2B-4C62-95FE-FEEA8DA14B3A}">
      <dsp:nvSpPr>
        <dsp:cNvPr id="0" name=""/>
        <dsp:cNvSpPr/>
      </dsp:nvSpPr>
      <dsp:spPr>
        <a:xfrm>
          <a:off x="447728" y="1731407"/>
          <a:ext cx="894635" cy="894635"/>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D751AF-2E5F-44B2-8282-7814C768E198}">
      <dsp:nvSpPr>
        <dsp:cNvPr id="0" name=""/>
        <dsp:cNvSpPr/>
      </dsp:nvSpPr>
      <dsp:spPr>
        <a:xfrm>
          <a:off x="410" y="1892442"/>
          <a:ext cx="1789271" cy="57256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dirty="0" smtClean="0"/>
            <a:t>INVESTICIJOS Į POKYČIUS STRATEGINĖSE SRITYSE</a:t>
          </a:r>
          <a:endParaRPr lang="lt-LT" sz="1200" b="1" kern="1200" dirty="0"/>
        </a:p>
      </dsp:txBody>
      <dsp:txXfrm>
        <a:off x="410" y="1892442"/>
        <a:ext cx="1789271" cy="572566"/>
      </dsp:txXfrm>
    </dsp:sp>
    <dsp:sp modelId="{BE0100FF-8028-47F2-8358-E604FC8F4335}">
      <dsp:nvSpPr>
        <dsp:cNvPr id="0" name=""/>
        <dsp:cNvSpPr/>
      </dsp:nvSpPr>
      <dsp:spPr>
        <a:xfrm>
          <a:off x="2612747" y="1731407"/>
          <a:ext cx="894635" cy="894635"/>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45171E-6312-4A09-AE1F-88AB1FE59587}">
      <dsp:nvSpPr>
        <dsp:cNvPr id="0" name=""/>
        <dsp:cNvSpPr/>
      </dsp:nvSpPr>
      <dsp:spPr>
        <a:xfrm>
          <a:off x="2612747" y="1731407"/>
          <a:ext cx="894635" cy="894635"/>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64F408-26BD-454B-8DAE-0C9721505A1D}">
      <dsp:nvSpPr>
        <dsp:cNvPr id="0" name=""/>
        <dsp:cNvSpPr/>
      </dsp:nvSpPr>
      <dsp:spPr>
        <a:xfrm>
          <a:off x="2165429" y="1892442"/>
          <a:ext cx="1789271" cy="57256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dirty="0" smtClean="0"/>
            <a:t>PASIRENGIMAS POST 2020 INVESTICIJOMS</a:t>
          </a:r>
          <a:endParaRPr lang="lt-LT" sz="1200" b="1" kern="1200" dirty="0"/>
        </a:p>
      </dsp:txBody>
      <dsp:txXfrm>
        <a:off x="2165429" y="1892442"/>
        <a:ext cx="1789271" cy="572566"/>
      </dsp:txXfrm>
    </dsp:sp>
    <dsp:sp modelId="{7B456C59-6C73-4EF3-AD9F-4DED9F35B98F}">
      <dsp:nvSpPr>
        <dsp:cNvPr id="0" name=""/>
        <dsp:cNvSpPr/>
      </dsp:nvSpPr>
      <dsp:spPr>
        <a:xfrm>
          <a:off x="4777765" y="1731407"/>
          <a:ext cx="894635" cy="894635"/>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83CD92-477B-4C2E-8B42-F2D70961D78F}">
      <dsp:nvSpPr>
        <dsp:cNvPr id="0" name=""/>
        <dsp:cNvSpPr/>
      </dsp:nvSpPr>
      <dsp:spPr>
        <a:xfrm>
          <a:off x="4777765" y="1731407"/>
          <a:ext cx="894635" cy="894635"/>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440E52-5F55-42A0-AA49-5C4C9B5E2C41}">
      <dsp:nvSpPr>
        <dsp:cNvPr id="0" name=""/>
        <dsp:cNvSpPr/>
      </dsp:nvSpPr>
      <dsp:spPr>
        <a:xfrm>
          <a:off x="4330447" y="1892442"/>
          <a:ext cx="1789271" cy="57256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dirty="0" smtClean="0"/>
            <a:t>E</a:t>
          </a:r>
          <a:r>
            <a:rPr lang="en-GB" sz="1200" b="1" kern="1200" dirty="0" smtClean="0"/>
            <a:t>F</a:t>
          </a:r>
          <a:r>
            <a:rPr lang="lt-LT" sz="1200" b="1" kern="1200" dirty="0" smtClean="0"/>
            <a:t>EKTYVI IR LANKSTI </a:t>
          </a:r>
          <a:r>
            <a:rPr lang="en-GB" sz="1200" b="1" kern="1200" dirty="0" smtClean="0"/>
            <a:t>VKS</a:t>
          </a:r>
          <a:endParaRPr lang="lt-LT" sz="1200" b="1" kern="1200" dirty="0"/>
        </a:p>
      </dsp:txBody>
      <dsp:txXfrm>
        <a:off x="4330447" y="1892442"/>
        <a:ext cx="1789271" cy="572566"/>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0.83458</cdr:x>
      <cdr:y>0.06338</cdr:y>
    </cdr:from>
    <cdr:to>
      <cdr:x>0.91573</cdr:x>
      <cdr:y>0.15845</cdr:y>
    </cdr:to>
    <cdr:sp macro="" textlink="">
      <cdr:nvSpPr>
        <cdr:cNvPr id="2" name="TextBox 1"/>
        <cdr:cNvSpPr txBox="1"/>
      </cdr:nvSpPr>
      <cdr:spPr>
        <a:xfrm xmlns:a="http://schemas.openxmlformats.org/drawingml/2006/main">
          <a:off x="6367462" y="214313"/>
          <a:ext cx="619125" cy="3214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0.83054</cdr:x>
      <cdr:y>0.10705</cdr:y>
    </cdr:from>
    <cdr:to>
      <cdr:x>0.94758</cdr:x>
      <cdr:y>0.17747</cdr:y>
    </cdr:to>
    <cdr:sp macro="" textlink="">
      <cdr:nvSpPr>
        <cdr:cNvPr id="3" name="TextBox 2"/>
        <cdr:cNvSpPr txBox="1"/>
      </cdr:nvSpPr>
      <cdr:spPr>
        <a:xfrm xmlns:a="http://schemas.openxmlformats.org/drawingml/2006/main">
          <a:off x="7064435" y="361960"/>
          <a:ext cx="995521" cy="2381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0.79874</cdr:x>
      <cdr:y>0.23176</cdr:y>
    </cdr:from>
    <cdr:to>
      <cdr:x>0.99989</cdr:x>
      <cdr:y>0.32019</cdr:y>
    </cdr:to>
    <cdr:sp macro="" textlink="">
      <cdr:nvSpPr>
        <cdr:cNvPr id="4" name="TextBox 3"/>
        <cdr:cNvSpPr txBox="1"/>
      </cdr:nvSpPr>
      <cdr:spPr>
        <a:xfrm xmlns:a="http://schemas.openxmlformats.org/drawingml/2006/main">
          <a:off x="4888382" y="664611"/>
          <a:ext cx="1231064" cy="253587"/>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r"/>
          <a:r>
            <a:rPr lang="lt-LT" sz="1000" b="1"/>
            <a:t>Iš viso: </a:t>
          </a:r>
          <a:r>
            <a:rPr lang="en-US" sz="1000" b="1"/>
            <a:t>5 </a:t>
          </a:r>
          <a:r>
            <a:rPr lang="lt-LT" sz="1000" b="1"/>
            <a:t>509</a:t>
          </a:r>
          <a:r>
            <a:rPr lang="lt-LT" sz="1000" b="1" baseline="0"/>
            <a:t> (82</a:t>
          </a:r>
          <a:r>
            <a:rPr lang="en-US" sz="1000" b="1" baseline="0"/>
            <a:t>%)</a:t>
          </a:r>
          <a:endParaRPr lang="lt-LT" sz="1000" b="1"/>
        </a:p>
      </cdr:txBody>
    </cdr:sp>
  </cdr:relSizeAnchor>
  <cdr:relSizeAnchor xmlns:cdr="http://schemas.openxmlformats.org/drawingml/2006/chartDrawing">
    <cdr:from>
      <cdr:x>0.88118</cdr:x>
      <cdr:y>0.04567</cdr:y>
    </cdr:from>
    <cdr:to>
      <cdr:x>0.98201</cdr:x>
      <cdr:y>0.13017</cdr:y>
    </cdr:to>
    <cdr:sp macro="" textlink="">
      <cdr:nvSpPr>
        <cdr:cNvPr id="6" name="TextBox 1"/>
        <cdr:cNvSpPr txBox="1"/>
      </cdr:nvSpPr>
      <cdr:spPr>
        <a:xfrm xmlns:a="http://schemas.openxmlformats.org/drawingml/2006/main">
          <a:off x="5392960" y="130979"/>
          <a:ext cx="617092" cy="2423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b="1" baseline="0"/>
            <a:t>(</a:t>
          </a:r>
          <a:r>
            <a:rPr lang="en-US" sz="1000" b="1" baseline="0"/>
            <a:t>100%)</a:t>
          </a:r>
          <a:endParaRPr lang="lt-LT" sz="1000" b="1"/>
        </a:p>
      </cdr:txBody>
    </cdr:sp>
  </cdr:relSizeAnchor>
  <cdr:relSizeAnchor xmlns:cdr="http://schemas.openxmlformats.org/drawingml/2006/chartDrawing">
    <cdr:from>
      <cdr:x>0.7345</cdr:x>
      <cdr:y>0.41275</cdr:y>
    </cdr:from>
    <cdr:to>
      <cdr:x>0.93515</cdr:x>
      <cdr:y>0.49052</cdr:y>
    </cdr:to>
    <cdr:sp macro="" textlink="">
      <cdr:nvSpPr>
        <cdr:cNvPr id="7" name="TextBox 1"/>
        <cdr:cNvSpPr txBox="1"/>
      </cdr:nvSpPr>
      <cdr:spPr>
        <a:xfrm xmlns:a="http://schemas.openxmlformats.org/drawingml/2006/main">
          <a:off x="4495266" y="1183624"/>
          <a:ext cx="1228004" cy="2230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lt-LT" sz="1050" b="1">
              <a:effectLst/>
              <a:latin typeface="+mn-lt"/>
              <a:ea typeface="+mn-ea"/>
              <a:cs typeface="+mn-cs"/>
            </a:rPr>
            <a:t>Iš viso:</a:t>
          </a:r>
          <a:r>
            <a:rPr lang="lt-LT" sz="1050" b="1" baseline="0">
              <a:effectLst/>
              <a:latin typeface="+mn-lt"/>
              <a:ea typeface="+mn-ea"/>
              <a:cs typeface="+mn-cs"/>
            </a:rPr>
            <a:t> </a:t>
          </a:r>
          <a:r>
            <a:rPr lang="lt-LT" sz="1000" b="1" baseline="0">
              <a:effectLst/>
              <a:latin typeface="+mn-lt"/>
              <a:ea typeface="+mn-ea"/>
              <a:cs typeface="+mn-cs"/>
            </a:rPr>
            <a:t>4 271</a:t>
          </a:r>
          <a:r>
            <a:rPr lang="en-US" sz="1000" b="1"/>
            <a:t> </a:t>
          </a:r>
          <a:r>
            <a:rPr lang="lt-LT" sz="1000" b="1" baseline="0"/>
            <a:t>(64</a:t>
          </a:r>
          <a:r>
            <a:rPr lang="en-US" sz="1000" b="1" baseline="0"/>
            <a:t>%)</a:t>
          </a:r>
          <a:endParaRPr lang="lt-LT" sz="1000" b="1"/>
        </a:p>
      </cdr:txBody>
    </cdr:sp>
  </cdr:relSizeAnchor>
  <cdr:relSizeAnchor xmlns:cdr="http://schemas.openxmlformats.org/drawingml/2006/chartDrawing">
    <cdr:from>
      <cdr:x>0.59736</cdr:x>
      <cdr:y>0.58488</cdr:y>
    </cdr:from>
    <cdr:to>
      <cdr:x>0.7994</cdr:x>
      <cdr:y>0.6579</cdr:y>
    </cdr:to>
    <cdr:sp macro="" textlink="">
      <cdr:nvSpPr>
        <cdr:cNvPr id="8" name="TextBox 1"/>
        <cdr:cNvSpPr txBox="1"/>
      </cdr:nvSpPr>
      <cdr:spPr>
        <a:xfrm xmlns:a="http://schemas.openxmlformats.org/drawingml/2006/main">
          <a:off x="3655902" y="1677235"/>
          <a:ext cx="1236511" cy="2093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lt-LT" sz="1050" b="1">
              <a:effectLst/>
              <a:latin typeface="+mn-lt"/>
              <a:ea typeface="+mn-ea"/>
              <a:cs typeface="+mn-cs"/>
            </a:rPr>
            <a:t>Iš viso:</a:t>
          </a:r>
          <a:r>
            <a:rPr lang="lt-LT" sz="1050" b="1" baseline="0">
              <a:effectLst/>
              <a:latin typeface="+mn-lt"/>
              <a:ea typeface="+mn-ea"/>
              <a:cs typeface="+mn-cs"/>
            </a:rPr>
            <a:t> </a:t>
          </a:r>
          <a:r>
            <a:rPr lang="lt-LT" sz="1000" b="1" baseline="0">
              <a:effectLst/>
              <a:latin typeface="+mn-lt"/>
              <a:ea typeface="+mn-ea"/>
              <a:cs typeface="+mn-cs"/>
            </a:rPr>
            <a:t>2 022</a:t>
          </a:r>
          <a:r>
            <a:rPr lang="en-US" sz="1000" b="1"/>
            <a:t> </a:t>
          </a:r>
          <a:r>
            <a:rPr lang="lt-LT" sz="1000" b="1" baseline="0"/>
            <a:t>(30</a:t>
          </a:r>
          <a:r>
            <a:rPr lang="en-US" sz="1000" b="1" baseline="0"/>
            <a:t>%)</a:t>
          </a:r>
          <a:endParaRPr lang="lt-LT" sz="1000" b="1"/>
        </a:p>
      </cdr:txBody>
    </cdr:sp>
  </cdr:relSizeAnchor>
  <cdr:relSizeAnchor xmlns:cdr="http://schemas.openxmlformats.org/drawingml/2006/chartDrawing">
    <cdr:from>
      <cdr:x>0.57435</cdr:x>
      <cdr:y>0.76697</cdr:y>
    </cdr:from>
    <cdr:to>
      <cdr:x>0.78663</cdr:x>
      <cdr:y>0.84582</cdr:y>
    </cdr:to>
    <cdr:sp macro="" textlink="">
      <cdr:nvSpPr>
        <cdr:cNvPr id="9" name="TextBox 1"/>
        <cdr:cNvSpPr txBox="1"/>
      </cdr:nvSpPr>
      <cdr:spPr>
        <a:xfrm xmlns:a="http://schemas.openxmlformats.org/drawingml/2006/main">
          <a:off x="3515104" y="2199395"/>
          <a:ext cx="1299181" cy="2261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lt-LT" sz="1050" b="1">
              <a:effectLst/>
              <a:latin typeface="+mn-lt"/>
              <a:ea typeface="+mn-ea"/>
              <a:cs typeface="+mn-cs"/>
            </a:rPr>
            <a:t>Iš viso:</a:t>
          </a:r>
          <a:r>
            <a:rPr lang="lt-LT" sz="1050" b="1" baseline="0">
              <a:effectLst/>
              <a:latin typeface="+mn-lt"/>
              <a:ea typeface="+mn-ea"/>
              <a:cs typeface="+mn-cs"/>
            </a:rPr>
            <a:t> </a:t>
          </a:r>
          <a:r>
            <a:rPr lang="en-US" sz="1000" b="1" baseline="0"/>
            <a:t>1 </a:t>
          </a:r>
          <a:r>
            <a:rPr lang="lt-LT" sz="1000" b="1" baseline="0"/>
            <a:t>805 (</a:t>
          </a:r>
          <a:r>
            <a:rPr lang="en-US" sz="1000" b="1" baseline="0"/>
            <a:t>2</a:t>
          </a:r>
          <a:r>
            <a:rPr lang="lt-LT" sz="1000" b="1" baseline="0"/>
            <a:t>7</a:t>
          </a:r>
          <a:r>
            <a:rPr lang="en-US" sz="1000" b="1" baseline="0"/>
            <a:t>%)</a:t>
          </a:r>
          <a:endParaRPr lang="lt-LT" sz="1000" b="1"/>
        </a:p>
      </cdr:txBody>
    </cdr:sp>
  </cdr:relSizeAnchor>
</c:userShapes>
</file>

<file path=word/drawings/drawing2.xml><?xml version="1.0" encoding="utf-8"?>
<c:userShapes xmlns:c="http://schemas.openxmlformats.org/drawingml/2006/chart">
  <cdr:relSizeAnchor xmlns:cdr="http://schemas.openxmlformats.org/drawingml/2006/chartDrawing">
    <cdr:from>
      <cdr:x>0.29314</cdr:x>
      <cdr:y>0.35802</cdr:y>
    </cdr:from>
    <cdr:to>
      <cdr:x>0.39184</cdr:x>
      <cdr:y>0.4315</cdr:y>
    </cdr:to>
    <cdr:sp macro="" textlink="">
      <cdr:nvSpPr>
        <cdr:cNvPr id="2" name="TextBox 5"/>
        <cdr:cNvSpPr txBox="1"/>
      </cdr:nvSpPr>
      <cdr:spPr>
        <a:xfrm xmlns:a="http://schemas.openxmlformats.org/drawingml/2006/main">
          <a:off x="1574800" y="1289050"/>
          <a:ext cx="530225"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120</a:t>
          </a:r>
          <a:endParaRPr lang="lt-LT" sz="1100"/>
        </a:p>
      </cdr:txBody>
    </cdr:sp>
  </cdr:relSizeAnchor>
  <cdr:relSizeAnchor xmlns:cdr="http://schemas.openxmlformats.org/drawingml/2006/chartDrawing">
    <cdr:from>
      <cdr:x>0.38712</cdr:x>
      <cdr:y>0.13845</cdr:y>
    </cdr:from>
    <cdr:to>
      <cdr:x>0.48641</cdr:x>
      <cdr:y>0.21193</cdr:y>
    </cdr:to>
    <cdr:sp macro="" textlink="">
      <cdr:nvSpPr>
        <cdr:cNvPr id="3" name="TextBox 5"/>
        <cdr:cNvSpPr txBox="1"/>
      </cdr:nvSpPr>
      <cdr:spPr>
        <a:xfrm xmlns:a="http://schemas.openxmlformats.org/drawingml/2006/main">
          <a:off x="2079625" y="498475"/>
          <a:ext cx="53340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194</a:t>
          </a:r>
          <a:r>
            <a:rPr lang="lt-LT" sz="1100"/>
            <a:t>.</a:t>
          </a:r>
          <a:r>
            <a:rPr lang="en-US" sz="1100"/>
            <a:t>7</a:t>
          </a:r>
          <a:endParaRPr lang="lt-LT" sz="1100"/>
        </a:p>
      </cdr:txBody>
    </cdr:sp>
  </cdr:relSizeAnchor>
  <cdr:relSizeAnchor xmlns:cdr="http://schemas.openxmlformats.org/drawingml/2006/chartDrawing">
    <cdr:from>
      <cdr:x>0.4935</cdr:x>
      <cdr:y>0.54586</cdr:y>
    </cdr:from>
    <cdr:to>
      <cdr:x>0.59279</cdr:x>
      <cdr:y>0.61934</cdr:y>
    </cdr:to>
    <cdr:sp macro="" textlink="">
      <cdr:nvSpPr>
        <cdr:cNvPr id="4" name="TextBox 5"/>
        <cdr:cNvSpPr txBox="1"/>
      </cdr:nvSpPr>
      <cdr:spPr>
        <a:xfrm xmlns:a="http://schemas.openxmlformats.org/drawingml/2006/main">
          <a:off x="2651125" y="1965325"/>
          <a:ext cx="53340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55,8</a:t>
          </a:r>
          <a:endParaRPr lang="lt-LT" sz="1100"/>
        </a:p>
      </cdr:txBody>
    </cdr:sp>
  </cdr:relSizeAnchor>
  <cdr:relSizeAnchor xmlns:cdr="http://schemas.openxmlformats.org/drawingml/2006/chartDrawing">
    <cdr:from>
      <cdr:x>0.58215</cdr:x>
      <cdr:y>0.06702</cdr:y>
    </cdr:from>
    <cdr:to>
      <cdr:x>0.68144</cdr:x>
      <cdr:y>0.1405</cdr:y>
    </cdr:to>
    <cdr:sp macro="" textlink="">
      <cdr:nvSpPr>
        <cdr:cNvPr id="5" name="TextBox 5"/>
        <cdr:cNvSpPr txBox="1"/>
      </cdr:nvSpPr>
      <cdr:spPr>
        <a:xfrm xmlns:a="http://schemas.openxmlformats.org/drawingml/2006/main">
          <a:off x="3127375" y="241300"/>
          <a:ext cx="53340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220</a:t>
          </a:r>
          <a:r>
            <a:rPr lang="lt-LT" sz="1100"/>
            <a:t>.</a:t>
          </a:r>
          <a:r>
            <a:rPr lang="en-US" sz="1100"/>
            <a:t>2</a:t>
          </a:r>
          <a:endParaRPr lang="lt-LT" sz="1100"/>
        </a:p>
      </cdr:txBody>
    </cdr:sp>
  </cdr:relSizeAnchor>
  <cdr:relSizeAnchor xmlns:cdr="http://schemas.openxmlformats.org/drawingml/2006/chartDrawing">
    <cdr:from>
      <cdr:x>0.69031</cdr:x>
      <cdr:y>0.40564</cdr:y>
    </cdr:from>
    <cdr:to>
      <cdr:x>0.7896</cdr:x>
      <cdr:y>0.47912</cdr:y>
    </cdr:to>
    <cdr:sp macro="" textlink="">
      <cdr:nvSpPr>
        <cdr:cNvPr id="6" name="TextBox 5"/>
        <cdr:cNvSpPr txBox="1"/>
      </cdr:nvSpPr>
      <cdr:spPr>
        <a:xfrm xmlns:a="http://schemas.openxmlformats.org/drawingml/2006/main">
          <a:off x="3708400" y="1460500"/>
          <a:ext cx="53340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102</a:t>
          </a:r>
          <a:endParaRPr lang="lt-LT" sz="1100"/>
        </a:p>
      </cdr:txBody>
    </cdr:sp>
  </cdr:relSizeAnchor>
  <cdr:relSizeAnchor xmlns:cdr="http://schemas.openxmlformats.org/drawingml/2006/chartDrawing">
    <cdr:from>
      <cdr:x>0.79314</cdr:x>
      <cdr:y>0.42416</cdr:y>
    </cdr:from>
    <cdr:to>
      <cdr:x>0.89244</cdr:x>
      <cdr:y>0.49764</cdr:y>
    </cdr:to>
    <cdr:sp macro="" textlink="">
      <cdr:nvSpPr>
        <cdr:cNvPr id="7" name="TextBox 5"/>
        <cdr:cNvSpPr txBox="1"/>
      </cdr:nvSpPr>
      <cdr:spPr>
        <a:xfrm xmlns:a="http://schemas.openxmlformats.org/drawingml/2006/main">
          <a:off x="4532819" y="1527175"/>
          <a:ext cx="567448"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95</a:t>
          </a:r>
          <a:r>
            <a:rPr lang="lt-LT" sz="1100"/>
            <a:t>.</a:t>
          </a:r>
          <a:r>
            <a:rPr lang="en-US" sz="1100"/>
            <a:t>3</a:t>
          </a:r>
          <a:endParaRPr lang="lt-LT" sz="1100"/>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82486-EEBF-4545-A76D-0AAAFF7D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12164</TotalTime>
  <Pages>25</Pages>
  <Words>37864</Words>
  <Characters>21583</Characters>
  <Application>Microsoft Office Word</Application>
  <DocSecurity>0</DocSecurity>
  <Lines>179</Lines>
  <Paragraphs>118</Paragraphs>
  <ScaleCrop>false</ScaleCrop>
  <HeadingPairs>
    <vt:vector size="6" baseType="variant">
      <vt:variant>
        <vt:lpstr>Pavadinimas</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FM</Company>
  <LinksUpToDate>false</LinksUpToDate>
  <CharactersWithSpaces>59329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Jurgita Vilūnienė</dc:creator>
  <cp:lastModifiedBy>Žana Zimina</cp:lastModifiedBy>
  <cp:revision>603</cp:revision>
  <cp:lastPrinted>2018-11-14T09:23:00Z</cp:lastPrinted>
  <dcterms:created xsi:type="dcterms:W3CDTF">2018-04-26T06:20:00Z</dcterms:created>
  <dcterms:modified xsi:type="dcterms:W3CDTF">2019-02-18T10:11:00Z</dcterms:modified>
</cp:coreProperties>
</file>