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442487">
      <w:pPr>
        <w:jc w:val="center"/>
      </w:pPr>
      <w:r>
        <w:rPr>
          <w:noProof/>
        </w:rPr>
        <w:drawing>
          <wp:inline distT="0" distB="0" distL="0" distR="0">
            <wp:extent cx="594360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76E45">
        <w:tc>
          <w:tcPr>
            <w:tcW w:w="4927" w:type="dxa"/>
          </w:tcPr>
          <w:p w:rsidR="006E5748" w:rsidRPr="004D2F9E" w:rsidRDefault="006319D5">
            <w:r>
              <w:lastRenderedPageBreak/>
              <w:t>Lietuvos Respublikos Vyriausybei</w:t>
            </w:r>
          </w:p>
          <w:p w:rsidR="00676E45" w:rsidRDefault="00676E45"/>
        </w:tc>
        <w:tc>
          <w:tcPr>
            <w:tcW w:w="4927" w:type="dxa"/>
          </w:tcPr>
          <w:p w:rsidR="00676E45" w:rsidRDefault="00676E45">
            <w:r>
              <w:t xml:space="preserve">   </w:t>
            </w:r>
            <w:r w:rsidR="00951997">
              <w:t>20</w:t>
            </w:r>
            <w:r w:rsidR="00951997">
              <w:rPr>
                <w:lang w:val="en-US"/>
              </w:rPr>
              <w:t>20</w:t>
            </w:r>
            <w:r w:rsidR="006319D5">
              <w:t>-</w:t>
            </w:r>
            <w:r w:rsidR="00951997">
              <w:t>04</w:t>
            </w:r>
            <w:r>
              <w:t>-</w:t>
            </w:r>
            <w:r w:rsidR="00442487">
              <w:t xml:space="preserve">   </w:t>
            </w:r>
            <w:r>
              <w:t xml:space="preserve"> Nr. </w:t>
            </w:r>
            <w:r w:rsidR="006319D5">
              <w:t>(7.28</w:t>
            </w:r>
            <w:r w:rsidR="00951997">
              <w:t>E</w:t>
            </w:r>
            <w:r w:rsidR="00442487">
              <w:t>-04)</w:t>
            </w:r>
            <w:r w:rsidR="006E5748">
              <w:t>-</w:t>
            </w:r>
            <w:r w:rsidR="00442487">
              <w:t>6K-</w:t>
            </w:r>
          </w:p>
          <w:p w:rsidR="00676E45" w:rsidRPr="00852059" w:rsidRDefault="00852059" w:rsidP="00BE3408">
            <w:pPr>
              <w:rPr>
                <w:lang w:val="en-US"/>
              </w:rPr>
            </w:pPr>
            <w:r>
              <w:t xml:space="preserve">Į </w:t>
            </w:r>
            <w:r>
              <w:rPr>
                <w:lang w:val="en-US"/>
              </w:rPr>
              <w:t xml:space="preserve">2020-04-16  </w:t>
            </w: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>. S-1471</w:t>
            </w:r>
          </w:p>
        </w:tc>
      </w:tr>
      <w:tr w:rsidR="00214CDC" w:rsidRPr="00B62CC5">
        <w:trPr>
          <w:cantSplit/>
          <w:trHeight w:val="703"/>
        </w:trPr>
        <w:tc>
          <w:tcPr>
            <w:tcW w:w="9854" w:type="dxa"/>
            <w:gridSpan w:val="2"/>
          </w:tcPr>
          <w:p w:rsidR="001518D9" w:rsidRDefault="001518D9" w:rsidP="009D49F5">
            <w:pPr>
              <w:jc w:val="right"/>
              <w:rPr>
                <w:b/>
                <w:szCs w:val="24"/>
              </w:rPr>
            </w:pPr>
          </w:p>
          <w:p w:rsidR="00CB27B2" w:rsidRDefault="00CB27B2" w:rsidP="009D49F5">
            <w:pPr>
              <w:jc w:val="right"/>
              <w:rPr>
                <w:b/>
                <w:szCs w:val="24"/>
              </w:rPr>
            </w:pPr>
          </w:p>
          <w:p w:rsidR="00DA4F67" w:rsidRDefault="00DA4F67" w:rsidP="003D3CED">
            <w:pPr>
              <w:jc w:val="both"/>
              <w:rPr>
                <w:b/>
                <w:szCs w:val="24"/>
              </w:rPr>
            </w:pPr>
          </w:p>
          <w:p w:rsidR="00214CDC" w:rsidRPr="00B62CC5" w:rsidRDefault="006B3B3D" w:rsidP="00CC043D">
            <w:pPr>
              <w:jc w:val="both"/>
              <w:rPr>
                <w:b/>
              </w:rPr>
            </w:pPr>
            <w:r>
              <w:rPr>
                <w:b/>
                <w:szCs w:val="24"/>
              </w:rPr>
              <w:t>DĖL</w:t>
            </w:r>
            <w:r w:rsidR="00A464BA">
              <w:rPr>
                <w:b/>
                <w:szCs w:val="24"/>
              </w:rPr>
              <w:t xml:space="preserve"> </w:t>
            </w:r>
            <w:r w:rsidR="003D3CED">
              <w:rPr>
                <w:b/>
                <w:szCs w:val="24"/>
              </w:rPr>
              <w:t>AZARTINIŲ LOŠIMŲ</w:t>
            </w:r>
            <w:r>
              <w:rPr>
                <w:b/>
                <w:szCs w:val="24"/>
              </w:rPr>
              <w:t xml:space="preserve"> </w:t>
            </w:r>
            <w:r w:rsidR="008C0586">
              <w:rPr>
                <w:b/>
                <w:szCs w:val="24"/>
              </w:rPr>
              <w:t xml:space="preserve">ĮSTATYMO </w:t>
            </w:r>
            <w:r w:rsidR="003D3CED">
              <w:rPr>
                <w:b/>
                <w:szCs w:val="24"/>
              </w:rPr>
              <w:t xml:space="preserve">PAKEITIMO </w:t>
            </w:r>
            <w:r w:rsidR="00BC7490" w:rsidRPr="00F6407B">
              <w:rPr>
                <w:b/>
                <w:szCs w:val="24"/>
              </w:rPr>
              <w:t>ĮSTATYMO</w:t>
            </w:r>
            <w:r w:rsidR="00BC7490">
              <w:rPr>
                <w:b/>
                <w:szCs w:val="24"/>
              </w:rPr>
              <w:t xml:space="preserve"> </w:t>
            </w:r>
            <w:r w:rsidR="008C0586">
              <w:rPr>
                <w:b/>
                <w:szCs w:val="24"/>
              </w:rPr>
              <w:t xml:space="preserve">PROJEKTO </w:t>
            </w:r>
          </w:p>
        </w:tc>
      </w:tr>
    </w:tbl>
    <w:p w:rsidR="00C2218E" w:rsidRDefault="00C2218E" w:rsidP="00C2218E">
      <w:pPr>
        <w:ind w:firstLine="720"/>
        <w:jc w:val="both"/>
      </w:pPr>
    </w:p>
    <w:p w:rsidR="00E441AD" w:rsidRDefault="00E441AD" w:rsidP="006319D5">
      <w:pPr>
        <w:jc w:val="both"/>
      </w:pPr>
    </w:p>
    <w:p w:rsidR="001518D9" w:rsidRDefault="001518D9" w:rsidP="006319D5">
      <w:pPr>
        <w:jc w:val="both"/>
      </w:pPr>
    </w:p>
    <w:p w:rsidR="006319D5" w:rsidRDefault="0066707E" w:rsidP="00D81972">
      <w:pPr>
        <w:ind w:firstLine="720"/>
        <w:jc w:val="both"/>
        <w:rPr>
          <w:rFonts w:eastAsiaTheme="minorHAnsi"/>
          <w:bCs/>
          <w:color w:val="000000"/>
          <w:lang w:eastAsia="en-US"/>
        </w:rPr>
      </w:pPr>
      <w:r>
        <w:rPr>
          <w:szCs w:val="24"/>
        </w:rPr>
        <w:t>Lietuvos Respublikos f</w:t>
      </w:r>
      <w:r w:rsidR="00D43F77">
        <w:rPr>
          <w:szCs w:val="24"/>
        </w:rPr>
        <w:t>inansų ministerija</w:t>
      </w:r>
      <w:r w:rsidR="00A741BF">
        <w:rPr>
          <w:szCs w:val="24"/>
        </w:rPr>
        <w:t xml:space="preserve">, </w:t>
      </w:r>
      <w:r w:rsidR="00FB4065">
        <w:rPr>
          <w:szCs w:val="24"/>
        </w:rPr>
        <w:t>atsižvelgdama į</w:t>
      </w:r>
      <w:r w:rsidR="00A741BF">
        <w:rPr>
          <w:szCs w:val="24"/>
        </w:rPr>
        <w:t xml:space="preserve"> 2020 m. balandžio </w:t>
      </w:r>
      <w:r w:rsidR="001752D5">
        <w:rPr>
          <w:szCs w:val="24"/>
        </w:rPr>
        <w:t>1</w:t>
      </w:r>
      <w:r w:rsidR="001752D5">
        <w:rPr>
          <w:szCs w:val="24"/>
          <w:lang w:val="en-US"/>
        </w:rPr>
        <w:t>4</w:t>
      </w:r>
      <w:r w:rsidR="00BC18CE">
        <w:rPr>
          <w:szCs w:val="24"/>
        </w:rPr>
        <w:t xml:space="preserve"> d.</w:t>
      </w:r>
      <w:r w:rsidR="001752D5">
        <w:rPr>
          <w:szCs w:val="24"/>
        </w:rPr>
        <w:t xml:space="preserve"> vykusio</w:t>
      </w:r>
      <w:bookmarkStart w:id="0" w:name="_GoBack"/>
      <w:bookmarkEnd w:id="0"/>
      <w:r w:rsidR="00BC18CE">
        <w:rPr>
          <w:szCs w:val="24"/>
        </w:rPr>
        <w:t xml:space="preserve"> Darbo grupės valstybės lygio ekstremaliosios situacijos priemonių taikymo verslui klausimams koordinuoti pasitarimo protokolo Nr. </w:t>
      </w:r>
      <w:r w:rsidR="00BC18CE">
        <w:rPr>
          <w:szCs w:val="24"/>
          <w:lang w:val="en-US"/>
        </w:rPr>
        <w:t>145</w:t>
      </w:r>
      <w:r w:rsidR="00BC18CE">
        <w:rPr>
          <w:szCs w:val="24"/>
        </w:rPr>
        <w:t xml:space="preserve"> </w:t>
      </w:r>
      <w:r w:rsidR="00BC18CE">
        <w:rPr>
          <w:szCs w:val="24"/>
          <w:lang w:val="en-US"/>
        </w:rPr>
        <w:t xml:space="preserve">7.2 </w:t>
      </w:r>
      <w:r w:rsidR="00BC18CE">
        <w:rPr>
          <w:szCs w:val="24"/>
        </w:rPr>
        <w:t xml:space="preserve">papunktyje </w:t>
      </w:r>
      <w:r w:rsidR="00873385">
        <w:rPr>
          <w:szCs w:val="24"/>
        </w:rPr>
        <w:t>suformuotą pavedimą</w:t>
      </w:r>
      <w:r w:rsidR="00BC18CE">
        <w:rPr>
          <w:szCs w:val="24"/>
        </w:rPr>
        <w:t>,</w:t>
      </w:r>
      <w:r w:rsidR="006319D5">
        <w:rPr>
          <w:szCs w:val="24"/>
        </w:rPr>
        <w:t xml:space="preserve"> parengė ir teikia Lietuvos Respublikos azartinių lošimų įstatymo Nr. IX-325 </w:t>
      </w:r>
      <w:r w:rsidR="006319D5" w:rsidRPr="00A06961">
        <w:t xml:space="preserve">21 </w:t>
      </w:r>
      <w:r w:rsidR="00746D52">
        <w:t>straipsnio</w:t>
      </w:r>
      <w:r w:rsidR="006319D5" w:rsidRPr="00A06961">
        <w:t xml:space="preserve"> pakeitimo</w:t>
      </w:r>
      <w:r w:rsidR="006319D5">
        <w:rPr>
          <w:szCs w:val="24"/>
        </w:rPr>
        <w:t xml:space="preserve"> įstatymo projektą </w:t>
      </w:r>
      <w:r w:rsidR="006319D5" w:rsidRPr="00D32CC7">
        <w:t>(toliau – Įstatymo projektas)</w:t>
      </w:r>
      <w:r w:rsidR="006319D5">
        <w:rPr>
          <w:szCs w:val="24"/>
        </w:rPr>
        <w:t xml:space="preserve">. </w:t>
      </w:r>
    </w:p>
    <w:p w:rsidR="00D33D74" w:rsidRPr="00CD3E3E" w:rsidRDefault="006319D5" w:rsidP="00D81972">
      <w:pPr>
        <w:tabs>
          <w:tab w:val="left" w:pos="851"/>
          <w:tab w:val="left" w:pos="993"/>
        </w:tabs>
        <w:ind w:firstLine="720"/>
        <w:jc w:val="both"/>
      </w:pPr>
      <w:r>
        <w:t xml:space="preserve">Įstatymo projektas </w:t>
      </w:r>
      <w:r w:rsidRPr="00D32CC7">
        <w:t xml:space="preserve">parengtas </w:t>
      </w:r>
      <w:r w:rsidR="0066707E">
        <w:t>atsižvelgiant į</w:t>
      </w:r>
      <w:r w:rsidR="0066707E" w:rsidRPr="00A73A61">
        <w:t xml:space="preserve"> Lietuvos Respublikos Vyriausybės 2020 m. vasario 26 d. nutarimu Nr. 152 „Dėl valstybės lygio ekstremaliosios situacijos paskelbimo</w:t>
      </w:r>
      <w:r w:rsidR="004453CE">
        <w:t>“</w:t>
      </w:r>
      <w:r w:rsidR="0066707E" w:rsidRPr="00A73A61">
        <w:t xml:space="preserve">, </w:t>
      </w:r>
      <w:r w:rsidR="0066707E">
        <w:rPr>
          <w:szCs w:val="24"/>
        </w:rPr>
        <w:t>paskelbtą valstybės lygio ekstremaliąją situaciją</w:t>
      </w:r>
      <w:r w:rsidR="0066707E" w:rsidRPr="00A73A61">
        <w:rPr>
          <w:szCs w:val="24"/>
        </w:rPr>
        <w:t xml:space="preserve"> visoje šalyje dėl naujojo </w:t>
      </w:r>
      <w:proofErr w:type="spellStart"/>
      <w:r w:rsidR="0066707E" w:rsidRPr="00A73A61">
        <w:rPr>
          <w:szCs w:val="24"/>
        </w:rPr>
        <w:t>koronaviruso</w:t>
      </w:r>
      <w:proofErr w:type="spellEnd"/>
      <w:r w:rsidR="0066707E" w:rsidRPr="00A73A61">
        <w:rPr>
          <w:szCs w:val="24"/>
        </w:rPr>
        <w:t xml:space="preserve"> (COVID-19) plitimo grėsmės ir Lietuvos Respublikos Vyriausybės 2020 m. kovo 14 d. nutarimu Nr. 207 „Dėl karantino Lietuvos Respublikos teritorijoje paskelbimo</w:t>
      </w:r>
      <w:r w:rsidR="004453CE">
        <w:t>“</w:t>
      </w:r>
      <w:r w:rsidR="0066707E">
        <w:rPr>
          <w:szCs w:val="24"/>
        </w:rPr>
        <w:t xml:space="preserve"> paskelbtą trečią</w:t>
      </w:r>
      <w:r w:rsidR="0066707E" w:rsidRPr="00A73A61">
        <w:rPr>
          <w:szCs w:val="24"/>
        </w:rPr>
        <w:t xml:space="preserve"> (visiškos parengties) civilinės saugos sistemos</w:t>
      </w:r>
      <w:r w:rsidR="0066707E">
        <w:rPr>
          <w:szCs w:val="24"/>
        </w:rPr>
        <w:t xml:space="preserve"> parengties lygį</w:t>
      </w:r>
      <w:r w:rsidR="0066707E" w:rsidRPr="00966878">
        <w:rPr>
          <w:szCs w:val="24"/>
        </w:rPr>
        <w:t xml:space="preserve"> ir ka</w:t>
      </w:r>
      <w:r w:rsidR="0066707E">
        <w:rPr>
          <w:szCs w:val="24"/>
        </w:rPr>
        <w:t>rantiną</w:t>
      </w:r>
      <w:r w:rsidR="0066707E" w:rsidRPr="00966878">
        <w:rPr>
          <w:szCs w:val="24"/>
        </w:rPr>
        <w:t xml:space="preserve"> visoje Li</w:t>
      </w:r>
      <w:r w:rsidR="004453CE">
        <w:rPr>
          <w:szCs w:val="24"/>
        </w:rPr>
        <w:t>etuvos Respublikos teritorijoje</w:t>
      </w:r>
      <w:r w:rsidR="00746D52" w:rsidRPr="00A52BF9">
        <w:rPr>
          <w:bCs/>
          <w:szCs w:val="24"/>
          <w:shd w:val="clear" w:color="auto" w:fill="FFFFFF"/>
        </w:rPr>
        <w:t xml:space="preserve"> </w:t>
      </w:r>
      <w:r w:rsidR="0066707E">
        <w:rPr>
          <w:bCs/>
          <w:szCs w:val="24"/>
          <w:shd w:val="clear" w:color="auto" w:fill="FFFFFF"/>
        </w:rPr>
        <w:t>ir šių sprendimų neigiamą poveikį juridinių asmenų veiklai</w:t>
      </w:r>
      <w:r w:rsidR="00746D52">
        <w:rPr>
          <w:bCs/>
          <w:szCs w:val="24"/>
          <w:shd w:val="clear" w:color="auto" w:fill="FFFFFF"/>
        </w:rPr>
        <w:t>.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2660"/>
        <w:gridCol w:w="6770"/>
      </w:tblGrid>
      <w:tr w:rsidR="006319D5" w:rsidRPr="00257DC5" w:rsidTr="00BC4DC2">
        <w:tc>
          <w:tcPr>
            <w:tcW w:w="2660" w:type="dxa"/>
            <w:shd w:val="clear" w:color="auto" w:fill="FFFFFF" w:themeFill="background1"/>
          </w:tcPr>
          <w:p w:rsidR="006319D5" w:rsidRDefault="006319D5" w:rsidP="00BC4D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I. Sprendžiama problema</w:t>
            </w:r>
          </w:p>
        </w:tc>
        <w:tc>
          <w:tcPr>
            <w:tcW w:w="6770" w:type="dxa"/>
          </w:tcPr>
          <w:p w:rsidR="001518D9" w:rsidRPr="006319D5" w:rsidRDefault="00A9424B" w:rsidP="001F0361">
            <w:pPr>
              <w:jc w:val="both"/>
              <w:rPr>
                <w:highlight w:val="yellow"/>
              </w:rPr>
            </w:pPr>
            <w:r>
              <w:rPr>
                <w:szCs w:val="24"/>
              </w:rPr>
              <w:t>O</w:t>
            </w:r>
            <w:r w:rsidRPr="001814C6">
              <w:rPr>
                <w:szCs w:val="24"/>
              </w:rPr>
              <w:t xml:space="preserve">rganizuojant lošimus lošimo automatais ir stalo lošimus, skaičiuojama fiksuota mokesčio suma už kiekvieną </w:t>
            </w:r>
            <w:r>
              <w:rPr>
                <w:color w:val="000000"/>
                <w:szCs w:val="24"/>
              </w:rPr>
              <w:t>leidime</w:t>
            </w:r>
            <w:r w:rsidRPr="00580737">
              <w:rPr>
                <w:color w:val="000000"/>
                <w:szCs w:val="24"/>
              </w:rPr>
              <w:t xml:space="preserve"> atidaryti automatų ar </w:t>
            </w:r>
            <w:proofErr w:type="spellStart"/>
            <w:r w:rsidRPr="00580737">
              <w:rPr>
                <w:color w:val="000000"/>
                <w:szCs w:val="24"/>
              </w:rPr>
              <w:t>bingo</w:t>
            </w:r>
            <w:proofErr w:type="spellEnd"/>
            <w:r w:rsidRPr="00580737">
              <w:rPr>
                <w:color w:val="000000"/>
                <w:szCs w:val="24"/>
              </w:rPr>
              <w:t xml:space="preserve"> saloną arba lošimo namus (kazino)</w:t>
            </w:r>
            <w:r>
              <w:rPr>
                <w:color w:val="000000"/>
                <w:szCs w:val="24"/>
              </w:rPr>
              <w:t xml:space="preserve"> (toliau –</w:t>
            </w:r>
            <w:r w:rsidR="0066707E"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leidimas)</w:t>
            </w:r>
            <w:r w:rsidRPr="001814C6">
              <w:rPr>
                <w:szCs w:val="24"/>
              </w:rPr>
              <w:t xml:space="preserve"> nurodytą lošimo įrenginį,</w:t>
            </w:r>
            <w:r>
              <w:rPr>
                <w:szCs w:val="24"/>
              </w:rPr>
              <w:t xml:space="preserve"> </w:t>
            </w:r>
            <w:r w:rsidRPr="00FB3A1E">
              <w:rPr>
                <w:szCs w:val="24"/>
              </w:rPr>
              <w:t>neatsižvelgiant</w:t>
            </w:r>
            <w:r>
              <w:rPr>
                <w:szCs w:val="24"/>
              </w:rPr>
              <w:t xml:space="preserve"> į tai, kad </w:t>
            </w:r>
            <w:r w:rsidRPr="00FB3A1E">
              <w:rPr>
                <w:szCs w:val="24"/>
              </w:rPr>
              <w:t>mokesčio mokėtojas</w:t>
            </w:r>
            <w:r>
              <w:rPr>
                <w:szCs w:val="24"/>
              </w:rPr>
              <w:t xml:space="preserve"> dėl nuo jo nepriklausančių priežasčių</w:t>
            </w:r>
            <w:r w:rsidRPr="00FB3A1E">
              <w:rPr>
                <w:szCs w:val="24"/>
              </w:rPr>
              <w:t xml:space="preserve"> </w:t>
            </w:r>
            <w:r>
              <w:rPr>
                <w:szCs w:val="24"/>
              </w:rPr>
              <w:t>neturi galimybės faktiškai vykdyti</w:t>
            </w:r>
            <w:r w:rsidR="0083125B">
              <w:rPr>
                <w:szCs w:val="24"/>
              </w:rPr>
              <w:t xml:space="preserve"> </w:t>
            </w:r>
            <w:r w:rsidR="001F0361">
              <w:rPr>
                <w:szCs w:val="24"/>
              </w:rPr>
              <w:t>leidime nurodytos veiklos</w:t>
            </w:r>
            <w:r w:rsidR="0083125B">
              <w:rPr>
                <w:szCs w:val="24"/>
              </w:rPr>
              <w:t xml:space="preserve"> ir</w:t>
            </w:r>
            <w:r>
              <w:rPr>
                <w:szCs w:val="24"/>
              </w:rPr>
              <w:t xml:space="preserve"> </w:t>
            </w:r>
            <w:r w:rsidR="00817F94">
              <w:rPr>
                <w:szCs w:val="24"/>
              </w:rPr>
              <w:t xml:space="preserve">iš </w:t>
            </w:r>
            <w:r w:rsidR="001F0361">
              <w:rPr>
                <w:szCs w:val="24"/>
              </w:rPr>
              <w:t xml:space="preserve">jos </w:t>
            </w:r>
            <w:r w:rsidR="0083125B">
              <w:rPr>
                <w:szCs w:val="24"/>
              </w:rPr>
              <w:t>gauti pajamų</w:t>
            </w:r>
            <w:r w:rsidRPr="00FB3A1E">
              <w:rPr>
                <w:szCs w:val="24"/>
              </w:rPr>
              <w:t>.</w:t>
            </w:r>
          </w:p>
        </w:tc>
      </w:tr>
      <w:tr w:rsidR="006319D5" w:rsidTr="00BC4DC2">
        <w:tc>
          <w:tcPr>
            <w:tcW w:w="2660" w:type="dxa"/>
            <w:shd w:val="clear" w:color="auto" w:fill="FFFFFF" w:themeFill="background1"/>
          </w:tcPr>
          <w:p w:rsidR="006319D5" w:rsidRDefault="006319D5" w:rsidP="00BC4D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II. Siūlomos priemonės</w:t>
            </w:r>
          </w:p>
        </w:tc>
        <w:tc>
          <w:tcPr>
            <w:tcW w:w="6770" w:type="dxa"/>
          </w:tcPr>
          <w:p w:rsidR="006319D5" w:rsidRPr="006319D5" w:rsidRDefault="00CC043D" w:rsidP="00926CC9">
            <w:pPr>
              <w:jc w:val="both"/>
              <w:rPr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Įstatymo projektu siūloma numatyti, kad</w:t>
            </w:r>
            <w:r w:rsidR="00922A9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Pr="00580737">
              <w:rPr>
                <w:color w:val="000000"/>
                <w:szCs w:val="24"/>
              </w:rPr>
              <w:t>Lietuvos Respublikoje paskelbus</w:t>
            </w:r>
            <w:r>
              <w:rPr>
                <w:color w:val="000000"/>
                <w:szCs w:val="24"/>
              </w:rPr>
              <w:t xml:space="preserve"> nepa</w:t>
            </w:r>
            <w:r w:rsidR="00922A91">
              <w:rPr>
                <w:color w:val="000000"/>
                <w:szCs w:val="24"/>
              </w:rPr>
              <w:t>p</w:t>
            </w:r>
            <w:r>
              <w:rPr>
                <w:color w:val="000000"/>
                <w:szCs w:val="24"/>
              </w:rPr>
              <w:t>rastąją padėtį,</w:t>
            </w:r>
            <w:r w:rsidRPr="00580737">
              <w:rPr>
                <w:color w:val="000000"/>
                <w:szCs w:val="24"/>
              </w:rPr>
              <w:t xml:space="preserve"> ekstremaliąją situaciją</w:t>
            </w:r>
            <w:r>
              <w:rPr>
                <w:color w:val="000000"/>
                <w:szCs w:val="24"/>
              </w:rPr>
              <w:t>,</w:t>
            </w:r>
            <w:r w:rsidRPr="00580737">
              <w:rPr>
                <w:color w:val="000000"/>
                <w:szCs w:val="24"/>
              </w:rPr>
              <w:t xml:space="preserve"> karantiną ir dėl nustatytų ribojimų ar draudimų </w:t>
            </w:r>
            <w:r w:rsidR="00926CC9" w:rsidRPr="00B93EAA">
              <w:rPr>
                <w:szCs w:val="24"/>
              </w:rPr>
              <w:t xml:space="preserve">lošimo </w:t>
            </w:r>
            <w:r w:rsidR="0002325A">
              <w:rPr>
                <w:szCs w:val="24"/>
              </w:rPr>
              <w:t>bendrovėms negalint vykdyti</w:t>
            </w:r>
            <w:r w:rsidRPr="00B93EAA">
              <w:rPr>
                <w:szCs w:val="24"/>
              </w:rPr>
              <w:t xml:space="preserve"> leidimuose nurodytos veiklos, </w:t>
            </w:r>
            <w:r w:rsidRPr="00580737">
              <w:rPr>
                <w:color w:val="000000"/>
                <w:szCs w:val="24"/>
              </w:rPr>
              <w:t xml:space="preserve">leidimų galiojimas </w:t>
            </w:r>
            <w:r>
              <w:rPr>
                <w:color w:val="000000"/>
                <w:szCs w:val="24"/>
              </w:rPr>
              <w:t xml:space="preserve">būtų </w:t>
            </w:r>
            <w:r w:rsidR="00AA0385">
              <w:rPr>
                <w:color w:val="000000"/>
                <w:szCs w:val="24"/>
              </w:rPr>
              <w:t xml:space="preserve">automatiškai </w:t>
            </w:r>
            <w:r w:rsidRPr="00580737">
              <w:rPr>
                <w:color w:val="000000"/>
                <w:szCs w:val="24"/>
              </w:rPr>
              <w:t>stabdomas</w:t>
            </w:r>
            <w:r w:rsidR="00011CB3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319D5" w:rsidRPr="00D43484" w:rsidTr="00BC4DC2">
        <w:tc>
          <w:tcPr>
            <w:tcW w:w="2660" w:type="dxa"/>
            <w:shd w:val="clear" w:color="auto" w:fill="FFFFFF" w:themeFill="background1"/>
          </w:tcPr>
          <w:p w:rsidR="006319D5" w:rsidRDefault="006319D5" w:rsidP="00BC4D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III. Priemonių kaštai</w:t>
            </w:r>
          </w:p>
        </w:tc>
        <w:tc>
          <w:tcPr>
            <w:tcW w:w="6770" w:type="dxa"/>
          </w:tcPr>
          <w:p w:rsidR="006319D5" w:rsidRPr="00D33D74" w:rsidRDefault="00746D52" w:rsidP="00BC4DC2">
            <w:pPr>
              <w:tabs>
                <w:tab w:val="left" w:pos="709"/>
              </w:tabs>
              <w:jc w:val="both"/>
            </w:pPr>
            <w:r>
              <w:t>Įstatymo projektui</w:t>
            </w:r>
            <w:r w:rsidR="006319D5" w:rsidRPr="00D33D74">
              <w:t xml:space="preserve"> įgyvendinti valstybės, savivaldybių biudžetų ir kitų valstybės įsteigtų fondų lėšų neprireiks</w:t>
            </w:r>
            <w:r w:rsidR="000B4463">
              <w:t>,</w:t>
            </w:r>
            <w:r w:rsidR="000B4463">
              <w:rPr>
                <w:color w:val="000000"/>
                <w:szCs w:val="24"/>
              </w:rPr>
              <w:t xml:space="preserve"> tačiau valstybės biudžetas neteks apie 820 300 eurų mėnesio azartinių lošimų ir loterijų mokesčio sumos</w:t>
            </w:r>
            <w:r w:rsidR="006319D5" w:rsidRPr="00D33D74">
              <w:t>.</w:t>
            </w:r>
          </w:p>
          <w:p w:rsidR="006319D5" w:rsidRPr="006319D5" w:rsidRDefault="006319D5" w:rsidP="00BC4DC2">
            <w:pPr>
              <w:tabs>
                <w:tab w:val="left" w:pos="709"/>
              </w:tabs>
              <w:jc w:val="both"/>
              <w:rPr>
                <w:highlight w:val="yellow"/>
              </w:rPr>
            </w:pPr>
          </w:p>
        </w:tc>
      </w:tr>
    </w:tbl>
    <w:p w:rsidR="006319D5" w:rsidRDefault="006319D5" w:rsidP="006319D5">
      <w:pPr>
        <w:jc w:val="both"/>
        <w:rPr>
          <w:szCs w:val="24"/>
        </w:rPr>
      </w:pPr>
    </w:p>
    <w:p w:rsidR="00B93EAA" w:rsidRPr="00B93EAA" w:rsidRDefault="00B93EAA" w:rsidP="006319D5">
      <w:pPr>
        <w:ind w:firstLine="720"/>
        <w:jc w:val="both"/>
        <w:rPr>
          <w:szCs w:val="24"/>
        </w:rPr>
      </w:pPr>
      <w:r>
        <w:rPr>
          <w:szCs w:val="24"/>
        </w:rPr>
        <w:t>Vadovaujantis Lietuvos Re</w:t>
      </w:r>
      <w:r w:rsidR="00922A91">
        <w:rPr>
          <w:szCs w:val="24"/>
        </w:rPr>
        <w:t xml:space="preserve">spublikos Vyriausybės įstatymo </w:t>
      </w:r>
      <w:r>
        <w:rPr>
          <w:szCs w:val="24"/>
          <w:lang w:val="en-US"/>
        </w:rPr>
        <w:t>38</w:t>
      </w:r>
      <w:r>
        <w:rPr>
          <w:szCs w:val="24"/>
        </w:rPr>
        <w:t xml:space="preserve"> straipsnio </w:t>
      </w:r>
      <w:r>
        <w:rPr>
          <w:szCs w:val="24"/>
          <w:lang w:val="en-US"/>
        </w:rPr>
        <w:t xml:space="preserve">2 </w:t>
      </w:r>
      <w:r>
        <w:rPr>
          <w:szCs w:val="24"/>
        </w:rPr>
        <w:t xml:space="preserve">dalyje nustatyta išimtimi, Įstatymo projektas su suinteresuotomis institucijomis </w:t>
      </w:r>
      <w:r w:rsidR="00445DEE">
        <w:rPr>
          <w:szCs w:val="24"/>
        </w:rPr>
        <w:t>nebuvo derinamas</w:t>
      </w:r>
      <w:r>
        <w:rPr>
          <w:szCs w:val="24"/>
        </w:rPr>
        <w:t>.</w:t>
      </w:r>
    </w:p>
    <w:p w:rsidR="006319D5" w:rsidRDefault="006319D5" w:rsidP="006319D5">
      <w:pPr>
        <w:ind w:firstLine="720"/>
        <w:jc w:val="both"/>
        <w:rPr>
          <w:szCs w:val="24"/>
        </w:rPr>
      </w:pPr>
      <w:r w:rsidRPr="00CC3967">
        <w:rPr>
          <w:szCs w:val="24"/>
        </w:rPr>
        <w:t>Įstatymo projektas neperkelia ir neįgyvendina Europos Sąjungos teisės aktų nuostatų.</w:t>
      </w:r>
    </w:p>
    <w:p w:rsidR="006319D5" w:rsidRDefault="006319D5" w:rsidP="006319D5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Įstatymo projektas</w:t>
      </w:r>
      <w:r w:rsidRPr="00CC3967">
        <w:rPr>
          <w:szCs w:val="24"/>
        </w:rPr>
        <w:t xml:space="preserve"> </w:t>
      </w:r>
      <w:r>
        <w:rPr>
          <w:szCs w:val="24"/>
        </w:rPr>
        <w:t xml:space="preserve">nėra </w:t>
      </w:r>
      <w:r w:rsidRPr="00CC3967">
        <w:rPr>
          <w:szCs w:val="24"/>
        </w:rPr>
        <w:t>notifikuotinas Europos Komisijai</w:t>
      </w:r>
      <w:r>
        <w:rPr>
          <w:szCs w:val="24"/>
        </w:rPr>
        <w:t>.</w:t>
      </w:r>
    </w:p>
    <w:p w:rsidR="006319D5" w:rsidRDefault="006319D5" w:rsidP="006319D5">
      <w:pPr>
        <w:ind w:firstLine="720"/>
        <w:jc w:val="both"/>
        <w:rPr>
          <w:szCs w:val="24"/>
        </w:rPr>
      </w:pPr>
      <w:r>
        <w:t xml:space="preserve">Įstatymo projekte nėra naujų sąvokų ir jas įvardijančių terminų, todėl Įstatymo projektas nevertinamas Lietuvos Respublikos terminų banko įstatymo ir jo įgyvendinamųjų teisės aktų nustatyta </w:t>
      </w:r>
      <w:r w:rsidRPr="002D5641">
        <w:t>tvarka</w:t>
      </w:r>
      <w:r w:rsidR="005D6A22" w:rsidRPr="002D5641">
        <w:t>.</w:t>
      </w:r>
    </w:p>
    <w:p w:rsidR="006319D5" w:rsidRDefault="006319D5" w:rsidP="006319D5">
      <w:pPr>
        <w:ind w:firstLine="720"/>
        <w:jc w:val="both"/>
      </w:pPr>
      <w:r>
        <w:t>Neigiamų reguliavimo pasekmių priėmus Įstatymo projektą nenumatoma.</w:t>
      </w:r>
    </w:p>
    <w:p w:rsidR="006319D5" w:rsidRPr="00746D52" w:rsidRDefault="00746D52" w:rsidP="006319D5">
      <w:pPr>
        <w:ind w:firstLine="720"/>
        <w:jc w:val="both"/>
        <w:rPr>
          <w:bCs/>
        </w:rPr>
      </w:pPr>
      <w:r>
        <w:t>Įsta</w:t>
      </w:r>
      <w:r w:rsidR="002151D3">
        <w:t>tymo</w:t>
      </w:r>
      <w:r>
        <w:t xml:space="preserve"> projektą</w:t>
      </w:r>
      <w:r w:rsidR="006319D5" w:rsidRPr="005B7557">
        <w:t xml:space="preserve"> parengė Finansų ministerijos Finansų rinkų pol</w:t>
      </w:r>
      <w:r>
        <w:t>itikos departamento (direktorė</w:t>
      </w:r>
      <w:r w:rsidR="002151D3">
        <w:t xml:space="preserve"> </w:t>
      </w:r>
      <w:r>
        <w:t xml:space="preserve">Vilma </w:t>
      </w:r>
      <w:proofErr w:type="spellStart"/>
      <w:r>
        <w:t>Mačerauskienė</w:t>
      </w:r>
      <w:proofErr w:type="spellEnd"/>
      <w:r>
        <w:t>, tel. 239</w:t>
      </w:r>
      <w:r w:rsidR="00CA6353">
        <w:t xml:space="preserve"> </w:t>
      </w:r>
      <w:r w:rsidR="006319D5" w:rsidRPr="005B7557">
        <w:t>0</w:t>
      </w:r>
      <w:r>
        <w:t>174</w:t>
      </w:r>
      <w:r w:rsidR="006319D5" w:rsidRPr="005B7557">
        <w:t>) Draudimo veiklos skyriaus (vedė</w:t>
      </w:r>
      <w:r w:rsidR="002151D3">
        <w:t>ja</w:t>
      </w:r>
      <w:r>
        <w:t xml:space="preserve"> Lolita Šumskaitė, tel. 239</w:t>
      </w:r>
      <w:r w:rsidR="00CA6353">
        <w:t xml:space="preserve"> </w:t>
      </w:r>
      <w:r w:rsidR="002151D3">
        <w:t>0180) vyriausioji</w:t>
      </w:r>
      <w:r w:rsidR="006319D5" w:rsidRPr="005B7557">
        <w:t xml:space="preserve"> specialistė </w:t>
      </w:r>
      <w:r>
        <w:t xml:space="preserve">Lina </w:t>
      </w:r>
      <w:proofErr w:type="spellStart"/>
      <w:r>
        <w:t>Kliukienė</w:t>
      </w:r>
      <w:proofErr w:type="spellEnd"/>
      <w:r>
        <w:t xml:space="preserve"> (tel. 219</w:t>
      </w:r>
      <w:r w:rsidR="00CA6353">
        <w:t xml:space="preserve"> </w:t>
      </w:r>
      <w:r>
        <w:t>44</w:t>
      </w:r>
      <w:r w:rsidR="006319D5">
        <w:t>80</w:t>
      </w:r>
      <w:r w:rsidR="006319D5" w:rsidRPr="005B7557">
        <w:t xml:space="preserve">, el. paštas </w:t>
      </w:r>
      <w:hyperlink r:id="rId15" w:history="1">
        <w:r w:rsidR="006319D5" w:rsidRPr="00746D52">
          <w:rPr>
            <w:rStyle w:val="Hipersaitas"/>
            <w:color w:val="auto"/>
            <w:u w:val="none"/>
          </w:rPr>
          <w:t>lina.kliukiene@finmin.lt</w:t>
        </w:r>
      </w:hyperlink>
      <w:r w:rsidR="006319D5" w:rsidRPr="00746D52">
        <w:t>).</w:t>
      </w:r>
    </w:p>
    <w:p w:rsidR="006319D5" w:rsidRDefault="006319D5" w:rsidP="006319D5">
      <w:pPr>
        <w:ind w:firstLine="720"/>
        <w:jc w:val="both"/>
        <w:rPr>
          <w:bCs/>
        </w:rPr>
      </w:pPr>
    </w:p>
    <w:p w:rsidR="006319D5" w:rsidRDefault="006319D5" w:rsidP="006319D5">
      <w:pPr>
        <w:ind w:firstLine="720"/>
        <w:jc w:val="both"/>
        <w:rPr>
          <w:bCs/>
        </w:rPr>
      </w:pPr>
      <w:r>
        <w:rPr>
          <w:bCs/>
        </w:rPr>
        <w:t>PRIDEDAMA:</w:t>
      </w:r>
    </w:p>
    <w:p w:rsidR="006319D5" w:rsidRDefault="006319D5" w:rsidP="006319D5">
      <w:pPr>
        <w:ind w:firstLine="720"/>
        <w:jc w:val="both"/>
      </w:pPr>
      <w:r>
        <w:rPr>
          <w:bCs/>
        </w:rPr>
        <w:t xml:space="preserve">1. </w:t>
      </w:r>
      <w:r>
        <w:t>Lietuvos Respublikos Vyriausybės nutarimo</w:t>
      </w:r>
      <w:r w:rsidR="002151D3">
        <w:t xml:space="preserve"> „Dėl </w:t>
      </w:r>
      <w:r w:rsidR="002151D3">
        <w:rPr>
          <w:szCs w:val="24"/>
        </w:rPr>
        <w:t xml:space="preserve">Lietuvos Respublikos azartinių lošimų įstatymo Nr. IX-325 </w:t>
      </w:r>
      <w:r w:rsidR="002151D3">
        <w:t>21 straipsnio pakeitimo</w:t>
      </w:r>
      <w:r w:rsidR="002151D3">
        <w:rPr>
          <w:szCs w:val="24"/>
        </w:rPr>
        <w:t xml:space="preserve"> įstatymo projekto pateikimo Lietuvos Respublikos Seimui“ </w:t>
      </w:r>
      <w:r>
        <w:t>projektas, 1 lapas.</w:t>
      </w:r>
    </w:p>
    <w:p w:rsidR="006319D5" w:rsidRDefault="006319D5" w:rsidP="006319D5">
      <w:pPr>
        <w:ind w:firstLine="720"/>
        <w:jc w:val="both"/>
        <w:rPr>
          <w:bCs/>
        </w:rPr>
      </w:pPr>
      <w:r>
        <w:t xml:space="preserve">2. </w:t>
      </w:r>
      <w:r>
        <w:rPr>
          <w:bCs/>
        </w:rPr>
        <w:t xml:space="preserve">Įstatymo projektas ir jo lyginamasis variantas, </w:t>
      </w:r>
      <w:r w:rsidR="000D3717">
        <w:rPr>
          <w:bCs/>
        </w:rPr>
        <w:t>2</w:t>
      </w:r>
      <w:r w:rsidR="00DB2793">
        <w:rPr>
          <w:bCs/>
        </w:rPr>
        <w:t xml:space="preserve"> lapai</w:t>
      </w:r>
      <w:r>
        <w:rPr>
          <w:bCs/>
        </w:rPr>
        <w:t>.</w:t>
      </w:r>
    </w:p>
    <w:p w:rsidR="006319D5" w:rsidRDefault="000D3717" w:rsidP="006319D5">
      <w:pPr>
        <w:ind w:firstLine="720"/>
        <w:jc w:val="both"/>
      </w:pPr>
      <w:r>
        <w:rPr>
          <w:bCs/>
        </w:rPr>
        <w:t>3</w:t>
      </w:r>
      <w:r w:rsidR="006319D5">
        <w:rPr>
          <w:bCs/>
        </w:rPr>
        <w:t xml:space="preserve">. </w:t>
      </w:r>
      <w:r w:rsidR="006319D5">
        <w:t>Įstatymo</w:t>
      </w:r>
      <w:r w:rsidR="00FD0C92">
        <w:t xml:space="preserve"> projekto aiškinamasis raštas, </w:t>
      </w:r>
      <w:r>
        <w:t>3</w:t>
      </w:r>
      <w:r w:rsidR="006319D5">
        <w:t xml:space="preserve"> lapai.</w:t>
      </w:r>
    </w:p>
    <w:p w:rsidR="006319D5" w:rsidRDefault="006319D5" w:rsidP="00DA4F67">
      <w:pPr>
        <w:ind w:firstLine="720"/>
        <w:jc w:val="both"/>
      </w:pPr>
    </w:p>
    <w:p w:rsidR="000D3717" w:rsidRDefault="000D3717" w:rsidP="00DA4F67">
      <w:pPr>
        <w:ind w:firstLine="720"/>
        <w:jc w:val="both"/>
      </w:pPr>
    </w:p>
    <w:p w:rsidR="006319D5" w:rsidRDefault="006319D5" w:rsidP="00DA4F67">
      <w:pPr>
        <w:ind w:firstLine="720"/>
        <w:jc w:val="both"/>
        <w:rPr>
          <w:szCs w:val="24"/>
        </w:rPr>
      </w:pPr>
    </w:p>
    <w:p w:rsidR="006319D5" w:rsidRDefault="006319D5" w:rsidP="00DA4F67">
      <w:pPr>
        <w:ind w:firstLine="720"/>
        <w:jc w:val="both"/>
        <w:rPr>
          <w:szCs w:val="24"/>
        </w:rPr>
      </w:pPr>
    </w:p>
    <w:p w:rsidR="006319D5" w:rsidRDefault="00032F7D" w:rsidP="00032F7D">
      <w:pPr>
        <w:jc w:val="both"/>
        <w:rPr>
          <w:szCs w:val="24"/>
        </w:rPr>
      </w:pPr>
      <w:r>
        <w:rPr>
          <w:szCs w:val="24"/>
        </w:rPr>
        <w:t>Finansų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Vilius Šapoka</w:t>
      </w:r>
    </w:p>
    <w:p w:rsidR="000C13FE" w:rsidRDefault="000C13FE" w:rsidP="00776A80">
      <w:pPr>
        <w:rPr>
          <w:sz w:val="20"/>
        </w:rPr>
      </w:pPr>
    </w:p>
    <w:p w:rsidR="000C13FE" w:rsidRDefault="000C13FE" w:rsidP="00776A80">
      <w:pPr>
        <w:rPr>
          <w:sz w:val="20"/>
        </w:rPr>
      </w:pPr>
    </w:p>
    <w:p w:rsidR="000C13FE" w:rsidRDefault="000C13FE" w:rsidP="00776A80">
      <w:pPr>
        <w:rPr>
          <w:sz w:val="20"/>
        </w:rPr>
      </w:pPr>
    </w:p>
    <w:p w:rsidR="000C13FE" w:rsidRDefault="000C13FE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5042B8" w:rsidRDefault="005042B8" w:rsidP="00776A80">
      <w:pPr>
        <w:rPr>
          <w:sz w:val="20"/>
        </w:rPr>
      </w:pPr>
    </w:p>
    <w:p w:rsidR="005042B8" w:rsidRDefault="005042B8" w:rsidP="00776A80">
      <w:pPr>
        <w:rPr>
          <w:sz w:val="20"/>
        </w:rPr>
      </w:pPr>
    </w:p>
    <w:p w:rsidR="005042B8" w:rsidRDefault="005042B8" w:rsidP="00776A80">
      <w:pPr>
        <w:rPr>
          <w:sz w:val="20"/>
        </w:rPr>
      </w:pPr>
    </w:p>
    <w:p w:rsidR="005042B8" w:rsidRDefault="005042B8" w:rsidP="00776A80">
      <w:pPr>
        <w:rPr>
          <w:sz w:val="20"/>
        </w:rPr>
      </w:pPr>
    </w:p>
    <w:p w:rsidR="005042B8" w:rsidRDefault="005042B8" w:rsidP="00776A80">
      <w:pPr>
        <w:rPr>
          <w:sz w:val="20"/>
        </w:rPr>
      </w:pPr>
    </w:p>
    <w:p w:rsidR="005042B8" w:rsidRDefault="005042B8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B94A76" w:rsidRDefault="00B94A76" w:rsidP="00776A80">
      <w:pPr>
        <w:rPr>
          <w:sz w:val="20"/>
        </w:rPr>
      </w:pPr>
    </w:p>
    <w:p w:rsidR="00DE6F7B" w:rsidRDefault="00DE6F7B" w:rsidP="00E43B49">
      <w:pPr>
        <w:rPr>
          <w:sz w:val="20"/>
        </w:rPr>
      </w:pPr>
    </w:p>
    <w:p w:rsidR="00DE6F7B" w:rsidRPr="000D3717" w:rsidRDefault="00DE6F7B" w:rsidP="00E43B49">
      <w:pPr>
        <w:rPr>
          <w:sz w:val="20"/>
        </w:rPr>
      </w:pPr>
      <w:r>
        <w:rPr>
          <w:sz w:val="20"/>
        </w:rPr>
        <w:t xml:space="preserve">Lina </w:t>
      </w:r>
      <w:proofErr w:type="spellStart"/>
      <w:r>
        <w:rPr>
          <w:sz w:val="20"/>
        </w:rPr>
        <w:t>Kliukienė</w:t>
      </w:r>
      <w:proofErr w:type="spellEnd"/>
      <w:r>
        <w:rPr>
          <w:sz w:val="20"/>
        </w:rPr>
        <w:t xml:space="preserve">, </w:t>
      </w:r>
      <w:r w:rsidR="000D3717">
        <w:rPr>
          <w:sz w:val="20"/>
        </w:rPr>
        <w:t xml:space="preserve">tel. </w:t>
      </w:r>
      <w:r w:rsidR="002151D3">
        <w:rPr>
          <w:sz w:val="20"/>
        </w:rPr>
        <w:t>(</w:t>
      </w:r>
      <w:r w:rsidR="002151D3">
        <w:rPr>
          <w:sz w:val="20"/>
          <w:lang w:val="en-US"/>
        </w:rPr>
        <w:t xml:space="preserve">8 5) </w:t>
      </w:r>
      <w:r w:rsidR="000D3717">
        <w:rPr>
          <w:sz w:val="20"/>
        </w:rPr>
        <w:t>219 4480, el. p.</w:t>
      </w:r>
      <w:r w:rsidR="00DD74CC">
        <w:rPr>
          <w:sz w:val="20"/>
        </w:rPr>
        <w:t xml:space="preserve"> </w:t>
      </w:r>
      <w:hyperlink r:id="rId16" w:history="1">
        <w:r w:rsidR="00DD74CC" w:rsidRPr="000D3717">
          <w:rPr>
            <w:rStyle w:val="Hipersaitas"/>
            <w:color w:val="auto"/>
            <w:sz w:val="20"/>
            <w:u w:val="none"/>
          </w:rPr>
          <w:t>lina.kliukiene@finmin.lt</w:t>
        </w:r>
      </w:hyperlink>
      <w:r w:rsidR="00DD74CC" w:rsidRPr="000D3717">
        <w:rPr>
          <w:sz w:val="20"/>
        </w:rPr>
        <w:t xml:space="preserve"> </w:t>
      </w:r>
    </w:p>
    <w:p w:rsidR="000D3717" w:rsidRDefault="000D3717">
      <w:pPr>
        <w:rPr>
          <w:sz w:val="20"/>
        </w:rPr>
      </w:pPr>
    </w:p>
    <w:sectPr w:rsidR="000D3717" w:rsidSect="008106FA">
      <w:footerReference w:type="default" r:id="rId17"/>
      <w:type w:val="continuous"/>
      <w:pgSz w:w="11906" w:h="16838" w:code="9"/>
      <w:pgMar w:top="1134" w:right="849" w:bottom="851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DF" w:rsidRDefault="005825DF">
      <w:r>
        <w:separator/>
      </w:r>
    </w:p>
  </w:endnote>
  <w:endnote w:type="continuationSeparator" w:id="0">
    <w:p w:rsidR="005825DF" w:rsidRDefault="0058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231F3">
      <w:rPr>
        <w:noProof/>
        <w:sz w:val="10"/>
      </w:rPr>
      <w:t>Lydrastis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5150E3">
      <w:tc>
        <w:tcPr>
          <w:tcW w:w="3119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5150E3">
      <w:tc>
        <w:tcPr>
          <w:tcW w:w="3119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5150E3" w:rsidRDefault="005150E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Pr="00775CB5" w:rsidRDefault="005150E3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231F3">
      <w:rPr>
        <w:noProof/>
        <w:sz w:val="10"/>
      </w:rPr>
      <w:t>Lydrastis</w:t>
    </w:r>
    <w:r w:rsidRPr="00775CB5">
      <w:rPr>
        <w:sz w:val="10"/>
      </w:rPr>
      <w:fldChar w:fldCharType="end"/>
    </w:r>
  </w:p>
  <w:p w:rsidR="005150E3" w:rsidRPr="00775CB5" w:rsidRDefault="005150E3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5150E3" w:rsidRPr="00775CB5">
      <w:tc>
        <w:tcPr>
          <w:tcW w:w="3215" w:type="dxa"/>
        </w:tcPr>
        <w:p w:rsidR="005150E3" w:rsidRPr="00775CB5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5150E3" w:rsidRPr="00775CB5" w:rsidRDefault="005150E3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5150E3" w:rsidRPr="00775CB5">
      <w:tc>
        <w:tcPr>
          <w:tcW w:w="3215" w:type="dxa"/>
        </w:tcPr>
        <w:p w:rsidR="005150E3" w:rsidRPr="00775CB5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5150E3" w:rsidRPr="00775CB5" w:rsidRDefault="005150E3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5150E3" w:rsidRPr="00775CB5" w:rsidRDefault="005150E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DF" w:rsidRDefault="005825DF">
      <w:r>
        <w:separator/>
      </w:r>
    </w:p>
  </w:footnote>
  <w:footnote w:type="continuationSeparator" w:id="0">
    <w:p w:rsidR="005825DF" w:rsidRDefault="00582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50E3" w:rsidRDefault="005150E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52D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150E3" w:rsidRDefault="005150E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A9D"/>
    <w:multiLevelType w:val="hybridMultilevel"/>
    <w:tmpl w:val="A00C6350"/>
    <w:lvl w:ilvl="0" w:tplc="A7A87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4369FC"/>
    <w:multiLevelType w:val="hybridMultilevel"/>
    <w:tmpl w:val="E8F2543A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1F83ECD"/>
    <w:multiLevelType w:val="hybridMultilevel"/>
    <w:tmpl w:val="171A9DF0"/>
    <w:lvl w:ilvl="0" w:tplc="22F2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3C6B"/>
    <w:multiLevelType w:val="hybridMultilevel"/>
    <w:tmpl w:val="AD7859C8"/>
    <w:lvl w:ilvl="0" w:tplc="0427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39D137BD"/>
    <w:multiLevelType w:val="hybridMultilevel"/>
    <w:tmpl w:val="0B005F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284E1A"/>
    <w:multiLevelType w:val="hybridMultilevel"/>
    <w:tmpl w:val="051C6C84"/>
    <w:lvl w:ilvl="0" w:tplc="042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F29161B"/>
    <w:multiLevelType w:val="hybridMultilevel"/>
    <w:tmpl w:val="8AB8578A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G/qkjLVpJUbihsvMpFOSVxsPBc=" w:salt="QAe2nCZfhTiQkc8US0vrN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87"/>
    <w:rsid w:val="00006A17"/>
    <w:rsid w:val="00011CB3"/>
    <w:rsid w:val="0002325A"/>
    <w:rsid w:val="000326A0"/>
    <w:rsid w:val="00032F7D"/>
    <w:rsid w:val="00033473"/>
    <w:rsid w:val="000362C5"/>
    <w:rsid w:val="00041ABB"/>
    <w:rsid w:val="000469E0"/>
    <w:rsid w:val="0006460C"/>
    <w:rsid w:val="00076760"/>
    <w:rsid w:val="000A1AF3"/>
    <w:rsid w:val="000A2E87"/>
    <w:rsid w:val="000B4463"/>
    <w:rsid w:val="000C13FE"/>
    <w:rsid w:val="000D0A54"/>
    <w:rsid w:val="000D0EDA"/>
    <w:rsid w:val="000D3717"/>
    <w:rsid w:val="000D3ECB"/>
    <w:rsid w:val="000D6A47"/>
    <w:rsid w:val="000E0BFF"/>
    <w:rsid w:val="000F58C0"/>
    <w:rsid w:val="000F6FB9"/>
    <w:rsid w:val="00106272"/>
    <w:rsid w:val="00116DCB"/>
    <w:rsid w:val="0011775A"/>
    <w:rsid w:val="001209EF"/>
    <w:rsid w:val="001231F3"/>
    <w:rsid w:val="00132E24"/>
    <w:rsid w:val="001518D9"/>
    <w:rsid w:val="00154291"/>
    <w:rsid w:val="001752D5"/>
    <w:rsid w:val="00192C36"/>
    <w:rsid w:val="001A0D91"/>
    <w:rsid w:val="001A1D75"/>
    <w:rsid w:val="001B25B8"/>
    <w:rsid w:val="001C3E14"/>
    <w:rsid w:val="001D4BFD"/>
    <w:rsid w:val="001E30C6"/>
    <w:rsid w:val="001F0361"/>
    <w:rsid w:val="001F5E7A"/>
    <w:rsid w:val="00200239"/>
    <w:rsid w:val="00204E7B"/>
    <w:rsid w:val="00211664"/>
    <w:rsid w:val="0021339E"/>
    <w:rsid w:val="00214CDC"/>
    <w:rsid w:val="002151D3"/>
    <w:rsid w:val="00217E36"/>
    <w:rsid w:val="00234AE7"/>
    <w:rsid w:val="00245B7C"/>
    <w:rsid w:val="00253CFE"/>
    <w:rsid w:val="00257DC5"/>
    <w:rsid w:val="002623BA"/>
    <w:rsid w:val="00281BBA"/>
    <w:rsid w:val="00286AB1"/>
    <w:rsid w:val="002874AB"/>
    <w:rsid w:val="002A50EF"/>
    <w:rsid w:val="002D5641"/>
    <w:rsid w:val="002E4984"/>
    <w:rsid w:val="002E5912"/>
    <w:rsid w:val="002F325D"/>
    <w:rsid w:val="00303A56"/>
    <w:rsid w:val="00303CE1"/>
    <w:rsid w:val="00316D30"/>
    <w:rsid w:val="00317D73"/>
    <w:rsid w:val="0034109E"/>
    <w:rsid w:val="00350A4B"/>
    <w:rsid w:val="00364E26"/>
    <w:rsid w:val="003823D4"/>
    <w:rsid w:val="00386237"/>
    <w:rsid w:val="00395443"/>
    <w:rsid w:val="003B74FE"/>
    <w:rsid w:val="003C17D8"/>
    <w:rsid w:val="003C3786"/>
    <w:rsid w:val="003D3CED"/>
    <w:rsid w:val="003E61F6"/>
    <w:rsid w:val="003F48DF"/>
    <w:rsid w:val="0041559B"/>
    <w:rsid w:val="00427221"/>
    <w:rsid w:val="00432CA5"/>
    <w:rsid w:val="00442487"/>
    <w:rsid w:val="004453CE"/>
    <w:rsid w:val="00445DEE"/>
    <w:rsid w:val="00471A03"/>
    <w:rsid w:val="00471BFB"/>
    <w:rsid w:val="00473CC1"/>
    <w:rsid w:val="00485E93"/>
    <w:rsid w:val="00495350"/>
    <w:rsid w:val="00497665"/>
    <w:rsid w:val="004A490F"/>
    <w:rsid w:val="004A50CE"/>
    <w:rsid w:val="004A6976"/>
    <w:rsid w:val="004C39C2"/>
    <w:rsid w:val="004D2F9E"/>
    <w:rsid w:val="004F04DF"/>
    <w:rsid w:val="004F0D7C"/>
    <w:rsid w:val="004F1AE4"/>
    <w:rsid w:val="005042B8"/>
    <w:rsid w:val="005044D9"/>
    <w:rsid w:val="005150E3"/>
    <w:rsid w:val="0051740B"/>
    <w:rsid w:val="00526C4A"/>
    <w:rsid w:val="0052731A"/>
    <w:rsid w:val="00531A80"/>
    <w:rsid w:val="005509FF"/>
    <w:rsid w:val="00553243"/>
    <w:rsid w:val="005601AE"/>
    <w:rsid w:val="005719C1"/>
    <w:rsid w:val="00577F80"/>
    <w:rsid w:val="005825DF"/>
    <w:rsid w:val="00582E25"/>
    <w:rsid w:val="00585212"/>
    <w:rsid w:val="0058726E"/>
    <w:rsid w:val="00592F40"/>
    <w:rsid w:val="00593025"/>
    <w:rsid w:val="00596CDD"/>
    <w:rsid w:val="005B2B9D"/>
    <w:rsid w:val="005C2788"/>
    <w:rsid w:val="005C5727"/>
    <w:rsid w:val="005D6A22"/>
    <w:rsid w:val="005E7EFD"/>
    <w:rsid w:val="005F66C5"/>
    <w:rsid w:val="005F7A8D"/>
    <w:rsid w:val="00601C81"/>
    <w:rsid w:val="00607612"/>
    <w:rsid w:val="006137AA"/>
    <w:rsid w:val="006267F2"/>
    <w:rsid w:val="00627A7C"/>
    <w:rsid w:val="006319D5"/>
    <w:rsid w:val="00631B11"/>
    <w:rsid w:val="00644B61"/>
    <w:rsid w:val="006475EE"/>
    <w:rsid w:val="00656916"/>
    <w:rsid w:val="006570AA"/>
    <w:rsid w:val="0066707E"/>
    <w:rsid w:val="00675A11"/>
    <w:rsid w:val="00676E45"/>
    <w:rsid w:val="00676F9B"/>
    <w:rsid w:val="006778DA"/>
    <w:rsid w:val="00677E7F"/>
    <w:rsid w:val="00685C32"/>
    <w:rsid w:val="006B3B3D"/>
    <w:rsid w:val="006C1C75"/>
    <w:rsid w:val="006E5748"/>
    <w:rsid w:val="007370F5"/>
    <w:rsid w:val="00741C12"/>
    <w:rsid w:val="00741CC9"/>
    <w:rsid w:val="00744312"/>
    <w:rsid w:val="00746D52"/>
    <w:rsid w:val="00746D7B"/>
    <w:rsid w:val="00752BD2"/>
    <w:rsid w:val="007610D8"/>
    <w:rsid w:val="00762DFC"/>
    <w:rsid w:val="0076408E"/>
    <w:rsid w:val="00775CB5"/>
    <w:rsid w:val="007768E2"/>
    <w:rsid w:val="00776A80"/>
    <w:rsid w:val="007A2CA9"/>
    <w:rsid w:val="007A71C3"/>
    <w:rsid w:val="007B1827"/>
    <w:rsid w:val="007D24C7"/>
    <w:rsid w:val="007D3DD9"/>
    <w:rsid w:val="007E1DDE"/>
    <w:rsid w:val="007E4113"/>
    <w:rsid w:val="007F16DF"/>
    <w:rsid w:val="0080493D"/>
    <w:rsid w:val="008106FA"/>
    <w:rsid w:val="008151E8"/>
    <w:rsid w:val="00815826"/>
    <w:rsid w:val="00817DDF"/>
    <w:rsid w:val="00817F94"/>
    <w:rsid w:val="008230FE"/>
    <w:rsid w:val="00823DA0"/>
    <w:rsid w:val="00827681"/>
    <w:rsid w:val="0083125B"/>
    <w:rsid w:val="0083150E"/>
    <w:rsid w:val="00834D56"/>
    <w:rsid w:val="0083594C"/>
    <w:rsid w:val="008379EB"/>
    <w:rsid w:val="00844849"/>
    <w:rsid w:val="00852059"/>
    <w:rsid w:val="0086553A"/>
    <w:rsid w:val="00873385"/>
    <w:rsid w:val="0088291C"/>
    <w:rsid w:val="00883DA5"/>
    <w:rsid w:val="008954ED"/>
    <w:rsid w:val="008A0AA9"/>
    <w:rsid w:val="008A0DB0"/>
    <w:rsid w:val="008A6676"/>
    <w:rsid w:val="008B41C7"/>
    <w:rsid w:val="008B4C6B"/>
    <w:rsid w:val="008C0586"/>
    <w:rsid w:val="008C05EE"/>
    <w:rsid w:val="008C191E"/>
    <w:rsid w:val="008E1689"/>
    <w:rsid w:val="008F6BFB"/>
    <w:rsid w:val="008F7A00"/>
    <w:rsid w:val="008F7C46"/>
    <w:rsid w:val="00901219"/>
    <w:rsid w:val="0091096F"/>
    <w:rsid w:val="00922A91"/>
    <w:rsid w:val="00926CC9"/>
    <w:rsid w:val="0093494C"/>
    <w:rsid w:val="00936836"/>
    <w:rsid w:val="009412BA"/>
    <w:rsid w:val="00943460"/>
    <w:rsid w:val="00951997"/>
    <w:rsid w:val="00956111"/>
    <w:rsid w:val="0096013A"/>
    <w:rsid w:val="00973D36"/>
    <w:rsid w:val="0099686A"/>
    <w:rsid w:val="009A0D22"/>
    <w:rsid w:val="009A2FB7"/>
    <w:rsid w:val="009A39F6"/>
    <w:rsid w:val="009C2DF4"/>
    <w:rsid w:val="009D49F5"/>
    <w:rsid w:val="009D7311"/>
    <w:rsid w:val="009E2DC2"/>
    <w:rsid w:val="009E2E57"/>
    <w:rsid w:val="009E31A0"/>
    <w:rsid w:val="009E640F"/>
    <w:rsid w:val="009F73AF"/>
    <w:rsid w:val="00A11B75"/>
    <w:rsid w:val="00A11D45"/>
    <w:rsid w:val="00A1272D"/>
    <w:rsid w:val="00A15ADD"/>
    <w:rsid w:val="00A37724"/>
    <w:rsid w:val="00A40254"/>
    <w:rsid w:val="00A464BA"/>
    <w:rsid w:val="00A5093B"/>
    <w:rsid w:val="00A542A7"/>
    <w:rsid w:val="00A63D5A"/>
    <w:rsid w:val="00A6688A"/>
    <w:rsid w:val="00A741BF"/>
    <w:rsid w:val="00A9424B"/>
    <w:rsid w:val="00AA0385"/>
    <w:rsid w:val="00AA527A"/>
    <w:rsid w:val="00AB022A"/>
    <w:rsid w:val="00AB4C34"/>
    <w:rsid w:val="00AB6269"/>
    <w:rsid w:val="00AC45CA"/>
    <w:rsid w:val="00AE4CEE"/>
    <w:rsid w:val="00AE571F"/>
    <w:rsid w:val="00B12DE8"/>
    <w:rsid w:val="00B3555B"/>
    <w:rsid w:val="00B43645"/>
    <w:rsid w:val="00B47AF3"/>
    <w:rsid w:val="00B55330"/>
    <w:rsid w:val="00B62CC5"/>
    <w:rsid w:val="00B67B88"/>
    <w:rsid w:val="00B72963"/>
    <w:rsid w:val="00B81168"/>
    <w:rsid w:val="00B83DA0"/>
    <w:rsid w:val="00B86B0C"/>
    <w:rsid w:val="00B91C21"/>
    <w:rsid w:val="00B93EAA"/>
    <w:rsid w:val="00B94A76"/>
    <w:rsid w:val="00BA176F"/>
    <w:rsid w:val="00BC18CE"/>
    <w:rsid w:val="00BC5731"/>
    <w:rsid w:val="00BC7490"/>
    <w:rsid w:val="00BD5844"/>
    <w:rsid w:val="00BD7348"/>
    <w:rsid w:val="00BE0A56"/>
    <w:rsid w:val="00BE3408"/>
    <w:rsid w:val="00C00665"/>
    <w:rsid w:val="00C076BB"/>
    <w:rsid w:val="00C15FB7"/>
    <w:rsid w:val="00C2218E"/>
    <w:rsid w:val="00C230C2"/>
    <w:rsid w:val="00C30E10"/>
    <w:rsid w:val="00C3220C"/>
    <w:rsid w:val="00C36F58"/>
    <w:rsid w:val="00C42950"/>
    <w:rsid w:val="00C541DA"/>
    <w:rsid w:val="00C674E2"/>
    <w:rsid w:val="00C67F8A"/>
    <w:rsid w:val="00C74456"/>
    <w:rsid w:val="00C870E7"/>
    <w:rsid w:val="00C87FB6"/>
    <w:rsid w:val="00CA2BFA"/>
    <w:rsid w:val="00CA6353"/>
    <w:rsid w:val="00CA6BA9"/>
    <w:rsid w:val="00CA7055"/>
    <w:rsid w:val="00CB032D"/>
    <w:rsid w:val="00CB27B2"/>
    <w:rsid w:val="00CB411F"/>
    <w:rsid w:val="00CC043D"/>
    <w:rsid w:val="00CD3E3E"/>
    <w:rsid w:val="00CF3951"/>
    <w:rsid w:val="00D065CB"/>
    <w:rsid w:val="00D17851"/>
    <w:rsid w:val="00D22621"/>
    <w:rsid w:val="00D32231"/>
    <w:rsid w:val="00D33D74"/>
    <w:rsid w:val="00D4147F"/>
    <w:rsid w:val="00D43484"/>
    <w:rsid w:val="00D43F77"/>
    <w:rsid w:val="00D54E43"/>
    <w:rsid w:val="00D604DD"/>
    <w:rsid w:val="00D61543"/>
    <w:rsid w:val="00D62824"/>
    <w:rsid w:val="00D736C7"/>
    <w:rsid w:val="00D75DEA"/>
    <w:rsid w:val="00D81972"/>
    <w:rsid w:val="00D83230"/>
    <w:rsid w:val="00D925FB"/>
    <w:rsid w:val="00DA0AF3"/>
    <w:rsid w:val="00DA4F67"/>
    <w:rsid w:val="00DA6D32"/>
    <w:rsid w:val="00DB2793"/>
    <w:rsid w:val="00DC237E"/>
    <w:rsid w:val="00DD60F9"/>
    <w:rsid w:val="00DD74CC"/>
    <w:rsid w:val="00DE3A02"/>
    <w:rsid w:val="00DE6F7B"/>
    <w:rsid w:val="00DF4945"/>
    <w:rsid w:val="00E27F26"/>
    <w:rsid w:val="00E31F63"/>
    <w:rsid w:val="00E320A4"/>
    <w:rsid w:val="00E365AE"/>
    <w:rsid w:val="00E4182F"/>
    <w:rsid w:val="00E43B49"/>
    <w:rsid w:val="00E441AD"/>
    <w:rsid w:val="00E73518"/>
    <w:rsid w:val="00E7648B"/>
    <w:rsid w:val="00E83A22"/>
    <w:rsid w:val="00EA368C"/>
    <w:rsid w:val="00EA6912"/>
    <w:rsid w:val="00EC1461"/>
    <w:rsid w:val="00EE1158"/>
    <w:rsid w:val="00EE47C6"/>
    <w:rsid w:val="00EE5F00"/>
    <w:rsid w:val="00EE67B7"/>
    <w:rsid w:val="00F122C7"/>
    <w:rsid w:val="00F14C5D"/>
    <w:rsid w:val="00F202E3"/>
    <w:rsid w:val="00F242D5"/>
    <w:rsid w:val="00F33224"/>
    <w:rsid w:val="00F416EF"/>
    <w:rsid w:val="00F420B7"/>
    <w:rsid w:val="00F61E8C"/>
    <w:rsid w:val="00F6407B"/>
    <w:rsid w:val="00F64FDA"/>
    <w:rsid w:val="00F82BF7"/>
    <w:rsid w:val="00F850E9"/>
    <w:rsid w:val="00F8738B"/>
    <w:rsid w:val="00F92BAD"/>
    <w:rsid w:val="00FA0A1B"/>
    <w:rsid w:val="00FA17C7"/>
    <w:rsid w:val="00FB4065"/>
    <w:rsid w:val="00FC59D4"/>
    <w:rsid w:val="00FD0C92"/>
    <w:rsid w:val="00FD223F"/>
    <w:rsid w:val="00FE1C65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27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27B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9535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11B7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6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27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27B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9535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11B7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6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lina.kliukiene@finmin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lina.kliukiene@finmin.l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CE9E-EA01-4132-B412-F2E235DF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Jankauskienė</dc:creator>
  <cp:lastModifiedBy>Lina Kliukienė</cp:lastModifiedBy>
  <cp:revision>6</cp:revision>
  <cp:lastPrinted>2018-12-14T07:26:00Z</cp:lastPrinted>
  <dcterms:created xsi:type="dcterms:W3CDTF">2020-04-16T14:16:00Z</dcterms:created>
  <dcterms:modified xsi:type="dcterms:W3CDTF">2020-04-16T16:22:00Z</dcterms:modified>
</cp:coreProperties>
</file>