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7A" w:rsidRDefault="00214C7A" w:rsidP="002A1D8A">
      <w:pPr>
        <w:spacing w:after="0" w:line="240" w:lineRule="auto"/>
        <w:ind w:left="666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bookmarkStart w:id="0" w:name="_GoBack"/>
      <w:bookmarkEnd w:id="0"/>
      <w:r w:rsidRPr="00026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Projekt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o</w:t>
      </w:r>
    </w:p>
    <w:p w:rsidR="00214C7A" w:rsidRPr="000262F7" w:rsidRDefault="00214C7A" w:rsidP="002A1D8A">
      <w:pPr>
        <w:spacing w:after="0" w:line="240" w:lineRule="auto"/>
        <w:ind w:left="6663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lyginamasis variantas</w:t>
      </w:r>
    </w:p>
    <w:p w:rsidR="00214C7A" w:rsidRPr="000262F7" w:rsidRDefault="00214C7A" w:rsidP="00214C7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214C7A" w:rsidRPr="000262F7" w:rsidRDefault="00214C7A" w:rsidP="00214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026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LIETUVOS RESPUBLIKOS</w:t>
      </w:r>
    </w:p>
    <w:p w:rsidR="00160B20" w:rsidRDefault="00FB7224" w:rsidP="00214C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VARTOTOJŲ TEISIŲ APSAUGOS</w:t>
      </w:r>
      <w:r w:rsidR="00CB17D0" w:rsidRPr="00CB17D0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ĮSTATYMO NR. </w:t>
      </w:r>
      <w:r w:rsidRPr="00FB7224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I-657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</w:p>
    <w:p w:rsidR="00AD6DC7" w:rsidRDefault="00FB7224" w:rsidP="00214C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40</w:t>
      </w:r>
      <w:r w:rsidR="00CB17D0" w:rsidRPr="00CB17D0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STRAIPSNIO PAKEITIMO </w:t>
      </w:r>
    </w:p>
    <w:p w:rsidR="00214C7A" w:rsidRDefault="00CB17D0" w:rsidP="00214C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CB17D0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ĮSTATYMAS</w:t>
      </w:r>
    </w:p>
    <w:p w:rsidR="00572661" w:rsidRPr="000262F7" w:rsidRDefault="00572661" w:rsidP="00214C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214C7A" w:rsidRPr="000262F7" w:rsidRDefault="00214C7A" w:rsidP="0057266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262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2020 m.    </w:t>
      </w:r>
      <w:r w:rsidR="0057266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="0057266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Pr="000262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Nr.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214C7A" w:rsidRPr="000262F7" w:rsidRDefault="00214C7A" w:rsidP="0057266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262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Vilnius</w:t>
      </w:r>
    </w:p>
    <w:p w:rsidR="00214C7A" w:rsidRPr="000262F7" w:rsidRDefault="00214C7A" w:rsidP="00214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C31C6F" w:rsidRPr="002A1D8A" w:rsidRDefault="00572661" w:rsidP="002A1D8A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bookmarkStart w:id="1" w:name="part_9c05414ba0654dedba5006374539a387"/>
      <w:bookmarkEnd w:id="1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1 </w:t>
      </w:r>
      <w:r w:rsidR="00214C7A" w:rsidRPr="002A1D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straipsnis. </w:t>
      </w:r>
      <w:r w:rsidR="00FB7224" w:rsidRPr="002A1D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40</w:t>
      </w:r>
      <w:r w:rsidR="00C31C6F" w:rsidRPr="002A1D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:rsidR="00C31C6F" w:rsidRPr="00FB7224" w:rsidRDefault="00C31C6F" w:rsidP="00FB722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keisti 40 straipsnio</w:t>
      </w:r>
      <w:r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 dalį ir ją išdėstyti taip</w:t>
      </w:r>
      <w:r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:</w:t>
      </w:r>
    </w:p>
    <w:p w:rsidR="00C31C6F" w:rsidRPr="00C31C6F" w:rsidRDefault="00C31C6F" w:rsidP="00C31C6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C31C6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 w:rsid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1. 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Valstybinė vartotojų teisių apsaugos tarnyba už Reglamento (ES) 2018/302 3, 4</w:t>
      </w:r>
      <w:r w:rsidR="00853B4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straipsniuose ir 5 straipsnio 1 ir 2 dalyse, Civilinio kodekso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5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5 dalyje,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6</w:t>
      </w:r>
      <w:r w:rsidR="0057266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straipsnio 1 dalyje,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7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1 dalyje,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8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2–6 dalyse,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9</w:t>
      </w:r>
      <w:r w:rsidR="00E916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straipsnio 4 ir 5 dalyse,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10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1, 9 ir 10 dalyse,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11</w:t>
      </w:r>
      <w:r w:rsidR="00E916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2, 6–12</w:t>
      </w:r>
      <w:r w:rsidR="00E91685" w:rsidRPr="00FF0F6D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dalyse,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12</w:t>
      </w:r>
      <w:r w:rsidR="0057266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straipsnio 4 ir 7 dalyse, 6.228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16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straipsnio 1 dalyje, 6.359, 6.359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="00E916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straipsniuose, 6.369</w:t>
      </w:r>
      <w:r w:rsidR="00572661">
        <w:t> 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straipsnio 3, 7–13 dalyse, 6.370 straipsnio 4–9 dalyse, </w:t>
      </w:r>
      <w:r w:rsidR="006577CC" w:rsidRPr="006577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Vyriausybės nutarime dėl gyventojams, valstybės ir savivaldybių įstaigoms ir institucijoms, kitoms įstaigoms ir ūkio subjektams būtinų prekių ir (ar) paslaugų didmeninių ir (ar) mažmeninių kainų</w:t>
      </w:r>
      <w:r w:rsidR="00AA7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bei</w:t>
      </w:r>
      <w:r w:rsidR="006577CC" w:rsidRPr="006577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kitų šių prekių ir (ar) paslaugų pardavimo ar teikimo būtinų apribojimų nustatymo susidarius valstybės lygio ekstremaliajai situacijai</w:t>
      </w:r>
      <w:r w:rsidR="00FB7224" w:rsidRPr="006577CC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,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taip pat šio įstatymo 44</w:t>
      </w:r>
      <w:r w:rsidR="00FB7224" w:rsidRPr="004F7C7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="00FB7224" w:rsidRPr="00FB722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straipsnyje nurodytų reikalavimų (draudimų) nesilaikymą pardavėjui, paslaugų teikėjui gali skirti nuo penkių šimtų iki penkių tūkstančių eurų baudą. Valstybinė vartotojų teisių apsaugos tarnyba už Reglamento (ES) Nr. 524/2013 14 straipsnyje, šio įstatymo 5 straipsnio 3–5 dalyse, 21 straipsnio 2 ir 3 dalyse nurodytų reikalavimų nesilaikymą pardavėjui, paslaugų teikėjui gali skirti nuo dviejų šimtų penkiasdešimt iki dviejų tūkstančių penkių šimtų eurų baudą.</w:t>
      </w:r>
      <w:r w:rsidR="00CB17D0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“</w:t>
      </w:r>
    </w:p>
    <w:p w:rsidR="00214C7A" w:rsidRDefault="00214C7A" w:rsidP="00214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:rsidR="00214C7A" w:rsidRPr="000262F7" w:rsidRDefault="00214C7A" w:rsidP="00214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:rsidR="00214C7A" w:rsidRPr="000262F7" w:rsidRDefault="00214C7A" w:rsidP="00572661">
      <w:pPr>
        <w:tabs>
          <w:tab w:val="left" w:pos="567"/>
        </w:tabs>
        <w:spacing w:after="0" w:line="320" w:lineRule="atLeast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262F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:rsidR="00214C7A" w:rsidRPr="000262F7" w:rsidRDefault="00214C7A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214C7A" w:rsidRPr="000262F7" w:rsidRDefault="00214C7A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3E0F6A" w:rsidRDefault="00214C7A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262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Respublikos Prezidentas</w:t>
      </w:r>
    </w:p>
    <w:p w:rsidR="007D690F" w:rsidRDefault="007D690F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7D690F" w:rsidRDefault="007D690F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7D690F" w:rsidRPr="00214C7A" w:rsidRDefault="007D690F" w:rsidP="00214C7A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sectPr w:rsidR="007D690F" w:rsidRPr="00214C7A" w:rsidSect="002A1D8A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2C7"/>
    <w:multiLevelType w:val="hybridMultilevel"/>
    <w:tmpl w:val="57DC276E"/>
    <w:lvl w:ilvl="0" w:tplc="3CB8D8A8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5" w:hanging="360"/>
      </w:pPr>
    </w:lvl>
    <w:lvl w:ilvl="2" w:tplc="0409001B" w:tentative="1">
      <w:start w:val="1"/>
      <w:numFmt w:val="lowerRoman"/>
      <w:lvlText w:val="%3."/>
      <w:lvlJc w:val="right"/>
      <w:pPr>
        <w:ind w:left="7895" w:hanging="180"/>
      </w:pPr>
    </w:lvl>
    <w:lvl w:ilvl="3" w:tplc="0409000F" w:tentative="1">
      <w:start w:val="1"/>
      <w:numFmt w:val="decimal"/>
      <w:lvlText w:val="%4."/>
      <w:lvlJc w:val="left"/>
      <w:pPr>
        <w:ind w:left="8615" w:hanging="360"/>
      </w:pPr>
    </w:lvl>
    <w:lvl w:ilvl="4" w:tplc="04090019" w:tentative="1">
      <w:start w:val="1"/>
      <w:numFmt w:val="lowerLetter"/>
      <w:lvlText w:val="%5."/>
      <w:lvlJc w:val="left"/>
      <w:pPr>
        <w:ind w:left="9335" w:hanging="360"/>
      </w:pPr>
    </w:lvl>
    <w:lvl w:ilvl="5" w:tplc="0409001B" w:tentative="1">
      <w:start w:val="1"/>
      <w:numFmt w:val="lowerRoman"/>
      <w:lvlText w:val="%6."/>
      <w:lvlJc w:val="right"/>
      <w:pPr>
        <w:ind w:left="10055" w:hanging="180"/>
      </w:pPr>
    </w:lvl>
    <w:lvl w:ilvl="6" w:tplc="0409000F" w:tentative="1">
      <w:start w:val="1"/>
      <w:numFmt w:val="decimal"/>
      <w:lvlText w:val="%7."/>
      <w:lvlJc w:val="left"/>
      <w:pPr>
        <w:ind w:left="10775" w:hanging="360"/>
      </w:pPr>
    </w:lvl>
    <w:lvl w:ilvl="7" w:tplc="04090019" w:tentative="1">
      <w:start w:val="1"/>
      <w:numFmt w:val="lowerLetter"/>
      <w:lvlText w:val="%8."/>
      <w:lvlJc w:val="left"/>
      <w:pPr>
        <w:ind w:left="11495" w:hanging="360"/>
      </w:pPr>
    </w:lvl>
    <w:lvl w:ilvl="8" w:tplc="040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">
    <w:nsid w:val="1E3E715F"/>
    <w:multiLevelType w:val="hybridMultilevel"/>
    <w:tmpl w:val="9008F3B6"/>
    <w:lvl w:ilvl="0" w:tplc="3C5CEB8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CB35BA"/>
    <w:multiLevelType w:val="hybridMultilevel"/>
    <w:tmpl w:val="FAB6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7A"/>
    <w:rsid w:val="00160B20"/>
    <w:rsid w:val="00214C7A"/>
    <w:rsid w:val="002A1D8A"/>
    <w:rsid w:val="00325A4D"/>
    <w:rsid w:val="00351876"/>
    <w:rsid w:val="003A4DAF"/>
    <w:rsid w:val="003C419A"/>
    <w:rsid w:val="003D130D"/>
    <w:rsid w:val="003E0F6A"/>
    <w:rsid w:val="004F7C7D"/>
    <w:rsid w:val="005718BF"/>
    <w:rsid w:val="00572661"/>
    <w:rsid w:val="006577CC"/>
    <w:rsid w:val="007D690F"/>
    <w:rsid w:val="00853B42"/>
    <w:rsid w:val="00AA7876"/>
    <w:rsid w:val="00AD6DC7"/>
    <w:rsid w:val="00B514B8"/>
    <w:rsid w:val="00B725C2"/>
    <w:rsid w:val="00BB2E22"/>
    <w:rsid w:val="00C31C6F"/>
    <w:rsid w:val="00CB17D0"/>
    <w:rsid w:val="00CD0BDD"/>
    <w:rsid w:val="00E91685"/>
    <w:rsid w:val="00FB7224"/>
    <w:rsid w:val="00FD12EA"/>
    <w:rsid w:val="00FD1C18"/>
    <w:rsid w:val="00FE6A4C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656A-7709-467F-86D2-DBEB263D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7A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266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2020-03-25T05:43:00Z</dcterms:created>
  <dc:creator>Simonas Klimanskis</dc:creator>
  <cp:lastModifiedBy>Aleksandr Radcenko</cp:lastModifiedBy>
  <dcterms:modified xsi:type="dcterms:W3CDTF">2020-03-25T05:50:00Z</dcterms:modified>
  <cp:revision>4</cp:revision>
  <dc:title>Projekto</dc:title>
</cp:coreProperties>
</file>