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35" w:rsidRDefault="0046191C" w:rsidP="008A042A">
      <w:pPr>
        <w:pStyle w:val="Typedudocument"/>
        <w:spacing w:before="0" w:line="240" w:lineRule="auto"/>
      </w:pPr>
      <w:bookmarkStart w:id="0" w:name="_GoBack"/>
      <w:bookmarkEnd w:id="0"/>
      <w:r w:rsidRPr="007E4CFB">
        <w:rPr>
          <w:snapToGrid w:val="0"/>
        </w:rPr>
        <w:t>DIREKTYV</w:t>
      </w:r>
      <w:r>
        <w:rPr>
          <w:snapToGrid w:val="0"/>
        </w:rPr>
        <w:t>OS 2014/54</w:t>
      </w:r>
      <w:r w:rsidRPr="008E4315">
        <w:rPr>
          <w:snapToGrid w:val="0"/>
        </w:rPr>
        <w:t>/ES</w:t>
      </w:r>
      <w:r w:rsidRPr="0046191C">
        <w:t xml:space="preserve"> </w:t>
      </w:r>
      <w:r w:rsidRPr="00EE667D">
        <w:t>KAI KURIŲ NUOSTATŲ IR LIETUVOS RESPUBLIKOS</w:t>
      </w:r>
      <w:r w:rsidR="008A042A">
        <w:t xml:space="preserve"> UŽIMTUMO ĮSTATYMO </w:t>
      </w:r>
      <w:r w:rsidR="008A042A" w:rsidRPr="008A042A">
        <w:rPr>
          <w:bCs/>
        </w:rPr>
        <w:t xml:space="preserve">NR. </w:t>
      </w:r>
      <w:r w:rsidR="008A042A" w:rsidRPr="008A042A">
        <w:t xml:space="preserve">XII-2470 1, </w:t>
      </w:r>
      <w:r w:rsidR="00FD26D7">
        <w:t xml:space="preserve">8, 10, 13, </w:t>
      </w:r>
      <w:r w:rsidR="006E1CED">
        <w:t xml:space="preserve">22, </w:t>
      </w:r>
      <w:r w:rsidR="008A042A" w:rsidRPr="008A042A">
        <w:rPr>
          <w:bCs/>
        </w:rPr>
        <w:t xml:space="preserve">24, 25, </w:t>
      </w:r>
      <w:r w:rsidR="00FD26D7">
        <w:rPr>
          <w:bCs/>
        </w:rPr>
        <w:t xml:space="preserve">37, </w:t>
      </w:r>
      <w:r w:rsidR="008A042A" w:rsidRPr="008A042A">
        <w:rPr>
          <w:bCs/>
        </w:rPr>
        <w:t>4</w:t>
      </w:r>
      <w:r w:rsidR="00EC6F37">
        <w:rPr>
          <w:bCs/>
        </w:rPr>
        <w:t>4</w:t>
      </w:r>
      <w:r w:rsidR="008A042A" w:rsidRPr="008A042A">
        <w:rPr>
          <w:bCs/>
        </w:rPr>
        <w:t>, 47</w:t>
      </w:r>
      <w:r w:rsidR="00FD26D7">
        <w:rPr>
          <w:bCs/>
        </w:rPr>
        <w:t>, 49</w:t>
      </w:r>
      <w:r w:rsidR="006E1CED">
        <w:rPr>
          <w:bCs/>
        </w:rPr>
        <w:t> </w:t>
      </w:r>
      <w:r w:rsidR="008A042A" w:rsidRPr="008A042A">
        <w:rPr>
          <w:bCs/>
        </w:rPr>
        <w:t xml:space="preserve">STRAIPSNIŲ </w:t>
      </w:r>
      <w:r w:rsidRPr="00EE667D">
        <w:t>PAKEITIMO</w:t>
      </w:r>
      <w:r w:rsidR="006E1CED">
        <w:t xml:space="preserve"> </w:t>
      </w:r>
      <w:r w:rsidR="008A042A">
        <w:t>ĮSTATYMO</w:t>
      </w:r>
      <w:r w:rsidR="006E1CED">
        <w:t xml:space="preserve"> PROJEKTO</w:t>
      </w:r>
    </w:p>
    <w:p w:rsidR="0046191C" w:rsidRDefault="0046191C" w:rsidP="008A042A">
      <w:pPr>
        <w:pStyle w:val="Typedudocument"/>
        <w:spacing w:before="0" w:line="240" w:lineRule="auto"/>
        <w:rPr>
          <w:snapToGrid w:val="0"/>
        </w:rPr>
      </w:pPr>
      <w:r w:rsidRPr="00EE667D">
        <w:t>ATITIKTIES LENTELĖ</w:t>
      </w:r>
    </w:p>
    <w:p w:rsidR="004868B0" w:rsidRPr="00D3292D" w:rsidRDefault="004868B0" w:rsidP="00486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24" w:type="dxa"/>
        <w:tblInd w:w="-318" w:type="dxa"/>
        <w:tblLook w:val="04A0" w:firstRow="1" w:lastRow="0" w:firstColumn="1" w:lastColumn="0" w:noHBand="0" w:noVBand="1"/>
      </w:tblPr>
      <w:tblGrid>
        <w:gridCol w:w="3687"/>
        <w:gridCol w:w="4395"/>
        <w:gridCol w:w="1842"/>
      </w:tblGrid>
      <w:tr w:rsidR="004868B0" w:rsidRPr="00D3292D" w:rsidTr="00B75397">
        <w:tc>
          <w:tcPr>
            <w:tcW w:w="3687" w:type="dxa"/>
          </w:tcPr>
          <w:p w:rsidR="0046191C" w:rsidRPr="008971B1" w:rsidRDefault="004868B0" w:rsidP="0046191C">
            <w:pPr>
              <w:pStyle w:val="Titreobjet"/>
              <w:spacing w:before="0" w:after="0" w:line="240" w:lineRule="auto"/>
              <w:jc w:val="both"/>
              <w:rPr>
                <w:noProof/>
                <w:snapToGrid w:val="0"/>
              </w:rPr>
            </w:pPr>
            <w:r w:rsidRPr="00EE667D">
              <w:t>201</w:t>
            </w:r>
            <w:r w:rsidR="0046191C">
              <w:t>4</w:t>
            </w:r>
            <w:r w:rsidRPr="00EE667D">
              <w:t xml:space="preserve"> m. </w:t>
            </w:r>
            <w:r w:rsidR="0046191C">
              <w:t>balandžio</w:t>
            </w:r>
            <w:r w:rsidRPr="00EE667D">
              <w:t xml:space="preserve"> 1</w:t>
            </w:r>
            <w:r w:rsidR="0046191C">
              <w:t>6</w:t>
            </w:r>
            <w:r w:rsidRPr="00EE667D">
              <w:t xml:space="preserve"> d. Europos Parlamento ir Tarybos direktyva 201</w:t>
            </w:r>
            <w:r w:rsidR="0046191C">
              <w:t>4</w:t>
            </w:r>
            <w:r w:rsidRPr="00EE667D">
              <w:t>/</w:t>
            </w:r>
            <w:r w:rsidR="0046191C">
              <w:t>54</w:t>
            </w:r>
            <w:r w:rsidRPr="00EE667D">
              <w:t xml:space="preserve">/ES </w:t>
            </w:r>
            <w:r w:rsidRPr="00EE667D">
              <w:rPr>
                <w:bCs/>
              </w:rPr>
              <w:t xml:space="preserve">dėl </w:t>
            </w:r>
            <w:r w:rsidR="0046191C" w:rsidRPr="007E4CFB">
              <w:rPr>
                <w:snapToGrid w:val="0"/>
              </w:rPr>
              <w:t>priemonių, kad darbuotojai galėtų lengviau naudotis laisvo darbuotojų judėjimo teisėmis</w:t>
            </w:r>
          </w:p>
          <w:p w:rsidR="004868B0" w:rsidRPr="00EE667D" w:rsidRDefault="000603DF" w:rsidP="0046191C">
            <w:pPr>
              <w:jc w:val="both"/>
              <w:rPr>
                <w:rFonts w:ascii="Times New Roman" w:hAnsi="Times New Roman" w:cs="Times New Roman"/>
              </w:rPr>
            </w:pPr>
            <w:r w:rsidRPr="000603DF">
              <w:rPr>
                <w:rFonts w:ascii="Times New Roman" w:hAnsi="Times New Roman" w:cs="Times New Roman"/>
                <w:bCs/>
              </w:rPr>
              <w:t>(OL 2014 L 128, p. 8)</w:t>
            </w:r>
          </w:p>
        </w:tc>
        <w:tc>
          <w:tcPr>
            <w:tcW w:w="4395" w:type="dxa"/>
          </w:tcPr>
          <w:p w:rsidR="004868B0" w:rsidRPr="00803405" w:rsidRDefault="004868B0" w:rsidP="00843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  <w:r w:rsidR="0046191C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užimtumo įstatymo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011C35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XII-2470 1, </w:t>
            </w:r>
            <w:r w:rsidR="00FD26D7"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8, 10, 13, </w:t>
            </w:r>
            <w:r w:rsidR="00A33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22,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24, 25, 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37, 4</w:t>
            </w:r>
            <w:r w:rsidR="00EC6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D26D7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47, 49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straipsnių pakeitimo</w:t>
            </w:r>
            <w:r w:rsidR="00A33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1C35" w:rsidRPr="0080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įstatymo </w:t>
            </w:r>
            <w:r w:rsidR="00803405"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</w:p>
        </w:tc>
        <w:tc>
          <w:tcPr>
            <w:tcW w:w="1842" w:type="dxa"/>
          </w:tcPr>
          <w:p w:rsidR="004868B0" w:rsidRPr="00803405" w:rsidRDefault="004868B0" w:rsidP="00F538CD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03405">
              <w:rPr>
                <w:rFonts w:ascii="Times New Roman" w:hAnsi="Times New Roman" w:cs="Times New Roman"/>
                <w:b/>
                <w:sz w:val="24"/>
                <w:szCs w:val="24"/>
              </w:rPr>
              <w:t>Direktyvos perkėlimo ir įgyvendinimo lygis</w:t>
            </w:r>
          </w:p>
        </w:tc>
      </w:tr>
      <w:tr w:rsidR="004868B0" w:rsidRPr="00D3292D" w:rsidTr="00B75397">
        <w:tc>
          <w:tcPr>
            <w:tcW w:w="3687" w:type="dxa"/>
          </w:tcPr>
          <w:p w:rsidR="004C0FCC" w:rsidRPr="00355E56" w:rsidRDefault="004C0FCC" w:rsidP="00355E56">
            <w:pPr>
              <w:keepNext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1 straipsnis</w:t>
            </w:r>
            <w:r w:rsidR="00355E56"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.</w:t>
            </w:r>
            <w:r w:rsidRPr="00355E56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 Dalykas</w:t>
            </w:r>
          </w:p>
          <w:p w:rsidR="004C0FCC" w:rsidRPr="00355E56" w:rsidRDefault="004C0FCC" w:rsidP="00355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Šia direktyva nustatomos nuostatos, kuriomis sudaromos palankesnės sąlygos vienodai taikyti ir įgyvendinti praktikoje SESV 45 straipsniu ir Reglamento (ES) Nr. 492/2011 1–10 straipsniais suteiktas teises. Ši direktyva taikoma Sąjungos piliečiams, besinaudojantiems tomis teisėmis, ir jų šeimos nariams (toliau – Sąjungos darbuotojai ir jų šeimos nariai).</w:t>
            </w:r>
          </w:p>
          <w:p w:rsidR="004C0FCC" w:rsidRPr="00355E56" w:rsidRDefault="004C0FCC" w:rsidP="00355E56">
            <w:pPr>
              <w:keepNext/>
              <w:jc w:val="both"/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</w:rPr>
              <w:t>2 straipsnis. Taikymo sritis</w:t>
            </w:r>
          </w:p>
          <w:p w:rsidR="004C0FCC" w:rsidRPr="00355E56" w:rsidRDefault="004C0FCC" w:rsidP="00355E56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</w:t>
            </w:r>
            <w:r w:rsidR="00355E56"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355E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Ši direktyva taikoma šiems laisvo darbuotojų judėjimo srities aspektams, kaip nurodyta Reglamento (ES) Nr. 492/2011 1–10 straipsniuose:</w:t>
            </w:r>
          </w:p>
          <w:p w:rsidR="004C0FCC" w:rsidRPr="00355E56" w:rsidRDefault="004C0FCC" w:rsidP="00355E56">
            <w:pPr>
              <w:ind w:left="460" w:hanging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galimybėms įsidarbinti; </w:t>
            </w:r>
          </w:p>
          <w:p w:rsidR="004C0FCC" w:rsidRPr="00355E56" w:rsidRDefault="004C0FCC" w:rsidP="00355E56">
            <w:pPr>
              <w:ind w:left="460" w:hanging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[...]</w:t>
            </w:r>
          </w:p>
          <w:p w:rsidR="004868B0" w:rsidRPr="00355E56" w:rsidRDefault="004C0FCC" w:rsidP="00355E56">
            <w:pPr>
              <w:ind w:left="460" w:hanging="28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  <w:r w:rsidRPr="00355E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įdarbinimo tarnybų teikiamai paramai.</w:t>
            </w:r>
          </w:p>
        </w:tc>
        <w:tc>
          <w:tcPr>
            <w:tcW w:w="4395" w:type="dxa"/>
          </w:tcPr>
          <w:p w:rsidR="00BE7B11" w:rsidRPr="00355E56" w:rsidRDefault="00BE7B11" w:rsidP="00BE7B11">
            <w:pPr>
              <w:ind w:left="1080" w:hanging="10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straipsnis. </w:t>
            </w:r>
            <w:r w:rsidRPr="0035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straipsnio pakeitimas</w:t>
            </w:r>
          </w:p>
          <w:p w:rsidR="00BE7B11" w:rsidRPr="00355E56" w:rsidRDefault="00BE7B11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 Pakeisti 1 straipsnio 2 dalies 2 punktą ir jį išdėstyti taip:</w:t>
            </w:r>
          </w:p>
          <w:p w:rsidR="00011C35" w:rsidRPr="00355E56" w:rsidRDefault="00011C35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2. Šiuo įstatymu nustatytos darbo rinkos paslaugos ir užimtumo rėmimo priemonės taikomos: </w:t>
            </w:r>
          </w:p>
          <w:p w:rsidR="00011C35" w:rsidRPr="00355E56" w:rsidRDefault="00011C35" w:rsidP="00BE7B11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[...]</w:t>
            </w:r>
          </w:p>
          <w:p w:rsidR="00BE7B11" w:rsidRPr="00355E56" w:rsidRDefault="00BE7B11" w:rsidP="00BE7B11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„2) Lietuvos Respublikos piliečiams, Europos Sąjungos ar Europos laisvosios prekybos asociacijos valstybių narių piliečiams ir jų šeimos nariams, gyvenantiems kitoje Europos Sąjungos ar Europos laisvosios prekybos asociacijos valstybėje narėje</w:t>
            </w:r>
            <w:r w:rsidR="00011C35"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;</w:t>
            </w:r>
            <w:r w:rsidRPr="00355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</w:p>
          <w:p w:rsidR="004868B0" w:rsidRPr="00355E56" w:rsidRDefault="00011C35" w:rsidP="004C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56">
              <w:rPr>
                <w:rFonts w:ascii="Times New Roman" w:hAnsi="Times New Roman" w:cs="Times New Roman"/>
                <w:sz w:val="24"/>
                <w:szCs w:val="24"/>
              </w:rPr>
              <w:t>[...].</w:t>
            </w:r>
          </w:p>
        </w:tc>
        <w:tc>
          <w:tcPr>
            <w:tcW w:w="1842" w:type="dxa"/>
          </w:tcPr>
          <w:p w:rsidR="004868B0" w:rsidRPr="00C7702E" w:rsidRDefault="004868B0" w:rsidP="004C0FC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68B0" w:rsidRDefault="004868B0" w:rsidP="004C0FCC">
      <w:pPr>
        <w:spacing w:after="0" w:line="240" w:lineRule="auto"/>
      </w:pPr>
    </w:p>
    <w:p w:rsidR="007831EC" w:rsidRDefault="007831EC"/>
    <w:sectPr w:rsidR="007831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B0"/>
    <w:rsid w:val="00011C35"/>
    <w:rsid w:val="000603DF"/>
    <w:rsid w:val="0020294B"/>
    <w:rsid w:val="00225AB1"/>
    <w:rsid w:val="003548F0"/>
    <w:rsid w:val="00355E56"/>
    <w:rsid w:val="0046191C"/>
    <w:rsid w:val="004868B0"/>
    <w:rsid w:val="004C0FCC"/>
    <w:rsid w:val="006C6E25"/>
    <w:rsid w:val="006E1CED"/>
    <w:rsid w:val="007831EC"/>
    <w:rsid w:val="007C549B"/>
    <w:rsid w:val="007F300E"/>
    <w:rsid w:val="00803405"/>
    <w:rsid w:val="008039AF"/>
    <w:rsid w:val="008069D4"/>
    <w:rsid w:val="00843E2E"/>
    <w:rsid w:val="008A042A"/>
    <w:rsid w:val="009A6B9F"/>
    <w:rsid w:val="00A14CB3"/>
    <w:rsid w:val="00A33449"/>
    <w:rsid w:val="00B75397"/>
    <w:rsid w:val="00BB0841"/>
    <w:rsid w:val="00BE7B11"/>
    <w:rsid w:val="00CE365B"/>
    <w:rsid w:val="00D06562"/>
    <w:rsid w:val="00DE60D9"/>
    <w:rsid w:val="00E602E8"/>
    <w:rsid w:val="00EC6F37"/>
    <w:rsid w:val="00F20C49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prastasis"/>
    <w:next w:val="Titreobjet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reobjet">
    <w:name w:val="Titre objet"/>
    <w:basedOn w:val="prastasis"/>
    <w:next w:val="prastasis"/>
    <w:rsid w:val="0046191C"/>
    <w:pPr>
      <w:spacing w:before="360" w:after="36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prastasis"/>
    <w:next w:val="Datedadoption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11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prastasis"/>
    <w:next w:val="Titreobjet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reobjet">
    <w:name w:val="Titre objet"/>
    <w:basedOn w:val="prastasis"/>
    <w:next w:val="prastasis"/>
    <w:rsid w:val="0046191C"/>
    <w:pPr>
      <w:spacing w:before="360" w:after="36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prastasis"/>
    <w:next w:val="Datedadoption"/>
    <w:rsid w:val="0046191C"/>
    <w:pPr>
      <w:spacing w:before="36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1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2020-02-10T13:46:00Z</dcterms:created>
  <dc:creator>Rasa Malaiškienė</dc:creator>
  <cp:lastModifiedBy>Milda Kojelienė</cp:lastModifiedBy>
  <dcterms:modified xsi:type="dcterms:W3CDTF">2020-02-10T13:46:00Z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1556397755</vt:i4>
  </property>
  <property fmtid="{D5CDD505-2E9C-101B-9397-08002B2CF9AE}" pid="3" name="_NewReviewCycle">
    <vt:lpwstr/>
  </property>
  <property fmtid="{D5CDD505-2E9C-101B-9397-08002B2CF9AE}" pid="4" name="_EmailSubject">
    <vt:lpwstr>Įstatymo pakeitimo projektas</vt:lpwstr>
  </property>
  <property fmtid="{D5CDD505-2E9C-101B-9397-08002B2CF9AE}" pid="5" name="_AuthorEmail">
    <vt:lpwstr>Rasa.Malaiskiene@socmin.lt</vt:lpwstr>
  </property>
  <property fmtid="{D5CDD505-2E9C-101B-9397-08002B2CF9AE}" pid="6" name="_AuthorEmailDisplayName">
    <vt:lpwstr>Rasa Malaiškienė</vt:lpwstr>
  </property>
  <property fmtid="{D5CDD505-2E9C-101B-9397-08002B2CF9AE}" pid="7" name="_ReviewingToolsShownOnce">
    <vt:lpwstr/>
  </property>
</Properties>
</file>