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25" w:rsidRPr="00FB0625" w:rsidRDefault="00FB0625" w:rsidP="00FB0625">
      <w:pPr>
        <w:tabs>
          <w:tab w:val="left" w:pos="14040"/>
        </w:tabs>
        <w:ind w:left="284"/>
        <w:rPr>
          <w:b/>
        </w:rPr>
      </w:pPr>
      <w:r>
        <w:rPr>
          <w:b/>
        </w:rPr>
        <w:tab/>
      </w:r>
      <w:r w:rsidRPr="00FB0625">
        <w:rPr>
          <w:b/>
        </w:rPr>
        <w:t>Projektas</w:t>
      </w:r>
    </w:p>
    <w:p w:rsidR="00CC044E" w:rsidRPr="00FB0625" w:rsidRDefault="00C4261D" w:rsidP="00184447">
      <w:pPr>
        <w:tabs>
          <w:tab w:val="left" w:pos="14040"/>
        </w:tabs>
        <w:jc w:val="center"/>
        <w:rPr>
          <w:b/>
        </w:rPr>
      </w:pPr>
      <w:r>
        <w:rPr>
          <w:b/>
        </w:rPr>
        <w:t xml:space="preserve">2020 M. </w:t>
      </w:r>
      <w:r w:rsidRPr="00C4261D">
        <w:rPr>
          <w:b/>
        </w:rPr>
        <w:t xml:space="preserve">PRIEMONIŲ FINANSINIŲ TECHNOLOGIJŲ (FINTECH) INDUSTRIJOS </w:t>
      </w:r>
      <w:r>
        <w:rPr>
          <w:b/>
        </w:rPr>
        <w:t>PLĖTRAI LIETUVOJE SKATINTI PLANAS</w:t>
      </w:r>
    </w:p>
    <w:p w:rsidR="00652C2B" w:rsidRDefault="00652C2B" w:rsidP="00184447">
      <w:pPr>
        <w:spacing w:after="0"/>
        <w:ind w:left="284" w:firstLine="709"/>
      </w:pPr>
      <w:r>
        <w:t xml:space="preserve">Įgyvendinant </w:t>
      </w:r>
      <w:r w:rsidR="009D42AD">
        <w:t>šiame</w:t>
      </w:r>
      <w:r>
        <w:t xml:space="preserve"> plane numatytas priemones, bus stebimi ir vertinami </w:t>
      </w:r>
      <w:r w:rsidR="009D42AD">
        <w:t xml:space="preserve">tokie </w:t>
      </w:r>
      <w:r>
        <w:t>rodikliai:</w:t>
      </w:r>
    </w:p>
    <w:tbl>
      <w:tblPr>
        <w:tblStyle w:val="Lentelstinklelis"/>
        <w:tblpPr w:leftFromText="180" w:rightFromText="180" w:vertAnchor="text" w:horzAnchor="page" w:tblpX="1078" w:tblpY="272"/>
        <w:tblW w:w="0" w:type="auto"/>
        <w:tblLook w:val="0000" w:firstRow="0" w:lastRow="0" w:firstColumn="0" w:lastColumn="0" w:noHBand="0" w:noVBand="0"/>
      </w:tblPr>
      <w:tblGrid>
        <w:gridCol w:w="5920"/>
        <w:gridCol w:w="5387"/>
        <w:gridCol w:w="3260"/>
      </w:tblGrid>
      <w:tr w:rsidR="00652C2B" w:rsidRPr="00652C2B" w:rsidTr="00271F99">
        <w:trPr>
          <w:trHeight w:val="107"/>
        </w:trPr>
        <w:tc>
          <w:tcPr>
            <w:tcW w:w="5920" w:type="dxa"/>
            <w:vAlign w:val="center"/>
          </w:tcPr>
          <w:p w:rsidR="00652C2B" w:rsidRPr="00652C2B" w:rsidRDefault="00652C2B" w:rsidP="00652C2B">
            <w:pPr>
              <w:spacing w:before="240" w:after="200" w:line="276" w:lineRule="auto"/>
              <w:jc w:val="center"/>
            </w:pPr>
            <w:r w:rsidRPr="00652C2B">
              <w:rPr>
                <w:b/>
                <w:bCs/>
              </w:rPr>
              <w:t>Rodiklis</w:t>
            </w:r>
          </w:p>
        </w:tc>
        <w:tc>
          <w:tcPr>
            <w:tcW w:w="5387" w:type="dxa"/>
            <w:vAlign w:val="center"/>
          </w:tcPr>
          <w:p w:rsidR="00652C2B" w:rsidRPr="00652C2B" w:rsidRDefault="00652C2B" w:rsidP="00652C2B">
            <w:pPr>
              <w:spacing w:before="240" w:after="200" w:line="276" w:lineRule="auto"/>
              <w:jc w:val="center"/>
            </w:pPr>
            <w:r>
              <w:rPr>
                <w:b/>
                <w:bCs/>
              </w:rPr>
              <w:t>Rodiklio reikšmė 2019</w:t>
            </w:r>
            <w:r w:rsidRPr="00652C2B">
              <w:rPr>
                <w:b/>
                <w:bCs/>
              </w:rPr>
              <w:t xml:space="preserve"> m. pabaigoje</w:t>
            </w:r>
          </w:p>
        </w:tc>
        <w:tc>
          <w:tcPr>
            <w:tcW w:w="3260" w:type="dxa"/>
            <w:vAlign w:val="center"/>
          </w:tcPr>
          <w:p w:rsidR="00652C2B" w:rsidRPr="00652C2B" w:rsidRDefault="00652C2B" w:rsidP="00652C2B">
            <w:pPr>
              <w:spacing w:before="240" w:after="200" w:line="276" w:lineRule="auto"/>
              <w:jc w:val="center"/>
            </w:pPr>
            <w:r>
              <w:rPr>
                <w:b/>
                <w:bCs/>
              </w:rPr>
              <w:t>Siektina rodiklio reikšmė 2020</w:t>
            </w:r>
            <w:r w:rsidRPr="00652C2B">
              <w:rPr>
                <w:b/>
                <w:bCs/>
              </w:rPr>
              <w:t xml:space="preserve"> m. pabaigoje</w:t>
            </w:r>
          </w:p>
        </w:tc>
      </w:tr>
      <w:tr w:rsidR="00652C2B" w:rsidRPr="00652C2B" w:rsidTr="00271F99">
        <w:trPr>
          <w:trHeight w:val="835"/>
        </w:trPr>
        <w:tc>
          <w:tcPr>
            <w:tcW w:w="5920" w:type="dxa"/>
            <w:vAlign w:val="center"/>
          </w:tcPr>
          <w:p w:rsidR="00652C2B" w:rsidRPr="00652C2B" w:rsidRDefault="00652C2B" w:rsidP="003973E9">
            <w:pPr>
              <w:spacing w:after="200" w:line="276" w:lineRule="auto"/>
              <w:jc w:val="both"/>
            </w:pPr>
            <w:r w:rsidRPr="00652C2B">
              <w:t>Finansinių technologijų (FINTECH) įmonių skaičius</w:t>
            </w:r>
          </w:p>
        </w:tc>
        <w:tc>
          <w:tcPr>
            <w:tcW w:w="5387" w:type="dxa"/>
            <w:vAlign w:val="center"/>
          </w:tcPr>
          <w:p w:rsidR="00652C2B" w:rsidRPr="00652C2B" w:rsidRDefault="00652C2B" w:rsidP="003973E9">
            <w:pPr>
              <w:spacing w:after="200" w:line="276" w:lineRule="auto"/>
              <w:jc w:val="both"/>
            </w:pPr>
            <w:r>
              <w:t>210 FINTECH įmonių</w:t>
            </w:r>
          </w:p>
        </w:tc>
        <w:tc>
          <w:tcPr>
            <w:tcW w:w="3260" w:type="dxa"/>
            <w:vAlign w:val="center"/>
          </w:tcPr>
          <w:p w:rsidR="00652C2B" w:rsidRPr="00652C2B" w:rsidRDefault="00652C2B" w:rsidP="00135EF8">
            <w:pPr>
              <w:spacing w:after="200" w:line="276" w:lineRule="auto"/>
              <w:jc w:val="center"/>
            </w:pPr>
            <w:r w:rsidRPr="00652C2B">
              <w:t>15 proc. augimas</w:t>
            </w:r>
          </w:p>
        </w:tc>
      </w:tr>
      <w:tr w:rsidR="00652C2B" w:rsidRPr="00652C2B" w:rsidTr="00271F99">
        <w:trPr>
          <w:trHeight w:val="835"/>
        </w:trPr>
        <w:tc>
          <w:tcPr>
            <w:tcW w:w="5920" w:type="dxa"/>
            <w:vAlign w:val="center"/>
          </w:tcPr>
          <w:p w:rsidR="00652C2B" w:rsidRPr="00652C2B" w:rsidRDefault="00652C2B" w:rsidP="003973E9">
            <w:pPr>
              <w:spacing w:after="200" w:line="276" w:lineRule="auto"/>
              <w:jc w:val="both"/>
            </w:pPr>
            <w:r w:rsidRPr="00652C2B">
              <w:t>FINTECH sektoriuje sukurtų darbo vietų skaičius</w:t>
            </w:r>
          </w:p>
        </w:tc>
        <w:tc>
          <w:tcPr>
            <w:tcW w:w="5387" w:type="dxa"/>
            <w:vAlign w:val="center"/>
          </w:tcPr>
          <w:p w:rsidR="00652C2B" w:rsidRPr="00652C2B" w:rsidRDefault="00652C2B" w:rsidP="003973E9">
            <w:pPr>
              <w:spacing w:after="200" w:line="276" w:lineRule="auto"/>
              <w:jc w:val="both"/>
            </w:pPr>
            <w:r>
              <w:t>3</w:t>
            </w:r>
            <w:r w:rsidR="009D42AD">
              <w:t> </w:t>
            </w:r>
            <w:r>
              <w:t>400 darbo vietų</w:t>
            </w:r>
          </w:p>
        </w:tc>
        <w:tc>
          <w:tcPr>
            <w:tcW w:w="3260" w:type="dxa"/>
            <w:vAlign w:val="center"/>
          </w:tcPr>
          <w:p w:rsidR="00652C2B" w:rsidRPr="00652C2B" w:rsidRDefault="00652C2B" w:rsidP="00135EF8">
            <w:pPr>
              <w:spacing w:after="200" w:line="276" w:lineRule="auto"/>
              <w:jc w:val="center"/>
            </w:pPr>
            <w:r w:rsidRPr="00652C2B">
              <w:t>15 proc. augimas</w:t>
            </w:r>
          </w:p>
        </w:tc>
      </w:tr>
      <w:tr w:rsidR="00652C2B" w:rsidRPr="00652C2B" w:rsidTr="00135EF8">
        <w:trPr>
          <w:trHeight w:val="2036"/>
        </w:trPr>
        <w:tc>
          <w:tcPr>
            <w:tcW w:w="5920" w:type="dxa"/>
            <w:vAlign w:val="center"/>
          </w:tcPr>
          <w:p w:rsidR="00652C2B" w:rsidRPr="00652C2B" w:rsidRDefault="00652C2B" w:rsidP="003973E9">
            <w:pPr>
              <w:spacing w:after="200" w:line="276" w:lineRule="auto"/>
              <w:jc w:val="both"/>
            </w:pPr>
            <w:r w:rsidRPr="00652C2B">
              <w:t>Užimamos pozicijos svarbiausiuose tarptautinių finansinių centrų reitinguose išlaikymas arba pagerinimas</w:t>
            </w:r>
          </w:p>
        </w:tc>
        <w:tc>
          <w:tcPr>
            <w:tcW w:w="5387" w:type="dxa"/>
            <w:vAlign w:val="center"/>
          </w:tcPr>
          <w:p w:rsidR="00652C2B" w:rsidRDefault="00652C2B" w:rsidP="003973E9">
            <w:pPr>
              <w:pStyle w:val="Sraopastraipa"/>
              <w:numPr>
                <w:ilvl w:val="0"/>
                <w:numId w:val="1"/>
              </w:numPr>
              <w:tabs>
                <w:tab w:val="left" w:pos="317"/>
              </w:tabs>
              <w:ind w:left="34" w:firstLine="0"/>
              <w:jc w:val="both"/>
            </w:pPr>
            <w:r>
              <w:t>Tarptautinis FINTECH indeksas (ang</w:t>
            </w:r>
            <w:r w:rsidR="001743F8">
              <w:t>l</w:t>
            </w:r>
            <w:r>
              <w:t xml:space="preserve">. </w:t>
            </w:r>
            <w:proofErr w:type="spellStart"/>
            <w:r w:rsidRPr="00652C2B">
              <w:rPr>
                <w:i/>
              </w:rPr>
              <w:t>The</w:t>
            </w:r>
            <w:proofErr w:type="spellEnd"/>
            <w:r w:rsidRPr="00652C2B">
              <w:rPr>
                <w:i/>
              </w:rPr>
              <w:t xml:space="preserve"> </w:t>
            </w:r>
            <w:proofErr w:type="spellStart"/>
            <w:r w:rsidRPr="00652C2B">
              <w:rPr>
                <w:i/>
              </w:rPr>
              <w:t>Global</w:t>
            </w:r>
            <w:proofErr w:type="spellEnd"/>
            <w:r w:rsidRPr="00652C2B">
              <w:rPr>
                <w:i/>
              </w:rPr>
              <w:t xml:space="preserve"> FINTECH </w:t>
            </w:r>
            <w:proofErr w:type="spellStart"/>
            <w:r w:rsidRPr="00652C2B">
              <w:rPr>
                <w:i/>
              </w:rPr>
              <w:t>Index</w:t>
            </w:r>
            <w:proofErr w:type="spellEnd"/>
            <w:r>
              <w:t>):</w:t>
            </w:r>
          </w:p>
          <w:p w:rsidR="00652C2B" w:rsidRDefault="00652C2B" w:rsidP="003973E9">
            <w:pPr>
              <w:tabs>
                <w:tab w:val="left" w:pos="317"/>
              </w:tabs>
              <w:jc w:val="both"/>
            </w:pPr>
            <w:r>
              <w:t>Lietuva – 4 pasaulyje ir 2 Europoje</w:t>
            </w:r>
          </w:p>
          <w:p w:rsidR="00652C2B" w:rsidRDefault="00652C2B" w:rsidP="003973E9">
            <w:pPr>
              <w:pStyle w:val="Sraopastraipa"/>
              <w:numPr>
                <w:ilvl w:val="0"/>
                <w:numId w:val="1"/>
              </w:numPr>
              <w:tabs>
                <w:tab w:val="left" w:pos="317"/>
              </w:tabs>
              <w:ind w:left="34" w:hanging="34"/>
              <w:jc w:val="both"/>
            </w:pPr>
            <w:r>
              <w:t>FINTECH ateities vietos 2019</w:t>
            </w:r>
            <w:r w:rsidR="009D42AD">
              <w:t>–</w:t>
            </w:r>
            <w:r>
              <w:t>2020 m. (ang</w:t>
            </w:r>
            <w:r w:rsidR="009D42AD">
              <w:t>l</w:t>
            </w:r>
            <w:r>
              <w:t xml:space="preserve">. </w:t>
            </w:r>
            <w:r w:rsidRPr="00652C2B">
              <w:rPr>
                <w:i/>
              </w:rPr>
              <w:t xml:space="preserve">FINTECH </w:t>
            </w:r>
            <w:proofErr w:type="spellStart"/>
            <w:r w:rsidRPr="00652C2B">
              <w:rPr>
                <w:i/>
              </w:rPr>
              <w:t>Locations</w:t>
            </w:r>
            <w:proofErr w:type="spellEnd"/>
            <w:r w:rsidRPr="00652C2B">
              <w:rPr>
                <w:i/>
              </w:rPr>
              <w:t xml:space="preserve"> </w:t>
            </w:r>
            <w:proofErr w:type="spellStart"/>
            <w:r w:rsidRPr="00652C2B">
              <w:rPr>
                <w:i/>
              </w:rPr>
              <w:t>of</w:t>
            </w:r>
            <w:proofErr w:type="spellEnd"/>
            <w:r w:rsidRPr="00652C2B">
              <w:rPr>
                <w:i/>
              </w:rPr>
              <w:t xml:space="preserve"> </w:t>
            </w:r>
            <w:proofErr w:type="spellStart"/>
            <w:r w:rsidRPr="00652C2B">
              <w:rPr>
                <w:i/>
              </w:rPr>
              <w:t>the</w:t>
            </w:r>
            <w:proofErr w:type="spellEnd"/>
            <w:r w:rsidRPr="00652C2B">
              <w:rPr>
                <w:i/>
              </w:rPr>
              <w:t xml:space="preserve"> </w:t>
            </w:r>
            <w:proofErr w:type="spellStart"/>
            <w:r w:rsidRPr="00652C2B">
              <w:rPr>
                <w:i/>
              </w:rPr>
              <w:t>Future</w:t>
            </w:r>
            <w:proofErr w:type="spellEnd"/>
            <w:r w:rsidRPr="00652C2B">
              <w:rPr>
                <w:i/>
              </w:rPr>
              <w:t xml:space="preserve"> 2019/20</w:t>
            </w:r>
            <w:r>
              <w:t>):</w:t>
            </w:r>
          </w:p>
          <w:p w:rsidR="00652C2B" w:rsidRPr="00652C2B" w:rsidRDefault="00652C2B" w:rsidP="003973E9">
            <w:pPr>
              <w:spacing w:after="200" w:line="276" w:lineRule="auto"/>
              <w:jc w:val="both"/>
            </w:pPr>
            <w:r>
              <w:t xml:space="preserve">Lietuva </w:t>
            </w:r>
            <w:r w:rsidR="009D42AD">
              <w:t>–</w:t>
            </w:r>
            <w:r>
              <w:t xml:space="preserve"> 7 pagal tiesioginių užsienio investicijų pritraukimą, 1 pagal ekonominį efektyvumą</w:t>
            </w:r>
          </w:p>
        </w:tc>
        <w:tc>
          <w:tcPr>
            <w:tcW w:w="3260" w:type="dxa"/>
            <w:vAlign w:val="center"/>
          </w:tcPr>
          <w:p w:rsidR="00652C2B" w:rsidRPr="00652C2B" w:rsidRDefault="00652C2B" w:rsidP="00135EF8">
            <w:pPr>
              <w:spacing w:after="200" w:line="276" w:lineRule="auto"/>
              <w:jc w:val="center"/>
            </w:pPr>
            <w:r>
              <w:t xml:space="preserve">Pozicijos išlaikymas arba pagerinimas bent </w:t>
            </w:r>
            <w:r w:rsidR="001743F8">
              <w:t xml:space="preserve">pagal </w:t>
            </w:r>
            <w:r>
              <w:t>vien</w:t>
            </w:r>
            <w:r w:rsidR="001743F8">
              <w:t>ą</w:t>
            </w:r>
            <w:r>
              <w:t xml:space="preserve"> reiting</w:t>
            </w:r>
            <w:r w:rsidR="001743F8">
              <w:t>ą</w:t>
            </w:r>
          </w:p>
        </w:tc>
      </w:tr>
      <w:tr w:rsidR="00652C2B" w:rsidRPr="00652C2B" w:rsidTr="00271F99">
        <w:trPr>
          <w:trHeight w:val="275"/>
        </w:trPr>
        <w:tc>
          <w:tcPr>
            <w:tcW w:w="5920" w:type="dxa"/>
            <w:vAlign w:val="center"/>
          </w:tcPr>
          <w:p w:rsidR="00652C2B" w:rsidRPr="00652C2B" w:rsidRDefault="00652C2B" w:rsidP="003973E9">
            <w:pPr>
              <w:spacing w:before="240" w:after="200" w:line="276" w:lineRule="auto"/>
              <w:jc w:val="both"/>
            </w:pPr>
            <w:r w:rsidRPr="00652C2B">
              <w:t>Reikšmingų FINTECH įmonių, perkėlusių veiklos dalį į Lietuvą, skaičius</w:t>
            </w:r>
          </w:p>
        </w:tc>
        <w:tc>
          <w:tcPr>
            <w:tcW w:w="5387" w:type="dxa"/>
            <w:vAlign w:val="center"/>
          </w:tcPr>
          <w:p w:rsidR="00652C2B" w:rsidRPr="00652C2B" w:rsidRDefault="007625D3" w:rsidP="003973E9">
            <w:pPr>
              <w:spacing w:before="240" w:after="200" w:line="276" w:lineRule="auto"/>
              <w:jc w:val="both"/>
            </w:pPr>
            <w:r>
              <w:t>Pritrauktos 3 reikšmingos įmonės</w:t>
            </w:r>
          </w:p>
        </w:tc>
        <w:tc>
          <w:tcPr>
            <w:tcW w:w="3260" w:type="dxa"/>
            <w:vAlign w:val="center"/>
          </w:tcPr>
          <w:p w:rsidR="00652C2B" w:rsidRPr="00652C2B" w:rsidRDefault="009D42AD" w:rsidP="00135EF8">
            <w:pPr>
              <w:spacing w:before="240" w:after="200" w:line="276" w:lineRule="auto"/>
              <w:jc w:val="center"/>
            </w:pPr>
            <w:r>
              <w:t>Pritrauktos</w:t>
            </w:r>
            <w:r w:rsidRPr="00652C2B">
              <w:t xml:space="preserve"> </w:t>
            </w:r>
            <w:r>
              <w:t>b</w:t>
            </w:r>
            <w:r w:rsidR="00652C2B" w:rsidRPr="00652C2B">
              <w:t xml:space="preserve">ent </w:t>
            </w:r>
            <w:r>
              <w:t>2</w:t>
            </w:r>
            <w:r w:rsidRPr="00652C2B">
              <w:t xml:space="preserve"> </w:t>
            </w:r>
            <w:r w:rsidR="00652C2B" w:rsidRPr="00652C2B">
              <w:t>įmonės</w:t>
            </w:r>
          </w:p>
        </w:tc>
      </w:tr>
    </w:tbl>
    <w:p w:rsidR="00652C2B" w:rsidRPr="00652C2B" w:rsidRDefault="00652C2B" w:rsidP="00652C2B"/>
    <w:p w:rsidR="00652C2B" w:rsidRPr="00652C2B" w:rsidRDefault="00652C2B" w:rsidP="00652C2B"/>
    <w:p w:rsidR="00271F99" w:rsidRDefault="00271F99" w:rsidP="00652C2B"/>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Pr="00271F99" w:rsidRDefault="00271F99" w:rsidP="00271F99"/>
    <w:p w:rsidR="00271F99" w:rsidRDefault="007F1EF3" w:rsidP="00184447">
      <w:pPr>
        <w:ind w:firstLine="709"/>
      </w:pPr>
      <w:r w:rsidRPr="007F1EF3">
        <w:t xml:space="preserve">Rodiklių reikšmių </w:t>
      </w:r>
      <w:proofErr w:type="spellStart"/>
      <w:r w:rsidRPr="007F1EF3">
        <w:t>stebėseną</w:t>
      </w:r>
      <w:proofErr w:type="spellEnd"/>
      <w:r w:rsidRPr="007F1EF3">
        <w:t xml:space="preserve"> užtikrins </w:t>
      </w:r>
      <w:proofErr w:type="spellStart"/>
      <w:r w:rsidRPr="007F1EF3">
        <w:t>VšĮ</w:t>
      </w:r>
      <w:proofErr w:type="spellEnd"/>
      <w:r w:rsidRPr="007F1EF3">
        <w:t xml:space="preserve"> „Investuok Lietuvoje“, </w:t>
      </w:r>
      <w:proofErr w:type="spellStart"/>
      <w:r w:rsidRPr="007F1EF3">
        <w:t>VšĮ</w:t>
      </w:r>
      <w:proofErr w:type="spellEnd"/>
      <w:r w:rsidRPr="007F1EF3">
        <w:t xml:space="preserve"> „Versli Lietuva“</w:t>
      </w:r>
      <w:r>
        <w:t xml:space="preserve"> ir </w:t>
      </w:r>
      <w:proofErr w:type="spellStart"/>
      <w:r w:rsidRPr="007F1EF3">
        <w:t>VšĮ</w:t>
      </w:r>
      <w:proofErr w:type="spellEnd"/>
      <w:r w:rsidRPr="007F1EF3">
        <w:t xml:space="preserve"> „GO Vilnius“</w:t>
      </w:r>
      <w:r>
        <w:t>.</w:t>
      </w:r>
    </w:p>
    <w:p w:rsidR="00271F99" w:rsidRDefault="00271F99" w:rsidP="00271F99">
      <w:pPr>
        <w:tabs>
          <w:tab w:val="left" w:pos="1485"/>
        </w:tabs>
      </w:pPr>
      <w:r>
        <w:tab/>
      </w:r>
    </w:p>
    <w:p w:rsidR="00271F99" w:rsidRDefault="00271F99" w:rsidP="00271F99"/>
    <w:p w:rsidR="00271F99" w:rsidRPr="00271F99" w:rsidRDefault="00271F99" w:rsidP="00271F99"/>
    <w:p w:rsidR="00271F99" w:rsidRPr="00271F99" w:rsidRDefault="00271F99" w:rsidP="00271F99">
      <w:pPr>
        <w:tabs>
          <w:tab w:val="left" w:pos="1485"/>
        </w:tabs>
      </w:pPr>
    </w:p>
    <w:tbl>
      <w:tblPr>
        <w:tblW w:w="0" w:type="auto"/>
        <w:tblInd w:w="93" w:type="dxa"/>
        <w:tblLook w:val="04A0" w:firstRow="1" w:lastRow="0" w:firstColumn="1" w:lastColumn="0" w:noHBand="0" w:noVBand="1"/>
      </w:tblPr>
      <w:tblGrid>
        <w:gridCol w:w="5462"/>
        <w:gridCol w:w="3944"/>
        <w:gridCol w:w="2109"/>
        <w:gridCol w:w="4006"/>
      </w:tblGrid>
      <w:tr w:rsidR="00125099" w:rsidRPr="00271F99" w:rsidTr="005841A7">
        <w:trPr>
          <w:trHeight w:val="56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71F99" w:rsidRPr="00271F99" w:rsidRDefault="00271F99" w:rsidP="00135EF8">
            <w:pPr>
              <w:spacing w:after="0" w:line="240" w:lineRule="auto"/>
              <w:jc w:val="center"/>
              <w:rPr>
                <w:rFonts w:eastAsia="Times New Roman" w:cs="Times New Roman"/>
                <w:b/>
                <w:bCs/>
                <w:color w:val="000000"/>
                <w:szCs w:val="24"/>
                <w:lang w:eastAsia="lt-LT"/>
              </w:rPr>
            </w:pPr>
            <w:r w:rsidRPr="00271F99">
              <w:rPr>
                <w:rFonts w:eastAsia="Times New Roman" w:cs="Times New Roman"/>
                <w:b/>
                <w:bCs/>
                <w:color w:val="000000"/>
                <w:szCs w:val="24"/>
                <w:lang w:eastAsia="lt-LT"/>
              </w:rPr>
              <w:lastRenderedPageBreak/>
              <w:t>Priemonė</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F99" w:rsidRPr="00271F99" w:rsidRDefault="00271F99" w:rsidP="00135EF8">
            <w:pPr>
              <w:spacing w:after="0" w:line="240" w:lineRule="auto"/>
              <w:jc w:val="center"/>
              <w:rPr>
                <w:rFonts w:eastAsia="Times New Roman" w:cs="Times New Roman"/>
                <w:b/>
                <w:bCs/>
                <w:color w:val="000000"/>
                <w:szCs w:val="24"/>
                <w:lang w:eastAsia="lt-LT"/>
              </w:rPr>
            </w:pPr>
            <w:r w:rsidRPr="00271F99">
              <w:rPr>
                <w:rFonts w:eastAsia="Times New Roman" w:cs="Times New Roman"/>
                <w:b/>
                <w:bCs/>
                <w:color w:val="000000"/>
                <w:szCs w:val="24"/>
                <w:lang w:eastAsia="lt-LT"/>
              </w:rPr>
              <w:t>Sudėtinis priemonės darbas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F99" w:rsidRPr="00271F99" w:rsidRDefault="00271F99" w:rsidP="00271F99">
            <w:pPr>
              <w:spacing w:after="0" w:line="240" w:lineRule="auto"/>
              <w:jc w:val="center"/>
              <w:rPr>
                <w:rFonts w:eastAsia="Times New Roman" w:cs="Times New Roman"/>
                <w:b/>
                <w:bCs/>
                <w:color w:val="000000"/>
                <w:szCs w:val="24"/>
                <w:lang w:eastAsia="lt-LT"/>
              </w:rPr>
            </w:pPr>
            <w:r w:rsidRPr="00271F99">
              <w:rPr>
                <w:rFonts w:eastAsia="Times New Roman" w:cs="Times New Roman"/>
                <w:b/>
                <w:bCs/>
                <w:color w:val="000000"/>
                <w:szCs w:val="24"/>
                <w:lang w:eastAsia="lt-LT"/>
              </w:rPr>
              <w:t>Įgyvendinimo terminas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71F99" w:rsidRPr="00271F99" w:rsidRDefault="00271F99" w:rsidP="00271F99">
            <w:pPr>
              <w:spacing w:after="0" w:line="240" w:lineRule="auto"/>
              <w:jc w:val="center"/>
              <w:rPr>
                <w:rFonts w:eastAsia="Times New Roman" w:cs="Times New Roman"/>
                <w:b/>
                <w:bCs/>
                <w:color w:val="000000"/>
                <w:szCs w:val="24"/>
                <w:lang w:eastAsia="lt-LT"/>
              </w:rPr>
            </w:pPr>
            <w:r w:rsidRPr="00271F99">
              <w:rPr>
                <w:rFonts w:eastAsia="Times New Roman" w:cs="Times New Roman"/>
                <w:b/>
                <w:bCs/>
                <w:color w:val="000000"/>
                <w:szCs w:val="24"/>
                <w:lang w:eastAsia="lt-LT"/>
              </w:rPr>
              <w:t>Atsakingos institucijos</w:t>
            </w:r>
          </w:p>
        </w:tc>
      </w:tr>
      <w:tr w:rsidR="005841A7" w:rsidRPr="00271F99" w:rsidTr="005841A7">
        <w:trPr>
          <w:trHeight w:val="417"/>
        </w:trPr>
        <w:tc>
          <w:tcPr>
            <w:tcW w:w="0" w:type="auto"/>
            <w:gridSpan w:val="4"/>
            <w:tcBorders>
              <w:top w:val="nil"/>
              <w:left w:val="single" w:sz="4" w:space="0" w:color="auto"/>
              <w:bottom w:val="single" w:sz="4" w:space="0" w:color="000000"/>
              <w:right w:val="single" w:sz="4" w:space="0" w:color="auto"/>
            </w:tcBorders>
            <w:shd w:val="clear" w:color="000000" w:fill="FFFFFF"/>
            <w:vAlign w:val="center"/>
          </w:tcPr>
          <w:p w:rsidR="005841A7" w:rsidRPr="00271F99" w:rsidRDefault="005841A7" w:rsidP="00135EF8">
            <w:pPr>
              <w:spacing w:after="0" w:line="240" w:lineRule="auto"/>
              <w:jc w:val="center"/>
              <w:rPr>
                <w:rFonts w:eastAsia="Times New Roman" w:cs="Times New Roman"/>
                <w:szCs w:val="24"/>
                <w:lang w:eastAsia="lt-LT"/>
              </w:rPr>
            </w:pPr>
            <w:r w:rsidRPr="001F3E5F">
              <w:rPr>
                <w:b/>
                <w:bCs/>
              </w:rPr>
              <w:t xml:space="preserve">1 užduotis. Sutelkti institucijų veiksmus, siekiant plėtoti </w:t>
            </w:r>
            <w:r>
              <w:rPr>
                <w:b/>
                <w:bCs/>
              </w:rPr>
              <w:t>FINTECH</w:t>
            </w:r>
            <w:r w:rsidRPr="001F3E5F">
              <w:rPr>
                <w:b/>
                <w:bCs/>
              </w:rPr>
              <w:t xml:space="preserve"> įmonėms palankią aplinką</w:t>
            </w:r>
          </w:p>
        </w:tc>
      </w:tr>
      <w:tr w:rsidR="00125099" w:rsidRPr="00271F99" w:rsidTr="005841A7">
        <w:trPr>
          <w:trHeight w:val="312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1.1. Dalyvauti Seimo posėdžiuose ir rengti visą reikalingą informaciją, kol bus priimtas Lietuvos Respublikos pinigų plovimo ir teroristų finansavimo prevencijos įstatymo Nr. VIII-275 10 ir 11 straipsnių pakeitimo įstatymo projektas, kuriuo siekiama numatyti galimybę finansų įstaigoms ir kitiems įpareigotiems subjektams naudoti Europos ekonominės erdvės valstybėje išduotą vairuotojo pažymėjimą ir jame esančius duomenis nustatant kliento tapatybę pagal Pinigų plovimo ir teroristų finansavimo prevencijos įstatymą</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5D0DC2" w:rsidP="00271F99">
            <w:pPr>
              <w:spacing w:after="0" w:line="240" w:lineRule="auto"/>
              <w:jc w:val="center"/>
              <w:rPr>
                <w:rFonts w:eastAsia="Times New Roman" w:cs="Times New Roman"/>
                <w:szCs w:val="24"/>
                <w:lang w:eastAsia="lt-LT"/>
              </w:rPr>
            </w:pPr>
            <w:r>
              <w:rPr>
                <w:rFonts w:eastAsia="Times New Roman" w:cs="Times New Roman"/>
                <w:szCs w:val="24"/>
                <w:lang w:eastAsia="lt-LT"/>
              </w:rPr>
              <w:t>Pagal poreikį</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Finansų ministerija, Lietuvos bankas, Finansinių nusikaltimų tyrimo tarnyba prie Vidaus reikalų ministerijos, Vidaus reikalų ministerija</w:t>
            </w:r>
          </w:p>
        </w:tc>
      </w:tr>
      <w:tr w:rsidR="00125099" w:rsidRPr="00271F99" w:rsidTr="00B3503E">
        <w:trPr>
          <w:trHeight w:val="276"/>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21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1.2. Dalyvauti Seimo posėdžiuose ir rengti visą reikalingą informaciją, kol bus priimtas </w:t>
            </w:r>
            <w:r w:rsidR="00D8762D">
              <w:rPr>
                <w:rFonts w:eastAsia="Times New Roman" w:cs="Times New Roman"/>
                <w:szCs w:val="24"/>
                <w:lang w:eastAsia="lt-LT"/>
              </w:rPr>
              <w:t>Lietuvos Respublikos v</w:t>
            </w:r>
            <w:r w:rsidRPr="00271F99">
              <w:rPr>
                <w:rFonts w:eastAsia="Times New Roman" w:cs="Times New Roman"/>
                <w:szCs w:val="24"/>
                <w:lang w:eastAsia="lt-LT"/>
              </w:rPr>
              <w:t>artojimo kredito įstatymo Nr. XI-1253 2 straipsnio pakeitimo įstatym</w:t>
            </w:r>
            <w:r w:rsidR="00D8762D">
              <w:rPr>
                <w:rFonts w:eastAsia="Times New Roman" w:cs="Times New Roman"/>
                <w:szCs w:val="24"/>
                <w:lang w:eastAsia="lt-LT"/>
              </w:rPr>
              <w:t>o projektas</w:t>
            </w:r>
            <w:r w:rsidRPr="00271F99">
              <w:rPr>
                <w:rFonts w:eastAsia="Times New Roman" w:cs="Times New Roman"/>
                <w:szCs w:val="24"/>
                <w:lang w:eastAsia="lt-LT"/>
              </w:rPr>
              <w:t>, kuris leistų teikti paskolas juridiniams asmenims naudojantis tarpusavio skolinimo platformos operatorių paslaugomis</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5D0DC2" w:rsidP="00271F99">
            <w:pPr>
              <w:spacing w:after="0" w:line="240" w:lineRule="auto"/>
              <w:jc w:val="center"/>
              <w:rPr>
                <w:rFonts w:eastAsia="Times New Roman" w:cs="Times New Roman"/>
                <w:szCs w:val="24"/>
                <w:lang w:eastAsia="lt-LT"/>
              </w:rPr>
            </w:pPr>
            <w:r>
              <w:rPr>
                <w:rFonts w:eastAsia="Times New Roman" w:cs="Times New Roman"/>
                <w:szCs w:val="24"/>
                <w:lang w:eastAsia="lt-LT"/>
              </w:rPr>
              <w:t>Pagal poreikį</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Finansų ministerija, Lietuvos bankas</w:t>
            </w:r>
          </w:p>
        </w:tc>
      </w:tr>
      <w:tr w:rsidR="00125099" w:rsidRPr="00271F99" w:rsidTr="00B3503E">
        <w:trPr>
          <w:trHeight w:val="1245"/>
        </w:trPr>
        <w:tc>
          <w:tcPr>
            <w:tcW w:w="0" w:type="auto"/>
            <w:tcBorders>
              <w:top w:val="nil"/>
              <w:left w:val="single" w:sz="4" w:space="0" w:color="auto"/>
              <w:bottom w:val="single" w:sz="4" w:space="0" w:color="auto"/>
              <w:right w:val="single" w:sz="4" w:space="0" w:color="auto"/>
            </w:tcBorders>
            <w:shd w:val="clear" w:color="000000" w:fill="FFFFFF"/>
            <w:vAlign w:val="center"/>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1.3. Siūlyti Lietuvos bankui parengti poziciją dėl elektroninių pinigų ir mokėjim</w:t>
            </w:r>
            <w:r w:rsidR="003D1C40">
              <w:rPr>
                <w:rFonts w:eastAsia="Times New Roman" w:cs="Times New Roman"/>
                <w:szCs w:val="24"/>
                <w:lang w:eastAsia="lt-LT"/>
              </w:rPr>
              <w:t>ų</w:t>
            </w:r>
            <w:r w:rsidRPr="00271F99">
              <w:rPr>
                <w:rFonts w:eastAsia="Times New Roman" w:cs="Times New Roman"/>
                <w:szCs w:val="24"/>
                <w:lang w:eastAsia="lt-LT"/>
              </w:rPr>
              <w:t xml:space="preserve"> įstaigų teisės naudotis kredito įstaigose atidarytomis mokėjimo sąskaitomis</w:t>
            </w:r>
          </w:p>
        </w:tc>
        <w:tc>
          <w:tcPr>
            <w:tcW w:w="0" w:type="auto"/>
            <w:tcBorders>
              <w:top w:val="nil"/>
              <w:left w:val="nil"/>
              <w:bottom w:val="single" w:sz="4" w:space="0" w:color="auto"/>
              <w:right w:val="single" w:sz="4" w:space="0" w:color="auto"/>
            </w:tcBorders>
            <w:shd w:val="clear" w:color="000000" w:fill="FFFFFF"/>
            <w:vAlign w:val="center"/>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tcPr>
          <w:p w:rsidR="00271F99" w:rsidRPr="00271F99" w:rsidRDefault="00271F99" w:rsidP="00A130F2">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tcPr>
          <w:p w:rsidR="00271F99" w:rsidRPr="00271F99" w:rsidRDefault="00271F99" w:rsidP="00A130F2">
            <w:pPr>
              <w:spacing w:after="0" w:line="240" w:lineRule="auto"/>
              <w:jc w:val="center"/>
              <w:rPr>
                <w:rFonts w:eastAsia="Times New Roman" w:cs="Times New Roman"/>
                <w:szCs w:val="24"/>
                <w:lang w:eastAsia="lt-LT"/>
              </w:rPr>
            </w:pPr>
            <w:r w:rsidRPr="00271F99">
              <w:rPr>
                <w:rFonts w:eastAsia="Times New Roman" w:cs="Times New Roman"/>
                <w:szCs w:val="24"/>
                <w:lang w:eastAsia="lt-LT"/>
              </w:rPr>
              <w:t>Lietuvos bankas</w:t>
            </w:r>
          </w:p>
        </w:tc>
      </w:tr>
      <w:tr w:rsidR="00125099" w:rsidRPr="00271F99" w:rsidTr="00B3503E">
        <w:trPr>
          <w:trHeight w:val="143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1.4. Įvertint</w:t>
            </w:r>
            <w:r w:rsidR="007625D3">
              <w:rPr>
                <w:rFonts w:eastAsia="Times New Roman" w:cs="Times New Roman"/>
                <w:szCs w:val="24"/>
                <w:lang w:eastAsia="lt-LT"/>
              </w:rPr>
              <w:t xml:space="preserve">i galimybes tobulinti kliento </w:t>
            </w:r>
            <w:r w:rsidRPr="00271F99">
              <w:rPr>
                <w:rFonts w:eastAsia="Times New Roman" w:cs="Times New Roman"/>
                <w:szCs w:val="24"/>
                <w:lang w:eastAsia="lt-LT"/>
              </w:rPr>
              <w:t>pažinimo procesą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1.4.1. Tobulinti Gyventojų registrą sukuriant bandomąjį technologinį sprendimą, paremtą biometrinių duomenų naudojimu</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3D1C40">
            <w:pPr>
              <w:spacing w:after="0" w:line="240" w:lineRule="auto"/>
              <w:jc w:val="center"/>
              <w:rPr>
                <w:rFonts w:eastAsia="Times New Roman" w:cs="Times New Roman"/>
                <w:szCs w:val="24"/>
                <w:lang w:eastAsia="lt-LT"/>
              </w:rPr>
            </w:pPr>
            <w:r w:rsidRPr="00271F99">
              <w:rPr>
                <w:rFonts w:eastAsia="Times New Roman" w:cs="Times New Roman"/>
                <w:szCs w:val="24"/>
                <w:lang w:eastAsia="lt-LT"/>
              </w:rPr>
              <w:t>VĮ Registrų centras</w:t>
            </w:r>
          </w:p>
        </w:tc>
      </w:tr>
      <w:tr w:rsidR="00125099" w:rsidRPr="00271F99" w:rsidTr="005841A7">
        <w:trPr>
          <w:trHeight w:val="1982"/>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1.4.2. Įvertinti galimybes išplėsti nuotolinio tapatybės nustatymo būdų sąrašą ir peržiūrėti supaprastinto klientų tapatybės nustatymo sąlygas (pavyzdžiui, padidinant </w:t>
            </w:r>
            <w:r w:rsidR="00125099">
              <w:rPr>
                <w:rFonts w:eastAsia="Times New Roman" w:cs="Times New Roman"/>
                <w:szCs w:val="24"/>
                <w:lang w:eastAsia="lt-LT"/>
              </w:rPr>
              <w:t xml:space="preserve">šiuo metu nustatytą </w:t>
            </w:r>
            <w:r w:rsidR="00125099" w:rsidRPr="00B508C0">
              <w:rPr>
                <w:rFonts w:eastAsia="Times New Roman" w:cs="Times New Roman"/>
                <w:szCs w:val="24"/>
                <w:lang w:eastAsia="lt-LT"/>
              </w:rPr>
              <w:t>1</w:t>
            </w:r>
            <w:r w:rsidR="009310CC">
              <w:rPr>
                <w:rFonts w:eastAsia="Times New Roman" w:cs="Times New Roman"/>
                <w:szCs w:val="24"/>
                <w:lang w:eastAsia="lt-LT"/>
              </w:rPr>
              <w:t> </w:t>
            </w:r>
            <w:r w:rsidR="00125099" w:rsidRPr="00B508C0">
              <w:rPr>
                <w:rFonts w:eastAsia="Times New Roman" w:cs="Times New Roman"/>
                <w:szCs w:val="24"/>
                <w:lang w:eastAsia="lt-LT"/>
              </w:rPr>
              <w:t xml:space="preserve">000 </w:t>
            </w:r>
            <w:r w:rsidR="00125099">
              <w:rPr>
                <w:rFonts w:eastAsia="Times New Roman" w:cs="Times New Roman"/>
                <w:szCs w:val="24"/>
                <w:lang w:eastAsia="lt-LT"/>
              </w:rPr>
              <w:t xml:space="preserve">eurų </w:t>
            </w:r>
            <w:r w:rsidRPr="00271F99">
              <w:rPr>
                <w:rFonts w:eastAsia="Times New Roman" w:cs="Times New Roman"/>
                <w:szCs w:val="24"/>
                <w:lang w:eastAsia="lt-LT"/>
              </w:rPr>
              <w:t>bendrai per kalendorinius metus įvykdytų operacijų vertės ribą)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Finansų ministerija, Finansinių nusikaltimų tyrimo tarnyba</w:t>
            </w:r>
            <w:r w:rsidR="001A32A1" w:rsidRPr="00271F99">
              <w:rPr>
                <w:rFonts w:eastAsia="Times New Roman" w:cs="Times New Roman"/>
                <w:szCs w:val="24"/>
                <w:lang w:eastAsia="lt-LT"/>
              </w:rPr>
              <w:t xml:space="preserve"> prie Vidaus reikalų ministerijos</w:t>
            </w:r>
          </w:p>
        </w:tc>
      </w:tr>
      <w:tr w:rsidR="00125099" w:rsidRPr="00271F99" w:rsidTr="004258CE">
        <w:trPr>
          <w:trHeight w:val="1822"/>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1.4.3</w:t>
            </w:r>
            <w:r w:rsidR="003D1C40">
              <w:rPr>
                <w:rFonts w:eastAsia="Times New Roman" w:cs="Times New Roman"/>
                <w:szCs w:val="24"/>
                <w:lang w:eastAsia="lt-LT"/>
              </w:rPr>
              <w:t>.</w:t>
            </w:r>
            <w:r w:rsidRPr="00271F99">
              <w:rPr>
                <w:rFonts w:eastAsia="Times New Roman" w:cs="Times New Roman"/>
                <w:szCs w:val="24"/>
                <w:lang w:eastAsia="lt-LT"/>
              </w:rPr>
              <w:t xml:space="preserve"> Kartu su rinkos dalyviais įvertinti galimybes įgyvendinti vieno langelio principą </w:t>
            </w:r>
            <w:r w:rsidR="00DE3366">
              <w:rPr>
                <w:rFonts w:eastAsia="Times New Roman" w:cs="Times New Roman"/>
                <w:szCs w:val="24"/>
                <w:lang w:eastAsia="lt-LT"/>
              </w:rPr>
              <w:t xml:space="preserve">naudojant </w:t>
            </w:r>
            <w:r w:rsidRPr="00271F99">
              <w:rPr>
                <w:rFonts w:eastAsia="Times New Roman" w:cs="Times New Roman"/>
                <w:szCs w:val="24"/>
                <w:lang w:eastAsia="lt-LT"/>
              </w:rPr>
              <w:t xml:space="preserve">centralizuotą </w:t>
            </w:r>
            <w:r w:rsidR="00D8762D" w:rsidRPr="005D0DC2">
              <w:rPr>
                <w:rFonts w:eastAsia="Times New Roman" w:cs="Times New Roman"/>
                <w:i/>
                <w:szCs w:val="24"/>
                <w:lang w:eastAsia="lt-LT"/>
              </w:rPr>
              <w:t>„P</w:t>
            </w:r>
            <w:r w:rsidRPr="005D0DC2">
              <w:rPr>
                <w:rFonts w:eastAsia="Times New Roman" w:cs="Times New Roman"/>
                <w:i/>
                <w:szCs w:val="24"/>
                <w:lang w:eastAsia="lt-LT"/>
              </w:rPr>
              <w:t>ažink savo klientą</w:t>
            </w:r>
            <w:r w:rsidR="00D8762D" w:rsidRPr="005D0DC2">
              <w:rPr>
                <w:rFonts w:eastAsia="Times New Roman" w:cs="Times New Roman"/>
                <w:i/>
                <w:szCs w:val="24"/>
                <w:lang w:eastAsia="lt-LT"/>
              </w:rPr>
              <w:t>“</w:t>
            </w:r>
            <w:r w:rsidRPr="00271F99">
              <w:rPr>
                <w:rFonts w:eastAsia="Times New Roman" w:cs="Times New Roman"/>
                <w:szCs w:val="24"/>
                <w:lang w:eastAsia="lt-LT"/>
              </w:rPr>
              <w:t xml:space="preserve"> </w:t>
            </w:r>
            <w:r w:rsidR="005D0DC2">
              <w:rPr>
                <w:rFonts w:eastAsia="Times New Roman" w:cs="Times New Roman"/>
                <w:szCs w:val="24"/>
                <w:lang w:eastAsia="lt-LT"/>
              </w:rPr>
              <w:t xml:space="preserve">principo </w:t>
            </w:r>
            <w:r w:rsidRPr="00271F99">
              <w:rPr>
                <w:rFonts w:eastAsia="Times New Roman" w:cs="Times New Roman"/>
                <w:szCs w:val="24"/>
                <w:lang w:eastAsia="lt-LT"/>
              </w:rPr>
              <w:t>API platformą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IV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3D1C40">
            <w:pPr>
              <w:spacing w:after="0" w:line="240" w:lineRule="auto"/>
              <w:jc w:val="center"/>
              <w:rPr>
                <w:rFonts w:eastAsia="Times New Roman" w:cs="Times New Roman"/>
                <w:szCs w:val="24"/>
                <w:lang w:eastAsia="lt-LT"/>
              </w:rPr>
            </w:pPr>
            <w:r w:rsidRPr="00271F99">
              <w:rPr>
                <w:rFonts w:eastAsia="Times New Roman" w:cs="Times New Roman"/>
                <w:szCs w:val="24"/>
                <w:lang w:eastAsia="lt-LT"/>
              </w:rPr>
              <w:t>VĮ Registrų centras, Ekonomikos ir inovacijų ministerija, Finansinių nusikaltimų tyrimo tarnyba</w:t>
            </w:r>
            <w:r w:rsidR="001A32A1">
              <w:rPr>
                <w:rFonts w:eastAsia="Times New Roman" w:cs="Times New Roman"/>
                <w:szCs w:val="24"/>
                <w:lang w:eastAsia="lt-LT"/>
              </w:rPr>
              <w:t xml:space="preserve"> </w:t>
            </w:r>
            <w:r w:rsidR="001A32A1" w:rsidRPr="00271F99">
              <w:rPr>
                <w:rFonts w:eastAsia="Times New Roman" w:cs="Times New Roman"/>
                <w:szCs w:val="24"/>
                <w:lang w:eastAsia="lt-LT"/>
              </w:rPr>
              <w:t>prie Vidaus reikalų ministerijos</w:t>
            </w:r>
          </w:p>
        </w:tc>
      </w:tr>
      <w:tr w:rsidR="00125099" w:rsidRPr="00271F99" w:rsidTr="005841A7">
        <w:trPr>
          <w:trHeight w:val="197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1.5. Sukurti Juridinių asmenų elektroninės paslaugos (JAREP) funkci</w:t>
            </w:r>
            <w:r w:rsidR="003D1C40">
              <w:rPr>
                <w:rFonts w:eastAsia="Times New Roman" w:cs="Times New Roman"/>
                <w:szCs w:val="24"/>
                <w:lang w:eastAsia="lt-LT"/>
              </w:rPr>
              <w:t>nes galimybes</w:t>
            </w:r>
            <w:r w:rsidRPr="00271F99">
              <w:rPr>
                <w:rFonts w:eastAsia="Times New Roman" w:cs="Times New Roman"/>
                <w:szCs w:val="24"/>
                <w:lang w:eastAsia="lt-LT"/>
              </w:rPr>
              <w:t xml:space="preserve">, </w:t>
            </w:r>
            <w:r w:rsidR="00DE3366">
              <w:rPr>
                <w:rFonts w:eastAsia="Times New Roman" w:cs="Times New Roman"/>
                <w:szCs w:val="24"/>
                <w:lang w:eastAsia="lt-LT"/>
              </w:rPr>
              <w:t>leidžian</w:t>
            </w:r>
            <w:r w:rsidR="003D1C40">
              <w:rPr>
                <w:rFonts w:eastAsia="Times New Roman" w:cs="Times New Roman"/>
                <w:szCs w:val="24"/>
                <w:lang w:eastAsia="lt-LT"/>
              </w:rPr>
              <w:t>čias</w:t>
            </w:r>
            <w:r w:rsidR="00DE3366" w:rsidRPr="00271F99">
              <w:rPr>
                <w:rFonts w:eastAsia="Times New Roman" w:cs="Times New Roman"/>
                <w:szCs w:val="24"/>
                <w:lang w:eastAsia="lt-LT"/>
              </w:rPr>
              <w:t xml:space="preserve"> </w:t>
            </w:r>
            <w:r w:rsidRPr="00271F99">
              <w:rPr>
                <w:rFonts w:eastAsia="Times New Roman" w:cs="Times New Roman"/>
                <w:szCs w:val="24"/>
                <w:lang w:eastAsia="lt-LT"/>
              </w:rPr>
              <w:t>klient</w:t>
            </w:r>
            <w:r w:rsidR="00DE3366">
              <w:rPr>
                <w:rFonts w:eastAsia="Times New Roman" w:cs="Times New Roman"/>
                <w:szCs w:val="24"/>
                <w:lang w:eastAsia="lt-LT"/>
              </w:rPr>
              <w:t>am</w:t>
            </w:r>
            <w:r w:rsidRPr="00271F99">
              <w:rPr>
                <w:rFonts w:eastAsia="Times New Roman" w:cs="Times New Roman"/>
                <w:szCs w:val="24"/>
                <w:lang w:eastAsia="lt-LT"/>
              </w:rPr>
              <w:t xml:space="preserve">s anglų kalba </w:t>
            </w:r>
            <w:r w:rsidR="00DE3366">
              <w:rPr>
                <w:rFonts w:eastAsia="Times New Roman" w:cs="Times New Roman"/>
                <w:szCs w:val="24"/>
                <w:lang w:eastAsia="lt-LT"/>
              </w:rPr>
              <w:t>teikti</w:t>
            </w:r>
            <w:r w:rsidR="00DE3366" w:rsidRPr="00271F99">
              <w:rPr>
                <w:rFonts w:eastAsia="Times New Roman" w:cs="Times New Roman"/>
                <w:szCs w:val="24"/>
                <w:lang w:eastAsia="lt-LT"/>
              </w:rPr>
              <w:t xml:space="preserve"> </w:t>
            </w:r>
            <w:r w:rsidRPr="00271F99">
              <w:rPr>
                <w:rFonts w:eastAsia="Times New Roman" w:cs="Times New Roman"/>
                <w:szCs w:val="24"/>
                <w:lang w:eastAsia="lt-LT"/>
              </w:rPr>
              <w:t xml:space="preserve">duomenis dėl naujo juridinio asmens steigimo </w:t>
            </w:r>
            <w:r w:rsidR="00DE3366">
              <w:rPr>
                <w:rFonts w:eastAsia="Times New Roman" w:cs="Times New Roman"/>
                <w:szCs w:val="24"/>
                <w:lang w:eastAsia="lt-LT"/>
              </w:rPr>
              <w:t>ar</w:t>
            </w:r>
            <w:r w:rsidR="00DE3366" w:rsidRPr="00271F99">
              <w:rPr>
                <w:rFonts w:eastAsia="Times New Roman" w:cs="Times New Roman"/>
                <w:szCs w:val="24"/>
                <w:lang w:eastAsia="lt-LT"/>
              </w:rPr>
              <w:t xml:space="preserve"> </w:t>
            </w:r>
            <w:r w:rsidRPr="00271F99">
              <w:rPr>
                <w:rFonts w:eastAsia="Times New Roman" w:cs="Times New Roman"/>
                <w:szCs w:val="24"/>
                <w:lang w:eastAsia="lt-LT"/>
              </w:rPr>
              <w:t>laikino juridinio asmens pavadinimo įrašymo į Juridinių asmenų registrą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IV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3D1C40">
            <w:pPr>
              <w:spacing w:after="0" w:line="240" w:lineRule="auto"/>
              <w:jc w:val="center"/>
              <w:rPr>
                <w:rFonts w:eastAsia="Times New Roman" w:cs="Times New Roman"/>
                <w:szCs w:val="24"/>
                <w:lang w:eastAsia="lt-LT"/>
              </w:rPr>
            </w:pPr>
            <w:r w:rsidRPr="00271F99">
              <w:rPr>
                <w:rFonts w:eastAsia="Times New Roman" w:cs="Times New Roman"/>
                <w:szCs w:val="24"/>
                <w:lang w:eastAsia="lt-LT"/>
              </w:rPr>
              <w:t>VĮ Registrų centras, Teisingumo ministerija</w:t>
            </w:r>
          </w:p>
        </w:tc>
      </w:tr>
      <w:tr w:rsidR="00125099" w:rsidRPr="00271F99" w:rsidTr="005841A7">
        <w:trPr>
          <w:trHeight w:val="11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1.6. Sudaryti galimybę įmonėms iš </w:t>
            </w:r>
            <w:r w:rsidR="007625D3">
              <w:rPr>
                <w:rFonts w:eastAsia="Times New Roman" w:cs="Times New Roman"/>
                <w:szCs w:val="24"/>
                <w:lang w:eastAsia="lt-LT"/>
              </w:rPr>
              <w:t xml:space="preserve">VĮ </w:t>
            </w:r>
            <w:r w:rsidRPr="00271F99">
              <w:rPr>
                <w:rFonts w:eastAsia="Times New Roman" w:cs="Times New Roman"/>
                <w:szCs w:val="24"/>
                <w:lang w:eastAsia="lt-LT"/>
              </w:rPr>
              <w:t>Registrų centro gauti išrašus anglų kalba arba</w:t>
            </w:r>
            <w:r w:rsidR="00DE3366">
              <w:rPr>
                <w:rFonts w:eastAsia="Times New Roman" w:cs="Times New Roman"/>
                <w:szCs w:val="24"/>
                <w:lang w:eastAsia="lt-LT"/>
              </w:rPr>
              <w:t xml:space="preserve"> </w:t>
            </w:r>
            <w:r w:rsidRPr="00271F99">
              <w:rPr>
                <w:rFonts w:eastAsia="Times New Roman" w:cs="Times New Roman"/>
                <w:szCs w:val="24"/>
                <w:lang w:eastAsia="lt-LT"/>
              </w:rPr>
              <w:t>lietuvių</w:t>
            </w:r>
            <w:r w:rsidR="005A0DFD">
              <w:rPr>
                <w:rFonts w:eastAsia="Times New Roman" w:cs="Times New Roman"/>
                <w:szCs w:val="24"/>
                <w:lang w:eastAsia="lt-LT"/>
              </w:rPr>
              <w:t xml:space="preserve"> ir </w:t>
            </w:r>
            <w:r w:rsidRPr="00271F99">
              <w:rPr>
                <w:rFonts w:eastAsia="Times New Roman" w:cs="Times New Roman"/>
                <w:szCs w:val="24"/>
                <w:lang w:eastAsia="lt-LT"/>
              </w:rPr>
              <w:t>anglų kalbomis</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3D1C40">
            <w:pPr>
              <w:spacing w:after="0" w:line="240" w:lineRule="auto"/>
              <w:jc w:val="center"/>
              <w:rPr>
                <w:rFonts w:eastAsia="Times New Roman" w:cs="Times New Roman"/>
                <w:szCs w:val="24"/>
                <w:lang w:eastAsia="lt-LT"/>
              </w:rPr>
            </w:pPr>
            <w:r w:rsidRPr="00271F99">
              <w:rPr>
                <w:rFonts w:eastAsia="Times New Roman" w:cs="Times New Roman"/>
                <w:szCs w:val="24"/>
                <w:lang w:eastAsia="lt-LT"/>
              </w:rPr>
              <w:t>VĮ Registrų centras</w:t>
            </w:r>
          </w:p>
        </w:tc>
      </w:tr>
      <w:tr w:rsidR="00125099" w:rsidRPr="00271F99" w:rsidTr="005841A7">
        <w:trPr>
          <w:trHeight w:val="12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1.7. Atlikti kompleksinę visų galiojančių taupymo lengvatų analizę ir įvertinti galimybes sukurti gyventojų asmeninės taupymo sąskaitos teisinį reguliavimą</w:t>
            </w:r>
          </w:p>
        </w:tc>
        <w:tc>
          <w:tcPr>
            <w:tcW w:w="0" w:type="auto"/>
            <w:tcBorders>
              <w:top w:val="nil"/>
              <w:left w:val="nil"/>
              <w:bottom w:val="single" w:sz="4" w:space="0" w:color="auto"/>
              <w:right w:val="single" w:sz="4" w:space="0" w:color="auto"/>
            </w:tcBorders>
            <w:shd w:val="clear" w:color="000000" w:fill="FFFFFF"/>
            <w:noWrap/>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Finansų ministerija</w:t>
            </w:r>
          </w:p>
        </w:tc>
      </w:tr>
      <w:tr w:rsidR="00125099" w:rsidRPr="00271F99" w:rsidTr="00526F75">
        <w:trPr>
          <w:trHeight w:val="1294"/>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lastRenderedPageBreak/>
              <w:t>1.8. Išanalizuoti ir įvertinti galimybes aiškiau apibrėžti galimo pinigų plovimo ir įtartinų piniginių operacijų ar sandorių atpažinimo kriterijus ir, esant poreikiui, šiuos kriterijus patikslinti bei papildyti</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Finansinių nusikaltimų tyrimo tarnyba</w:t>
            </w:r>
            <w:r w:rsidR="001A32A1" w:rsidRPr="00271F99">
              <w:rPr>
                <w:rFonts w:eastAsia="Times New Roman" w:cs="Times New Roman"/>
                <w:szCs w:val="24"/>
                <w:lang w:eastAsia="lt-LT"/>
              </w:rPr>
              <w:t xml:space="preserve"> prie Vidaus reikalų ministerijos</w:t>
            </w:r>
          </w:p>
        </w:tc>
      </w:tr>
      <w:tr w:rsidR="00125099" w:rsidRPr="00271F99" w:rsidTr="00526F75">
        <w:trPr>
          <w:trHeight w:val="84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1.9. Parengti rekomendacijas dėl atvirosios bankininkystės principo taikymo Lietuvoje</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Mokėjimų </w:t>
            </w:r>
            <w:r w:rsidR="001A32A1">
              <w:rPr>
                <w:rFonts w:eastAsia="Times New Roman" w:cs="Times New Roman"/>
                <w:szCs w:val="24"/>
                <w:lang w:eastAsia="lt-LT"/>
              </w:rPr>
              <w:t>t</w:t>
            </w:r>
            <w:r w:rsidRPr="00271F99">
              <w:rPr>
                <w:rFonts w:eastAsia="Times New Roman" w:cs="Times New Roman"/>
                <w:szCs w:val="24"/>
                <w:lang w:eastAsia="lt-LT"/>
              </w:rPr>
              <w:t>aryba</w:t>
            </w:r>
          </w:p>
        </w:tc>
      </w:tr>
      <w:tr w:rsidR="00125099" w:rsidRPr="00271F99" w:rsidTr="00526F75">
        <w:trPr>
          <w:trHeight w:val="9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1.10. Įsteigti viešo</w:t>
            </w:r>
            <w:r w:rsidR="00383E55">
              <w:rPr>
                <w:rFonts w:eastAsia="Times New Roman" w:cs="Times New Roman"/>
                <w:szCs w:val="24"/>
                <w:lang w:eastAsia="lt-LT"/>
              </w:rPr>
              <w:t>jo</w:t>
            </w:r>
            <w:r w:rsidRPr="00271F99">
              <w:rPr>
                <w:rFonts w:eastAsia="Times New Roman" w:cs="Times New Roman"/>
                <w:szCs w:val="24"/>
                <w:lang w:eastAsia="lt-LT"/>
              </w:rPr>
              <w:t xml:space="preserve"> ir privataus sektorių bendradarbiavimo pagrindu veikiantį pinigų plovimo prevencijos kompetencijos centrą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IV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Vidaus reikalų ministerija, Finansų ministerija</w:t>
            </w:r>
            <w:r w:rsidR="001D00A0">
              <w:rPr>
                <w:rFonts w:eastAsia="Times New Roman" w:cs="Times New Roman"/>
                <w:szCs w:val="24"/>
                <w:lang w:eastAsia="lt-LT"/>
              </w:rPr>
              <w:t>, Lietuvos bankas</w:t>
            </w:r>
          </w:p>
        </w:tc>
      </w:tr>
      <w:tr w:rsidR="00125099" w:rsidRPr="00271F99" w:rsidTr="00526F75">
        <w:trPr>
          <w:trHeight w:val="85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color w:val="000000"/>
                <w:szCs w:val="24"/>
                <w:lang w:eastAsia="lt-LT"/>
              </w:rPr>
            </w:pPr>
            <w:r w:rsidRPr="00271F99">
              <w:rPr>
                <w:rFonts w:eastAsia="Times New Roman" w:cs="Times New Roman"/>
                <w:color w:val="000000"/>
                <w:szCs w:val="24"/>
                <w:lang w:eastAsia="lt-LT"/>
              </w:rPr>
              <w:t xml:space="preserve">1.11. Atlikti </w:t>
            </w:r>
            <w:r w:rsidR="005A0DFD">
              <w:rPr>
                <w:rFonts w:eastAsia="Times New Roman" w:cs="Times New Roman"/>
                <w:color w:val="000000"/>
                <w:szCs w:val="24"/>
                <w:lang w:eastAsia="lt-LT"/>
              </w:rPr>
              <w:t xml:space="preserve">FINTECH </w:t>
            </w:r>
            <w:r w:rsidRPr="00271F99">
              <w:rPr>
                <w:rFonts w:eastAsia="Times New Roman" w:cs="Times New Roman"/>
                <w:color w:val="000000"/>
                <w:szCs w:val="24"/>
                <w:lang w:eastAsia="lt-LT"/>
              </w:rPr>
              <w:t xml:space="preserve">sektoriui šiuo metu ir </w:t>
            </w:r>
            <w:r w:rsidR="006910F5">
              <w:rPr>
                <w:rFonts w:eastAsia="Times New Roman" w:cs="Times New Roman"/>
                <w:color w:val="000000"/>
                <w:szCs w:val="24"/>
                <w:lang w:eastAsia="lt-LT"/>
              </w:rPr>
              <w:t xml:space="preserve">ateinantiems </w:t>
            </w:r>
            <w:r w:rsidRPr="006910F5">
              <w:rPr>
                <w:rFonts w:eastAsia="Times New Roman" w:cs="Times New Roman"/>
                <w:color w:val="000000"/>
                <w:szCs w:val="24"/>
                <w:lang w:eastAsia="lt-LT"/>
              </w:rPr>
              <w:t>5 met</w:t>
            </w:r>
            <w:r w:rsidR="006910F5" w:rsidRPr="006910F5">
              <w:rPr>
                <w:rFonts w:eastAsia="Times New Roman" w:cs="Times New Roman"/>
                <w:color w:val="000000"/>
                <w:szCs w:val="24"/>
                <w:lang w:eastAsia="lt-LT"/>
              </w:rPr>
              <w:t>ams</w:t>
            </w:r>
            <w:r w:rsidRPr="006910F5">
              <w:rPr>
                <w:rFonts w:eastAsia="Times New Roman" w:cs="Times New Roman"/>
                <w:color w:val="000000"/>
                <w:szCs w:val="24"/>
                <w:lang w:eastAsia="lt-LT"/>
              </w:rPr>
              <w:t xml:space="preserve"> </w:t>
            </w:r>
            <w:r w:rsidRPr="00271F99">
              <w:rPr>
                <w:rFonts w:eastAsia="Times New Roman" w:cs="Times New Roman"/>
                <w:color w:val="000000"/>
                <w:szCs w:val="24"/>
                <w:lang w:eastAsia="lt-LT"/>
              </w:rPr>
              <w:t>reikalingų kompetencijų analizę</w:t>
            </w:r>
          </w:p>
        </w:tc>
        <w:tc>
          <w:tcPr>
            <w:tcW w:w="0" w:type="auto"/>
            <w:tcBorders>
              <w:top w:val="nil"/>
              <w:left w:val="nil"/>
              <w:bottom w:val="single" w:sz="4" w:space="0" w:color="auto"/>
              <w:right w:val="single" w:sz="4" w:space="0" w:color="auto"/>
            </w:tcBorders>
            <w:shd w:val="clear" w:color="000000" w:fill="FFFFFF"/>
            <w:vAlign w:val="bottom"/>
            <w:hideMark/>
          </w:tcPr>
          <w:p w:rsidR="00271F99" w:rsidRPr="00271F99" w:rsidRDefault="00271F99" w:rsidP="00135EF8">
            <w:pPr>
              <w:spacing w:after="0" w:line="240" w:lineRule="auto"/>
              <w:jc w:val="both"/>
              <w:rPr>
                <w:rFonts w:eastAsia="Times New Roman" w:cs="Times New Roman"/>
                <w:color w:val="000000"/>
                <w:szCs w:val="24"/>
                <w:lang w:eastAsia="lt-LT"/>
              </w:rPr>
            </w:pPr>
            <w:r w:rsidRPr="00271F99">
              <w:rPr>
                <w:rFonts w:eastAsia="Times New Roman" w:cs="Times New Roman"/>
                <w:color w:val="000000"/>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IV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color w:val="000000"/>
                <w:szCs w:val="24"/>
                <w:lang w:eastAsia="lt-LT"/>
              </w:rPr>
            </w:pPr>
            <w:proofErr w:type="spellStart"/>
            <w:r w:rsidRPr="00271F99">
              <w:rPr>
                <w:rFonts w:eastAsia="Times New Roman" w:cs="Times New Roman"/>
                <w:color w:val="000000"/>
                <w:szCs w:val="24"/>
                <w:lang w:eastAsia="lt-LT"/>
              </w:rPr>
              <w:t>VšĮ</w:t>
            </w:r>
            <w:proofErr w:type="spellEnd"/>
            <w:r w:rsidRPr="00271F99">
              <w:rPr>
                <w:rFonts w:eastAsia="Times New Roman" w:cs="Times New Roman"/>
                <w:color w:val="000000"/>
                <w:szCs w:val="24"/>
                <w:lang w:eastAsia="lt-LT"/>
              </w:rPr>
              <w:t xml:space="preserve"> </w:t>
            </w:r>
            <w:r w:rsidR="001A32A1">
              <w:rPr>
                <w:rFonts w:eastAsia="Times New Roman" w:cs="Times New Roman"/>
                <w:color w:val="000000"/>
                <w:szCs w:val="24"/>
                <w:lang w:eastAsia="lt-LT"/>
              </w:rPr>
              <w:t>„</w:t>
            </w:r>
            <w:r w:rsidRPr="00271F99">
              <w:rPr>
                <w:rFonts w:eastAsia="Times New Roman" w:cs="Times New Roman"/>
                <w:color w:val="000000"/>
                <w:szCs w:val="24"/>
                <w:lang w:eastAsia="lt-LT"/>
              </w:rPr>
              <w:t>Investuok Lietuvoje</w:t>
            </w:r>
            <w:r w:rsidR="001A32A1">
              <w:rPr>
                <w:rFonts w:eastAsia="Times New Roman" w:cs="Times New Roman"/>
                <w:color w:val="000000"/>
                <w:szCs w:val="24"/>
                <w:lang w:eastAsia="lt-LT"/>
              </w:rPr>
              <w:t>“</w:t>
            </w:r>
          </w:p>
        </w:tc>
      </w:tr>
      <w:tr w:rsidR="00125099" w:rsidRPr="00271F99" w:rsidTr="00526F75">
        <w:trPr>
          <w:trHeight w:val="195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1.12. Skatinant realaus laiko ekonomikos vystymąsi, aktyviai įsitraukti </w:t>
            </w:r>
            <w:r w:rsidR="001D00A0">
              <w:rPr>
                <w:rFonts w:eastAsia="Times New Roman" w:cs="Times New Roman"/>
                <w:szCs w:val="24"/>
                <w:lang w:eastAsia="lt-LT"/>
              </w:rPr>
              <w:t xml:space="preserve">į </w:t>
            </w:r>
            <w:r w:rsidR="00383E55">
              <w:rPr>
                <w:rFonts w:eastAsia="Times New Roman" w:cs="Times New Roman"/>
                <w:szCs w:val="24"/>
                <w:lang w:eastAsia="lt-LT"/>
              </w:rPr>
              <w:t>t</w:t>
            </w:r>
            <w:r w:rsidRPr="00271F99">
              <w:rPr>
                <w:rFonts w:eastAsia="Times New Roman" w:cs="Times New Roman"/>
                <w:szCs w:val="24"/>
                <w:lang w:eastAsia="lt-LT"/>
              </w:rPr>
              <w:t>arptautinės patirties dali</w:t>
            </w:r>
            <w:r w:rsidR="00383E55">
              <w:rPr>
                <w:rFonts w:eastAsia="Times New Roman" w:cs="Times New Roman"/>
                <w:szCs w:val="24"/>
                <w:lang w:eastAsia="lt-LT"/>
              </w:rPr>
              <w:t>j</w:t>
            </w:r>
            <w:r w:rsidRPr="00271F99">
              <w:rPr>
                <w:rFonts w:eastAsia="Times New Roman" w:cs="Times New Roman"/>
                <w:szCs w:val="24"/>
                <w:lang w:eastAsia="lt-LT"/>
              </w:rPr>
              <w:t>imosi struktūras, sekti ir skatinti finansų sektoriui aktualių teisinių, veiklos ir technologinių standartų ir sprendimų įgyvendinimo</w:t>
            </w:r>
            <w:r w:rsidR="005A0DFD">
              <w:rPr>
                <w:rFonts w:eastAsia="Times New Roman" w:cs="Times New Roman"/>
                <w:szCs w:val="24"/>
                <w:lang w:eastAsia="lt-LT"/>
              </w:rPr>
              <w:t xml:space="preserve"> galimybes</w:t>
            </w:r>
            <w:r w:rsidRPr="00271F99">
              <w:rPr>
                <w:rFonts w:eastAsia="Times New Roman" w:cs="Times New Roman"/>
                <w:szCs w:val="24"/>
                <w:lang w:eastAsia="lt-LT"/>
              </w:rPr>
              <w:t>, konsultuojantis su</w:t>
            </w:r>
            <w:r w:rsidR="000D7F88">
              <w:rPr>
                <w:rFonts w:eastAsia="Times New Roman" w:cs="Times New Roman"/>
                <w:szCs w:val="24"/>
                <w:lang w:eastAsia="lt-LT"/>
              </w:rPr>
              <w:t xml:space="preserve"> rinkos dalyviais,</w:t>
            </w:r>
            <w:r w:rsidRPr="00271F99">
              <w:rPr>
                <w:rFonts w:eastAsia="Times New Roman" w:cs="Times New Roman"/>
                <w:szCs w:val="24"/>
                <w:lang w:eastAsia="lt-LT"/>
              </w:rPr>
              <w:t xml:space="preserve"> valstybės institucijomis ir tarptautiniais partneriais</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Nuolat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Ekonomikos ir inovacijų ministerija</w:t>
            </w:r>
          </w:p>
        </w:tc>
      </w:tr>
      <w:tr w:rsidR="00125099" w:rsidRPr="00271F99" w:rsidTr="00526F75">
        <w:trPr>
          <w:trHeight w:val="1831"/>
        </w:trPr>
        <w:tc>
          <w:tcPr>
            <w:tcW w:w="0" w:type="auto"/>
            <w:tcBorders>
              <w:top w:val="nil"/>
              <w:left w:val="single" w:sz="4" w:space="0" w:color="auto"/>
              <w:bottom w:val="single" w:sz="4" w:space="0" w:color="auto"/>
              <w:right w:val="single" w:sz="4" w:space="0" w:color="auto"/>
            </w:tcBorders>
            <w:shd w:val="clear" w:color="000000" w:fill="FFFFFF"/>
            <w:vAlign w:val="center"/>
          </w:tcPr>
          <w:p w:rsidR="008B3F87" w:rsidRPr="00271F99" w:rsidRDefault="008B3F87" w:rsidP="00AA508D">
            <w:pPr>
              <w:spacing w:after="0" w:line="240" w:lineRule="auto"/>
              <w:jc w:val="both"/>
              <w:rPr>
                <w:rFonts w:eastAsia="Times New Roman" w:cs="Times New Roman"/>
                <w:szCs w:val="24"/>
                <w:lang w:eastAsia="lt-LT"/>
              </w:rPr>
            </w:pPr>
            <w:r>
              <w:rPr>
                <w:rFonts w:eastAsia="Times New Roman" w:cs="Times New Roman"/>
                <w:szCs w:val="24"/>
                <w:lang w:eastAsia="lt-LT"/>
              </w:rPr>
              <w:t xml:space="preserve">1.13. </w:t>
            </w:r>
            <w:r w:rsidRPr="008B3F87">
              <w:rPr>
                <w:rFonts w:eastAsia="Times New Roman" w:cs="Times New Roman"/>
                <w:szCs w:val="24"/>
                <w:lang w:eastAsia="lt-LT"/>
              </w:rPr>
              <w:t xml:space="preserve">Išanalizuoti galimybes mokesčių administravimo priemonėmis, nekeičiant apmokestinimo taisyklių, automatizuoti </w:t>
            </w:r>
            <w:r w:rsidR="00FC15BC">
              <w:rPr>
                <w:rFonts w:eastAsia="Times New Roman" w:cs="Times New Roman"/>
                <w:szCs w:val="24"/>
                <w:lang w:eastAsia="lt-LT"/>
              </w:rPr>
              <w:t>labai</w:t>
            </w:r>
            <w:r w:rsidR="00FC15BC" w:rsidRPr="008B3F87">
              <w:rPr>
                <w:rFonts w:eastAsia="Times New Roman" w:cs="Times New Roman"/>
                <w:szCs w:val="24"/>
                <w:lang w:eastAsia="lt-LT"/>
              </w:rPr>
              <w:t xml:space="preserve"> </w:t>
            </w:r>
            <w:r w:rsidR="00AA508D">
              <w:rPr>
                <w:rFonts w:eastAsia="Times New Roman" w:cs="Times New Roman"/>
                <w:szCs w:val="24"/>
                <w:lang w:eastAsia="lt-LT"/>
              </w:rPr>
              <w:t xml:space="preserve">mažų </w:t>
            </w:r>
            <w:r w:rsidRPr="008B3F87">
              <w:rPr>
                <w:rFonts w:eastAsia="Times New Roman" w:cs="Times New Roman"/>
                <w:szCs w:val="24"/>
                <w:lang w:eastAsia="lt-LT"/>
              </w:rPr>
              <w:t xml:space="preserve">įmonių </w:t>
            </w:r>
            <w:r w:rsidR="00080E97">
              <w:rPr>
                <w:rFonts w:eastAsia="Times New Roman" w:cs="Times New Roman"/>
                <w:szCs w:val="24"/>
                <w:lang w:eastAsia="lt-LT"/>
              </w:rPr>
              <w:t xml:space="preserve">ir </w:t>
            </w:r>
            <w:r w:rsidRPr="008B3F87">
              <w:rPr>
                <w:rFonts w:eastAsia="Times New Roman" w:cs="Times New Roman"/>
                <w:szCs w:val="24"/>
                <w:lang w:eastAsia="lt-LT"/>
              </w:rPr>
              <w:t>individuali</w:t>
            </w:r>
            <w:r w:rsidR="00080E97">
              <w:rPr>
                <w:rFonts w:eastAsia="Times New Roman" w:cs="Times New Roman"/>
                <w:szCs w:val="24"/>
                <w:lang w:eastAsia="lt-LT"/>
              </w:rPr>
              <w:t>ą</w:t>
            </w:r>
            <w:r w:rsidRPr="008B3F87">
              <w:rPr>
                <w:rFonts w:eastAsia="Times New Roman" w:cs="Times New Roman"/>
                <w:szCs w:val="24"/>
                <w:lang w:eastAsia="lt-LT"/>
              </w:rPr>
              <w:t xml:space="preserve"> veikl</w:t>
            </w:r>
            <w:r w:rsidR="00080E97">
              <w:rPr>
                <w:rFonts w:eastAsia="Times New Roman" w:cs="Times New Roman"/>
                <w:szCs w:val="24"/>
                <w:lang w:eastAsia="lt-LT"/>
              </w:rPr>
              <w:t>ą vykdančių</w:t>
            </w:r>
            <w:r w:rsidRPr="008B3F87">
              <w:rPr>
                <w:rFonts w:eastAsia="Times New Roman" w:cs="Times New Roman"/>
                <w:szCs w:val="24"/>
                <w:lang w:eastAsia="lt-LT"/>
              </w:rPr>
              <w:t xml:space="preserve"> asmenų mokesčių surinkimą, ir įvertinti reikalingų teisės aktų pakeitimų poreikį</w:t>
            </w:r>
            <w:bookmarkStart w:id="0" w:name="_GoBack"/>
            <w:bookmarkEnd w:id="0"/>
          </w:p>
        </w:tc>
        <w:tc>
          <w:tcPr>
            <w:tcW w:w="0" w:type="auto"/>
            <w:tcBorders>
              <w:top w:val="nil"/>
              <w:left w:val="nil"/>
              <w:bottom w:val="single" w:sz="4" w:space="0" w:color="auto"/>
              <w:right w:val="single" w:sz="4" w:space="0" w:color="auto"/>
            </w:tcBorders>
            <w:shd w:val="clear" w:color="000000" w:fill="FFFFFF"/>
            <w:vAlign w:val="center"/>
          </w:tcPr>
          <w:p w:rsidR="008B3F87" w:rsidRPr="00271F99" w:rsidRDefault="008B3F87"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tcPr>
          <w:p w:rsidR="008B3F87" w:rsidRPr="00271F99" w:rsidRDefault="008B3F87" w:rsidP="00271F99">
            <w:pPr>
              <w:spacing w:after="0" w:line="240" w:lineRule="auto"/>
              <w:jc w:val="center"/>
              <w:rPr>
                <w:rFonts w:eastAsia="Times New Roman" w:cs="Times New Roman"/>
                <w:szCs w:val="24"/>
                <w:lang w:eastAsia="lt-LT"/>
              </w:rPr>
            </w:pPr>
            <w:r>
              <w:rPr>
                <w:rFonts w:eastAsia="Times New Roman" w:cs="Times New Roman"/>
                <w:szCs w:val="24"/>
                <w:lang w:eastAsia="lt-LT"/>
              </w:rPr>
              <w:t xml:space="preserve">2020 m. IV </w:t>
            </w:r>
            <w:proofErr w:type="spellStart"/>
            <w:r>
              <w:rPr>
                <w:rFonts w:eastAsia="Times New Roman" w:cs="Times New Roman"/>
                <w:szCs w:val="24"/>
                <w:lang w:eastAsia="lt-LT"/>
              </w:rPr>
              <w:t>ketv</w:t>
            </w:r>
            <w:proofErr w:type="spellEnd"/>
            <w:r>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tcPr>
          <w:p w:rsidR="008B3F87" w:rsidRPr="00271F99" w:rsidRDefault="008B3F87" w:rsidP="00271F99">
            <w:pPr>
              <w:spacing w:after="0" w:line="240" w:lineRule="auto"/>
              <w:jc w:val="center"/>
              <w:rPr>
                <w:rFonts w:eastAsia="Times New Roman" w:cs="Times New Roman"/>
                <w:szCs w:val="24"/>
                <w:lang w:eastAsia="lt-LT"/>
              </w:rPr>
            </w:pPr>
            <w:r>
              <w:rPr>
                <w:rFonts w:eastAsia="Times New Roman" w:cs="Times New Roman"/>
                <w:szCs w:val="24"/>
                <w:lang w:eastAsia="lt-LT"/>
              </w:rPr>
              <w:t>Valstybinė mokesčių inspekcija, Finansų ministerija</w:t>
            </w:r>
          </w:p>
        </w:tc>
      </w:tr>
      <w:tr w:rsidR="005841A7" w:rsidRPr="00271F99" w:rsidTr="005841A7">
        <w:trPr>
          <w:trHeight w:val="414"/>
        </w:trPr>
        <w:tc>
          <w:tcPr>
            <w:tcW w:w="0" w:type="auto"/>
            <w:gridSpan w:val="4"/>
            <w:tcBorders>
              <w:top w:val="nil"/>
              <w:left w:val="single" w:sz="4" w:space="0" w:color="auto"/>
              <w:bottom w:val="single" w:sz="4" w:space="0" w:color="auto"/>
              <w:right w:val="single" w:sz="4" w:space="0" w:color="auto"/>
            </w:tcBorders>
            <w:shd w:val="clear" w:color="000000" w:fill="FFFFFF"/>
            <w:vAlign w:val="center"/>
          </w:tcPr>
          <w:p w:rsidR="005841A7" w:rsidRPr="00271F99" w:rsidRDefault="005841A7" w:rsidP="00135EF8">
            <w:pPr>
              <w:spacing w:after="0" w:line="240" w:lineRule="auto"/>
              <w:jc w:val="center"/>
              <w:rPr>
                <w:rFonts w:eastAsia="Times New Roman" w:cs="Times New Roman"/>
                <w:szCs w:val="24"/>
                <w:lang w:eastAsia="lt-LT"/>
              </w:rPr>
            </w:pPr>
            <w:r w:rsidRPr="001F3E5F">
              <w:rPr>
                <w:b/>
              </w:rPr>
              <w:t>2</w:t>
            </w:r>
            <w:r w:rsidR="00B3503E">
              <w:rPr>
                <w:b/>
              </w:rPr>
              <w:t xml:space="preserve"> užduotis. Populiarinti Lietuv</w:t>
            </w:r>
            <w:r w:rsidR="000D7F88">
              <w:rPr>
                <w:b/>
              </w:rPr>
              <w:t>os jurisdikciją</w:t>
            </w:r>
            <w:r w:rsidRPr="001F3E5F">
              <w:rPr>
                <w:b/>
              </w:rPr>
              <w:t xml:space="preserve"> </w:t>
            </w:r>
            <w:r w:rsidR="00B3503E">
              <w:rPr>
                <w:b/>
              </w:rPr>
              <w:t>t</w:t>
            </w:r>
            <w:r w:rsidRPr="001F3E5F">
              <w:rPr>
                <w:b/>
              </w:rPr>
              <w:t>ikslinėse rinkose ir sudaryti užsienio įmonių veikimo sąlygas</w:t>
            </w:r>
          </w:p>
        </w:tc>
      </w:tr>
      <w:tr w:rsidR="00125099" w:rsidRPr="00271F99" w:rsidTr="005841A7">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2.1. Skatinti tarptautinių FINTECH renginių organizavimą Lietuvoje. Siektinas rodiklis </w:t>
            </w:r>
            <w:r w:rsidR="00383E55">
              <w:rPr>
                <w:rFonts w:eastAsia="Times New Roman" w:cs="Times New Roman"/>
                <w:szCs w:val="24"/>
                <w:lang w:eastAsia="lt-LT"/>
              </w:rPr>
              <w:t>–</w:t>
            </w:r>
            <w:r w:rsidRPr="00271F99">
              <w:rPr>
                <w:rFonts w:eastAsia="Times New Roman" w:cs="Times New Roman"/>
                <w:szCs w:val="24"/>
                <w:lang w:eastAsia="lt-LT"/>
              </w:rPr>
              <w:t xml:space="preserve"> 2 vnt.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B240EC" w:rsidP="00271F99">
            <w:pPr>
              <w:spacing w:after="0" w:line="240" w:lineRule="auto"/>
              <w:jc w:val="center"/>
              <w:rPr>
                <w:rFonts w:eastAsia="Times New Roman" w:cs="Times New Roman"/>
                <w:szCs w:val="24"/>
                <w:lang w:eastAsia="lt-LT"/>
              </w:rPr>
            </w:pPr>
            <w:r>
              <w:rPr>
                <w:rFonts w:eastAsia="Times New Roman" w:cs="Times New Roman"/>
                <w:szCs w:val="24"/>
                <w:lang w:eastAsia="lt-LT"/>
              </w:rPr>
              <w:t xml:space="preserve">2020 m. IV </w:t>
            </w:r>
            <w:proofErr w:type="spellStart"/>
            <w:r>
              <w:rPr>
                <w:rFonts w:eastAsia="Times New Roman" w:cs="Times New Roman"/>
                <w:szCs w:val="24"/>
                <w:lang w:eastAsia="lt-LT"/>
              </w:rPr>
              <w:t>ketv</w:t>
            </w:r>
            <w:proofErr w:type="spellEnd"/>
            <w:r>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„Investuok Lietuvoje“, </w:t>
            </w:r>
            <w:proofErr w:type="spellStart"/>
            <w:r w:rsidR="001D00A0">
              <w:rPr>
                <w:rFonts w:eastAsia="Times New Roman" w:cs="Times New Roman"/>
                <w:szCs w:val="24"/>
                <w:lang w:eastAsia="lt-LT"/>
              </w:rPr>
              <w:t>VšĮ</w:t>
            </w:r>
            <w:proofErr w:type="spellEnd"/>
            <w:r w:rsidR="001D00A0">
              <w:rPr>
                <w:rFonts w:eastAsia="Times New Roman" w:cs="Times New Roman"/>
                <w:szCs w:val="24"/>
                <w:lang w:eastAsia="lt-LT"/>
              </w:rPr>
              <w:t xml:space="preserve"> „</w:t>
            </w:r>
            <w:r w:rsidRPr="00271F99">
              <w:rPr>
                <w:rFonts w:eastAsia="Times New Roman" w:cs="Times New Roman"/>
                <w:szCs w:val="24"/>
                <w:lang w:eastAsia="lt-LT"/>
              </w:rPr>
              <w:t>GO Vilnius</w:t>
            </w:r>
            <w:r w:rsidR="001D00A0">
              <w:rPr>
                <w:rFonts w:eastAsia="Times New Roman" w:cs="Times New Roman"/>
                <w:szCs w:val="24"/>
                <w:lang w:eastAsia="lt-LT"/>
              </w:rPr>
              <w:t>“</w:t>
            </w:r>
          </w:p>
        </w:tc>
      </w:tr>
      <w:tr w:rsidR="00125099" w:rsidRPr="00271F99" w:rsidTr="005841A7">
        <w:trPr>
          <w:trHeight w:val="148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lastRenderedPageBreak/>
              <w:t xml:space="preserve">2.2. Nustatyti 250 užsienyje veikiančių FINTECH įmonių, kurių veiklos pritraukimas į Lietuvą laikytinas prioritetiniu, ir </w:t>
            </w:r>
            <w:r w:rsidR="005A0DFD">
              <w:rPr>
                <w:rFonts w:eastAsia="Times New Roman" w:cs="Times New Roman"/>
                <w:szCs w:val="24"/>
                <w:lang w:eastAsia="lt-LT"/>
              </w:rPr>
              <w:t xml:space="preserve">parengti </w:t>
            </w:r>
            <w:r w:rsidRPr="00271F99">
              <w:rPr>
                <w:rFonts w:eastAsia="Times New Roman" w:cs="Times New Roman"/>
                <w:szCs w:val="24"/>
                <w:lang w:eastAsia="lt-LT"/>
              </w:rPr>
              <w:t>ši</w:t>
            </w:r>
            <w:r w:rsidR="00383E55">
              <w:rPr>
                <w:rFonts w:eastAsia="Times New Roman" w:cs="Times New Roman"/>
                <w:szCs w:val="24"/>
                <w:lang w:eastAsia="lt-LT"/>
              </w:rPr>
              <w:t>oms</w:t>
            </w:r>
            <w:r w:rsidRPr="00271F99">
              <w:rPr>
                <w:rFonts w:eastAsia="Times New Roman" w:cs="Times New Roman"/>
                <w:szCs w:val="24"/>
                <w:lang w:eastAsia="lt-LT"/>
              </w:rPr>
              <w:t xml:space="preserve"> įmon</w:t>
            </w:r>
            <w:r w:rsidR="00383E55">
              <w:rPr>
                <w:rFonts w:eastAsia="Times New Roman" w:cs="Times New Roman"/>
                <w:szCs w:val="24"/>
                <w:lang w:eastAsia="lt-LT"/>
              </w:rPr>
              <w:t>ėms</w:t>
            </w:r>
            <w:r w:rsidRPr="00271F99">
              <w:rPr>
                <w:rFonts w:eastAsia="Times New Roman" w:cs="Times New Roman"/>
                <w:szCs w:val="24"/>
                <w:lang w:eastAsia="lt-LT"/>
              </w:rPr>
              <w:t xml:space="preserve"> pritrau</w:t>
            </w:r>
            <w:r w:rsidR="00383E55">
              <w:rPr>
                <w:rFonts w:eastAsia="Times New Roman" w:cs="Times New Roman"/>
                <w:szCs w:val="24"/>
                <w:lang w:eastAsia="lt-LT"/>
              </w:rPr>
              <w:t>kti</w:t>
            </w:r>
            <w:r w:rsidRPr="00271F99">
              <w:rPr>
                <w:rFonts w:eastAsia="Times New Roman" w:cs="Times New Roman"/>
                <w:szCs w:val="24"/>
                <w:lang w:eastAsia="lt-LT"/>
              </w:rPr>
              <w:t xml:space="preserve"> reikalingus pasiūlymus</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Ekonomikos ir inovacijų ministerija, </w:t>
            </w: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„Investuok Lietuvoje“,</w:t>
            </w:r>
          </w:p>
        </w:tc>
      </w:tr>
      <w:tr w:rsidR="00125099" w:rsidRPr="00271F99" w:rsidTr="005841A7">
        <w:trPr>
          <w:trHeight w:val="12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2.3. Atlikti analizę, kuri leistų numatyti priemones, reikalingas užtikrinti, kad Lietuva išlaik</w:t>
            </w:r>
            <w:r w:rsidR="00E97B6C">
              <w:rPr>
                <w:rFonts w:eastAsia="Times New Roman" w:cs="Times New Roman"/>
                <w:szCs w:val="24"/>
                <w:lang w:eastAsia="lt-LT"/>
              </w:rPr>
              <w:t>ytų</w:t>
            </w:r>
            <w:r w:rsidRPr="00271F99">
              <w:rPr>
                <w:rFonts w:eastAsia="Times New Roman" w:cs="Times New Roman"/>
                <w:szCs w:val="24"/>
                <w:lang w:eastAsia="lt-LT"/>
              </w:rPr>
              <w:t xml:space="preserve"> arba pagerin</w:t>
            </w:r>
            <w:r w:rsidR="00E97B6C">
              <w:rPr>
                <w:rFonts w:eastAsia="Times New Roman" w:cs="Times New Roman"/>
                <w:szCs w:val="24"/>
                <w:lang w:eastAsia="lt-LT"/>
              </w:rPr>
              <w:t>tų</w:t>
            </w:r>
            <w:r w:rsidRPr="00271F99">
              <w:rPr>
                <w:rFonts w:eastAsia="Times New Roman" w:cs="Times New Roman"/>
                <w:szCs w:val="24"/>
                <w:lang w:eastAsia="lt-LT"/>
              </w:rPr>
              <w:t xml:space="preserve"> užimamas pozicijas tarptautinių reitingų agentūrų sudaromuose finansiniuose reitinguose</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1D00A0" w:rsidP="00271F99">
            <w:pPr>
              <w:spacing w:after="0" w:line="240" w:lineRule="auto"/>
              <w:jc w:val="center"/>
              <w:rPr>
                <w:rFonts w:eastAsia="Times New Roman" w:cs="Times New Roman"/>
                <w:szCs w:val="24"/>
                <w:lang w:eastAsia="lt-LT"/>
              </w:rPr>
            </w:pPr>
            <w:proofErr w:type="spellStart"/>
            <w:r>
              <w:rPr>
                <w:rFonts w:eastAsia="Times New Roman" w:cs="Times New Roman"/>
                <w:szCs w:val="24"/>
                <w:lang w:eastAsia="lt-LT"/>
              </w:rPr>
              <w:t>VšĮ</w:t>
            </w:r>
            <w:proofErr w:type="spellEnd"/>
            <w:r>
              <w:rPr>
                <w:rFonts w:eastAsia="Times New Roman" w:cs="Times New Roman"/>
                <w:szCs w:val="24"/>
                <w:lang w:eastAsia="lt-LT"/>
              </w:rPr>
              <w:t xml:space="preserve"> „</w:t>
            </w:r>
            <w:r w:rsidR="00271F99" w:rsidRPr="00271F99">
              <w:rPr>
                <w:rFonts w:eastAsia="Times New Roman" w:cs="Times New Roman"/>
                <w:szCs w:val="24"/>
                <w:lang w:eastAsia="lt-LT"/>
              </w:rPr>
              <w:t>GO Vilnius</w:t>
            </w:r>
            <w:r>
              <w:rPr>
                <w:rFonts w:eastAsia="Times New Roman" w:cs="Times New Roman"/>
                <w:szCs w:val="24"/>
                <w:lang w:eastAsia="lt-LT"/>
              </w:rPr>
              <w:t>“</w:t>
            </w:r>
          </w:p>
        </w:tc>
      </w:tr>
      <w:tr w:rsidR="00125099" w:rsidRPr="00271F99" w:rsidTr="005841A7">
        <w:trPr>
          <w:trHeight w:val="15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2.4. Nustatyti ir įgyvendinti priemones, kurios didintų Vilniaus</w:t>
            </w:r>
            <w:r w:rsidR="00E97B6C">
              <w:rPr>
                <w:rFonts w:eastAsia="Times New Roman" w:cs="Times New Roman"/>
                <w:szCs w:val="24"/>
                <w:lang w:eastAsia="lt-LT"/>
              </w:rPr>
              <w:t>,</w:t>
            </w:r>
            <w:r w:rsidRPr="00271F99">
              <w:rPr>
                <w:rFonts w:eastAsia="Times New Roman" w:cs="Times New Roman"/>
                <w:szCs w:val="24"/>
                <w:lang w:eastAsia="lt-LT"/>
              </w:rPr>
              <w:t xml:space="preserve"> kaip </w:t>
            </w:r>
            <w:r w:rsidR="005A0DFD">
              <w:rPr>
                <w:rFonts w:eastAsia="Times New Roman" w:cs="Times New Roman"/>
                <w:szCs w:val="24"/>
                <w:lang w:eastAsia="lt-LT"/>
              </w:rPr>
              <w:t xml:space="preserve">FINTECH </w:t>
            </w:r>
            <w:r w:rsidRPr="00271F99">
              <w:rPr>
                <w:rFonts w:eastAsia="Times New Roman" w:cs="Times New Roman"/>
                <w:szCs w:val="24"/>
                <w:lang w:eastAsia="lt-LT"/>
              </w:rPr>
              <w:t>sektoriui patrauklios</w:t>
            </w:r>
            <w:r w:rsidR="005A0DFD">
              <w:rPr>
                <w:rFonts w:eastAsia="Times New Roman" w:cs="Times New Roman"/>
                <w:szCs w:val="24"/>
                <w:lang w:eastAsia="lt-LT"/>
              </w:rPr>
              <w:t xml:space="preserve"> vietos</w:t>
            </w:r>
            <w:r w:rsidR="00E97B6C">
              <w:rPr>
                <w:rFonts w:eastAsia="Times New Roman" w:cs="Times New Roman"/>
                <w:szCs w:val="24"/>
                <w:lang w:eastAsia="lt-LT"/>
              </w:rPr>
              <w:t>,</w:t>
            </w:r>
            <w:r w:rsidRPr="00271F99">
              <w:rPr>
                <w:rFonts w:eastAsia="Times New Roman" w:cs="Times New Roman"/>
                <w:szCs w:val="24"/>
                <w:lang w:eastAsia="lt-LT"/>
              </w:rPr>
              <w:t xml:space="preserve"> žinomumą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E97B6C">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Priemonių nustatymas </w:t>
            </w:r>
            <w:r w:rsidR="009C5B75">
              <w:rPr>
                <w:rFonts w:eastAsia="Times New Roman" w:cs="Times New Roman"/>
                <w:szCs w:val="24"/>
                <w:lang w:eastAsia="lt-LT"/>
              </w:rPr>
              <w:t>–</w:t>
            </w:r>
            <w:r w:rsidRPr="00271F99">
              <w:rPr>
                <w:rFonts w:eastAsia="Times New Roman" w:cs="Times New Roman"/>
                <w:szCs w:val="24"/>
                <w:lang w:eastAsia="lt-LT"/>
              </w:rPr>
              <w:t xml:space="preserve"> 2020</w:t>
            </w:r>
            <w:r w:rsidR="009C5B75">
              <w:rPr>
                <w:rFonts w:eastAsia="Times New Roman" w:cs="Times New Roman"/>
                <w:szCs w:val="24"/>
                <w:lang w:eastAsia="lt-LT"/>
              </w:rPr>
              <w:t> </w:t>
            </w:r>
            <w:r w:rsidRPr="00271F99">
              <w:rPr>
                <w:rFonts w:eastAsia="Times New Roman" w:cs="Times New Roman"/>
                <w:szCs w:val="24"/>
                <w:lang w:eastAsia="lt-LT"/>
              </w:rPr>
              <w:t xml:space="preserve">m. 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r w:rsidR="00E97B6C">
              <w:rPr>
                <w:rFonts w:eastAsia="Times New Roman" w:cs="Times New Roman"/>
                <w:szCs w:val="24"/>
                <w:lang w:eastAsia="lt-LT"/>
              </w:rPr>
              <w:t>,</w:t>
            </w:r>
            <w:r w:rsidRPr="00271F99">
              <w:rPr>
                <w:rFonts w:eastAsia="Times New Roman" w:cs="Times New Roman"/>
                <w:szCs w:val="24"/>
                <w:lang w:eastAsia="lt-LT"/>
              </w:rPr>
              <w:t xml:space="preserve"> </w:t>
            </w:r>
            <w:r w:rsidRPr="00271F99">
              <w:rPr>
                <w:rFonts w:eastAsia="Times New Roman" w:cs="Times New Roman"/>
                <w:szCs w:val="24"/>
                <w:lang w:eastAsia="lt-LT"/>
              </w:rPr>
              <w:br/>
            </w:r>
            <w:r w:rsidR="00E97B6C">
              <w:rPr>
                <w:rFonts w:eastAsia="Times New Roman" w:cs="Times New Roman"/>
                <w:szCs w:val="24"/>
                <w:lang w:eastAsia="lt-LT"/>
              </w:rPr>
              <w:t>p</w:t>
            </w:r>
            <w:r w:rsidRPr="00271F99">
              <w:rPr>
                <w:rFonts w:eastAsia="Times New Roman" w:cs="Times New Roman"/>
                <w:szCs w:val="24"/>
                <w:lang w:eastAsia="lt-LT"/>
              </w:rPr>
              <w:t xml:space="preserve">riemonių įgyvendinimas </w:t>
            </w:r>
            <w:r w:rsidR="009C5B75">
              <w:rPr>
                <w:rFonts w:eastAsia="Times New Roman" w:cs="Times New Roman"/>
                <w:szCs w:val="24"/>
                <w:lang w:eastAsia="lt-LT"/>
              </w:rPr>
              <w:t>–</w:t>
            </w:r>
            <w:r w:rsidRPr="00271F99">
              <w:rPr>
                <w:rFonts w:eastAsia="Times New Roman" w:cs="Times New Roman"/>
                <w:szCs w:val="24"/>
                <w:lang w:eastAsia="lt-LT"/>
              </w:rPr>
              <w:t xml:space="preserve"> 2020 m. IV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1D00A0" w:rsidP="00271F99">
            <w:pPr>
              <w:spacing w:after="0" w:line="240" w:lineRule="auto"/>
              <w:jc w:val="center"/>
              <w:rPr>
                <w:rFonts w:eastAsia="Times New Roman" w:cs="Times New Roman"/>
                <w:szCs w:val="24"/>
                <w:lang w:eastAsia="lt-LT"/>
              </w:rPr>
            </w:pPr>
            <w:proofErr w:type="spellStart"/>
            <w:r>
              <w:rPr>
                <w:rFonts w:eastAsia="Times New Roman" w:cs="Times New Roman"/>
                <w:szCs w:val="24"/>
                <w:lang w:eastAsia="lt-LT"/>
              </w:rPr>
              <w:t>VšĮ</w:t>
            </w:r>
            <w:proofErr w:type="spellEnd"/>
            <w:r>
              <w:rPr>
                <w:rFonts w:eastAsia="Times New Roman" w:cs="Times New Roman"/>
                <w:szCs w:val="24"/>
                <w:lang w:eastAsia="lt-LT"/>
              </w:rPr>
              <w:t xml:space="preserve"> „</w:t>
            </w:r>
            <w:r w:rsidR="00271F99" w:rsidRPr="00271F99">
              <w:rPr>
                <w:rFonts w:eastAsia="Times New Roman" w:cs="Times New Roman"/>
                <w:szCs w:val="24"/>
                <w:lang w:eastAsia="lt-LT"/>
              </w:rPr>
              <w:t>GO Vilnius</w:t>
            </w:r>
            <w:r>
              <w:rPr>
                <w:rFonts w:eastAsia="Times New Roman" w:cs="Times New Roman"/>
                <w:szCs w:val="24"/>
                <w:lang w:eastAsia="lt-LT"/>
              </w:rPr>
              <w:t>“</w:t>
            </w:r>
          </w:p>
        </w:tc>
      </w:tr>
      <w:tr w:rsidR="00125099" w:rsidRPr="00271F99" w:rsidTr="005841A7">
        <w:trPr>
          <w:trHeight w:val="10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2.5. </w:t>
            </w:r>
            <w:r w:rsidR="00125099">
              <w:rPr>
                <w:rFonts w:eastAsia="Times New Roman" w:cs="Times New Roman"/>
                <w:szCs w:val="24"/>
                <w:lang w:eastAsia="lt-LT"/>
              </w:rPr>
              <w:t>Siūlyti Lietuvos bankui p</w:t>
            </w:r>
            <w:r w:rsidRPr="00271F99">
              <w:rPr>
                <w:rFonts w:eastAsia="Times New Roman" w:cs="Times New Roman"/>
                <w:szCs w:val="24"/>
                <w:lang w:eastAsia="lt-LT"/>
              </w:rPr>
              <w:t>lėsti bendradarbiavimą su kitomis priežiūros institucijomis tikslinėse rinkose, pasirašant su jomis memorandumus</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Nuolat</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Lietuvos bankas, Užsienio reikalų ministerija</w:t>
            </w:r>
          </w:p>
        </w:tc>
      </w:tr>
      <w:tr w:rsidR="005841A7" w:rsidRPr="00271F99" w:rsidTr="005841A7">
        <w:trPr>
          <w:trHeight w:val="418"/>
        </w:trPr>
        <w:tc>
          <w:tcPr>
            <w:tcW w:w="0" w:type="auto"/>
            <w:gridSpan w:val="4"/>
            <w:tcBorders>
              <w:top w:val="nil"/>
              <w:left w:val="single" w:sz="4" w:space="0" w:color="auto"/>
              <w:bottom w:val="single" w:sz="4" w:space="0" w:color="auto"/>
              <w:right w:val="single" w:sz="4" w:space="0" w:color="auto"/>
            </w:tcBorders>
            <w:shd w:val="clear" w:color="000000" w:fill="FFFFFF"/>
            <w:vAlign w:val="center"/>
          </w:tcPr>
          <w:p w:rsidR="005841A7" w:rsidRPr="00271F99" w:rsidRDefault="005841A7" w:rsidP="00135EF8">
            <w:pPr>
              <w:spacing w:after="0" w:line="240" w:lineRule="auto"/>
              <w:jc w:val="center"/>
              <w:rPr>
                <w:rFonts w:eastAsia="Times New Roman" w:cs="Times New Roman"/>
                <w:szCs w:val="24"/>
                <w:lang w:eastAsia="lt-LT"/>
              </w:rPr>
            </w:pPr>
            <w:r>
              <w:rPr>
                <w:b/>
              </w:rPr>
              <w:t xml:space="preserve">3 užduotis. </w:t>
            </w:r>
            <w:r w:rsidRPr="001F3E5F">
              <w:rPr>
                <w:b/>
              </w:rPr>
              <w:t xml:space="preserve">Didinti </w:t>
            </w:r>
            <w:r>
              <w:rPr>
                <w:b/>
              </w:rPr>
              <w:t>FINTECH</w:t>
            </w:r>
            <w:r w:rsidRPr="001F3E5F">
              <w:rPr>
                <w:b/>
              </w:rPr>
              <w:t xml:space="preserve"> žinomumą ir naudojimą</w:t>
            </w:r>
          </w:p>
        </w:tc>
      </w:tr>
      <w:tr w:rsidR="00125099" w:rsidRPr="00271F99" w:rsidTr="005841A7">
        <w:trPr>
          <w:trHeight w:val="945"/>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3.1</w:t>
            </w:r>
            <w:r w:rsidR="00E97B6C">
              <w:rPr>
                <w:rFonts w:eastAsia="Times New Roman" w:cs="Times New Roman"/>
                <w:szCs w:val="24"/>
                <w:lang w:eastAsia="lt-LT"/>
              </w:rPr>
              <w:t>.</w:t>
            </w:r>
            <w:r w:rsidRPr="00271F99">
              <w:rPr>
                <w:rFonts w:eastAsia="Times New Roman" w:cs="Times New Roman"/>
                <w:szCs w:val="24"/>
                <w:lang w:eastAsia="lt-LT"/>
              </w:rPr>
              <w:t xml:space="preserve"> Įgyvendinti FINTECH LT projektą</w:t>
            </w: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3.1.1. Suorganizuoti tarptautinę </w:t>
            </w:r>
            <w:r w:rsidR="00D8762D">
              <w:rPr>
                <w:rFonts w:eastAsia="Times New Roman" w:cs="Times New Roman"/>
                <w:szCs w:val="24"/>
                <w:lang w:eastAsia="lt-LT"/>
              </w:rPr>
              <w:t>„</w:t>
            </w:r>
            <w:proofErr w:type="spellStart"/>
            <w:r w:rsidRPr="00271F99">
              <w:rPr>
                <w:rFonts w:eastAsia="Times New Roman" w:cs="Times New Roman"/>
                <w:szCs w:val="24"/>
                <w:lang w:eastAsia="lt-LT"/>
              </w:rPr>
              <w:t>Fintech</w:t>
            </w:r>
            <w:proofErr w:type="spellEnd"/>
            <w:r w:rsidRPr="00271F99">
              <w:rPr>
                <w:rFonts w:eastAsia="Times New Roman" w:cs="Times New Roman"/>
                <w:szCs w:val="24"/>
                <w:lang w:eastAsia="lt-LT"/>
              </w:rPr>
              <w:t xml:space="preserve"> </w:t>
            </w:r>
            <w:proofErr w:type="spellStart"/>
            <w:r w:rsidRPr="00271F99">
              <w:rPr>
                <w:rFonts w:eastAsia="Times New Roman" w:cs="Times New Roman"/>
                <w:szCs w:val="24"/>
                <w:lang w:eastAsia="lt-LT"/>
              </w:rPr>
              <w:t>Inn</w:t>
            </w:r>
            <w:proofErr w:type="spellEnd"/>
            <w:r w:rsidRPr="00271F99">
              <w:rPr>
                <w:rFonts w:eastAsia="Times New Roman" w:cs="Times New Roman"/>
                <w:szCs w:val="24"/>
                <w:lang w:eastAsia="lt-LT"/>
              </w:rPr>
              <w:t xml:space="preserve"> 2020</w:t>
            </w:r>
            <w:r w:rsidR="00D8762D">
              <w:rPr>
                <w:rFonts w:eastAsia="Times New Roman" w:cs="Times New Roman"/>
                <w:szCs w:val="24"/>
                <w:lang w:eastAsia="lt-LT"/>
              </w:rPr>
              <w:t>“</w:t>
            </w:r>
            <w:r w:rsidRPr="00271F99">
              <w:rPr>
                <w:rFonts w:eastAsia="Times New Roman" w:cs="Times New Roman"/>
                <w:szCs w:val="24"/>
                <w:lang w:eastAsia="lt-LT"/>
              </w:rPr>
              <w:t xml:space="preserve"> konferenciją</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2021 m. 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271F99" w:rsidRPr="00271F99" w:rsidRDefault="00271F99" w:rsidP="001250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Ekonomikos ir inovacijų ministerija, Mokslo, inovacijų ir technologijų agentūra, konsultuojantis su Finansų ministerija, Lietuvos banku, Užsienio reikalų ministerija, </w:t>
            </w: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w:t>
            </w:r>
            <w:r w:rsidR="001A32A1">
              <w:rPr>
                <w:rFonts w:eastAsia="Times New Roman" w:cs="Times New Roman"/>
                <w:szCs w:val="24"/>
                <w:lang w:eastAsia="lt-LT"/>
              </w:rPr>
              <w:t>„</w:t>
            </w:r>
            <w:r w:rsidRPr="00271F99">
              <w:rPr>
                <w:rFonts w:eastAsia="Times New Roman" w:cs="Times New Roman"/>
                <w:szCs w:val="24"/>
                <w:lang w:eastAsia="lt-LT"/>
              </w:rPr>
              <w:t>Investuok Lietuvoje</w:t>
            </w:r>
            <w:r w:rsidR="001A32A1">
              <w:rPr>
                <w:rFonts w:eastAsia="Times New Roman" w:cs="Times New Roman"/>
                <w:szCs w:val="24"/>
                <w:lang w:eastAsia="lt-LT"/>
              </w:rPr>
              <w:t>“</w:t>
            </w:r>
            <w:r w:rsidRPr="00271F99">
              <w:rPr>
                <w:rFonts w:eastAsia="Times New Roman" w:cs="Times New Roman"/>
                <w:szCs w:val="24"/>
                <w:lang w:eastAsia="lt-LT"/>
              </w:rPr>
              <w:t xml:space="preserve"> ir </w:t>
            </w:r>
            <w:proofErr w:type="spellStart"/>
            <w:r w:rsidR="001A32A1">
              <w:rPr>
                <w:rFonts w:eastAsia="Times New Roman" w:cs="Times New Roman"/>
                <w:szCs w:val="24"/>
                <w:lang w:eastAsia="lt-LT"/>
              </w:rPr>
              <w:t>VšĮ</w:t>
            </w:r>
            <w:proofErr w:type="spellEnd"/>
            <w:r w:rsidR="001A32A1">
              <w:rPr>
                <w:rFonts w:eastAsia="Times New Roman" w:cs="Times New Roman"/>
                <w:szCs w:val="24"/>
                <w:lang w:eastAsia="lt-LT"/>
              </w:rPr>
              <w:t xml:space="preserve"> „Versli Lietuva“ </w:t>
            </w:r>
            <w:r w:rsidR="00D8762D">
              <w:rPr>
                <w:rFonts w:eastAsia="Times New Roman" w:cs="Times New Roman"/>
                <w:szCs w:val="24"/>
                <w:lang w:eastAsia="lt-LT"/>
              </w:rPr>
              <w:t>projekto „</w:t>
            </w:r>
            <w:proofErr w:type="spellStart"/>
            <w:r w:rsidRPr="00271F99">
              <w:rPr>
                <w:rFonts w:eastAsia="Times New Roman" w:cs="Times New Roman"/>
                <w:szCs w:val="24"/>
                <w:lang w:eastAsia="lt-LT"/>
              </w:rPr>
              <w:t>Startup</w:t>
            </w:r>
            <w:proofErr w:type="spellEnd"/>
            <w:r w:rsidRPr="00271F99">
              <w:rPr>
                <w:rFonts w:eastAsia="Times New Roman" w:cs="Times New Roman"/>
                <w:szCs w:val="24"/>
                <w:lang w:eastAsia="lt-LT"/>
              </w:rPr>
              <w:t xml:space="preserve"> </w:t>
            </w:r>
            <w:proofErr w:type="spellStart"/>
            <w:r w:rsidRPr="00271F99">
              <w:rPr>
                <w:rFonts w:eastAsia="Times New Roman" w:cs="Times New Roman"/>
                <w:szCs w:val="24"/>
                <w:lang w:eastAsia="lt-LT"/>
              </w:rPr>
              <w:t>Lithuania</w:t>
            </w:r>
            <w:proofErr w:type="spellEnd"/>
            <w:r w:rsidR="00D8762D">
              <w:rPr>
                <w:rFonts w:eastAsia="Times New Roman" w:cs="Times New Roman"/>
                <w:szCs w:val="24"/>
                <w:lang w:eastAsia="lt-LT"/>
              </w:rPr>
              <w:t>“ komanda</w:t>
            </w:r>
          </w:p>
        </w:tc>
      </w:tr>
      <w:tr w:rsidR="00125099" w:rsidRPr="00271F99" w:rsidTr="005841A7">
        <w:trPr>
          <w:trHeight w:val="930"/>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3.1.2. Suorganizuoti 22 renginius užsienyje</w:t>
            </w: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780"/>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3.1.3.</w:t>
            </w:r>
            <w:r w:rsidR="005A0DFD">
              <w:rPr>
                <w:rFonts w:eastAsia="Times New Roman" w:cs="Times New Roman"/>
                <w:szCs w:val="24"/>
                <w:lang w:eastAsia="lt-LT"/>
              </w:rPr>
              <w:t xml:space="preserve"> </w:t>
            </w:r>
            <w:r w:rsidRPr="00271F99">
              <w:rPr>
                <w:rFonts w:eastAsia="Times New Roman" w:cs="Times New Roman"/>
                <w:szCs w:val="24"/>
                <w:lang w:eastAsia="lt-LT"/>
              </w:rPr>
              <w:t>Suorganizuoti 13 renginių Lietuvoje</w:t>
            </w: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690"/>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3.1.4. </w:t>
            </w:r>
            <w:r w:rsidR="00E97B6C">
              <w:rPr>
                <w:rFonts w:eastAsia="Times New Roman" w:cs="Times New Roman"/>
                <w:szCs w:val="24"/>
                <w:lang w:eastAsia="lt-LT"/>
              </w:rPr>
              <w:t>Parengti</w:t>
            </w:r>
            <w:r w:rsidR="00E97B6C" w:rsidRPr="00271F99">
              <w:rPr>
                <w:rFonts w:eastAsia="Times New Roman" w:cs="Times New Roman"/>
                <w:szCs w:val="24"/>
                <w:lang w:eastAsia="lt-LT"/>
              </w:rPr>
              <w:t xml:space="preserve"> </w:t>
            </w:r>
            <w:r w:rsidRPr="00271F99">
              <w:rPr>
                <w:rFonts w:eastAsia="Times New Roman" w:cs="Times New Roman"/>
                <w:szCs w:val="24"/>
                <w:lang w:eastAsia="lt-LT"/>
              </w:rPr>
              <w:t>ir publikuoti 10 vaizdinių publikacijų</w:t>
            </w: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870"/>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3.1.5. Inicij</w:t>
            </w:r>
            <w:r w:rsidR="001D00A0">
              <w:rPr>
                <w:rFonts w:eastAsia="Times New Roman" w:cs="Times New Roman"/>
                <w:szCs w:val="24"/>
                <w:lang w:eastAsia="lt-LT"/>
              </w:rPr>
              <w:t>uoti ir publikuoti 17 straipsni</w:t>
            </w:r>
            <w:r w:rsidR="00E97B6C">
              <w:rPr>
                <w:rFonts w:eastAsia="Times New Roman" w:cs="Times New Roman"/>
                <w:szCs w:val="24"/>
                <w:lang w:eastAsia="lt-LT"/>
              </w:rPr>
              <w:t>ų</w:t>
            </w:r>
            <w:r w:rsidRPr="00271F99">
              <w:rPr>
                <w:rFonts w:eastAsia="Times New Roman" w:cs="Times New Roman"/>
                <w:szCs w:val="24"/>
                <w:lang w:eastAsia="lt-LT"/>
              </w:rPr>
              <w:t xml:space="preserve"> užsienio žiniasklaidoje</w:t>
            </w: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1020"/>
        </w:trPr>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135EF8">
            <w:pPr>
              <w:spacing w:after="0" w:line="240" w:lineRule="auto"/>
              <w:jc w:val="both"/>
              <w:rPr>
                <w:rFonts w:eastAsia="Times New Roman" w:cs="Times New Roman"/>
                <w:szCs w:val="24"/>
                <w:lang w:eastAsia="lt-LT"/>
              </w:rPr>
            </w:pPr>
          </w:p>
        </w:tc>
        <w:tc>
          <w:tcPr>
            <w:tcW w:w="0" w:type="auto"/>
            <w:tcBorders>
              <w:top w:val="nil"/>
              <w:left w:val="nil"/>
              <w:bottom w:val="single" w:sz="4" w:space="0" w:color="auto"/>
              <w:right w:val="single" w:sz="4" w:space="0" w:color="auto"/>
            </w:tcBorders>
            <w:shd w:val="clear" w:color="000000" w:fill="FFFFFF"/>
            <w:vAlign w:val="center"/>
            <w:hideMark/>
          </w:tcPr>
          <w:p w:rsidR="00271F99" w:rsidRPr="00271F99" w:rsidRDefault="00271F99"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3.1.6. Inicijuoti ir publikuoti 7 straipsni</w:t>
            </w:r>
            <w:r w:rsidR="00E97B6C">
              <w:rPr>
                <w:rFonts w:eastAsia="Times New Roman" w:cs="Times New Roman"/>
                <w:szCs w:val="24"/>
                <w:lang w:eastAsia="lt-LT"/>
              </w:rPr>
              <w:t>us</w:t>
            </w:r>
            <w:r w:rsidRPr="00271F99">
              <w:rPr>
                <w:rFonts w:eastAsia="Times New Roman" w:cs="Times New Roman"/>
                <w:szCs w:val="24"/>
                <w:lang w:eastAsia="lt-LT"/>
              </w:rPr>
              <w:t xml:space="preserve"> Lietuvos žiniasklaidoje</w:t>
            </w: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c>
          <w:tcPr>
            <w:tcW w:w="0" w:type="auto"/>
            <w:vMerge/>
            <w:tcBorders>
              <w:top w:val="nil"/>
              <w:left w:val="single" w:sz="4" w:space="0" w:color="auto"/>
              <w:bottom w:val="single" w:sz="4" w:space="0" w:color="000000"/>
              <w:right w:val="single" w:sz="4" w:space="0" w:color="auto"/>
            </w:tcBorders>
            <w:vAlign w:val="center"/>
            <w:hideMark/>
          </w:tcPr>
          <w:p w:rsidR="00271F99" w:rsidRPr="00271F99" w:rsidRDefault="00271F99" w:rsidP="00271F99">
            <w:pPr>
              <w:spacing w:after="0" w:line="240" w:lineRule="auto"/>
              <w:rPr>
                <w:rFonts w:eastAsia="Times New Roman" w:cs="Times New Roman"/>
                <w:szCs w:val="24"/>
                <w:lang w:eastAsia="lt-LT"/>
              </w:rPr>
            </w:pPr>
          </w:p>
        </w:tc>
      </w:tr>
      <w:tr w:rsidR="00125099" w:rsidRPr="00271F99" w:rsidTr="005841A7">
        <w:trPr>
          <w:trHeight w:val="124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41A7" w:rsidRPr="00271F99" w:rsidRDefault="00B22FEE" w:rsidP="00135EF8">
            <w:pPr>
              <w:spacing w:after="0" w:line="240" w:lineRule="auto"/>
              <w:jc w:val="both"/>
              <w:rPr>
                <w:rFonts w:eastAsia="Times New Roman" w:cs="Times New Roman"/>
                <w:szCs w:val="24"/>
                <w:lang w:eastAsia="lt-LT"/>
              </w:rPr>
            </w:pPr>
            <w:r>
              <w:rPr>
                <w:rFonts w:eastAsia="Times New Roman" w:cs="Times New Roman"/>
                <w:szCs w:val="24"/>
                <w:lang w:eastAsia="lt-LT"/>
              </w:rPr>
              <w:t>3.2</w:t>
            </w:r>
            <w:r w:rsidR="005841A7" w:rsidRPr="00271F99">
              <w:rPr>
                <w:rFonts w:eastAsia="Times New Roman" w:cs="Times New Roman"/>
                <w:szCs w:val="24"/>
                <w:lang w:eastAsia="lt-LT"/>
              </w:rPr>
              <w:t>. Parengti rekomendacijas dėl atsiskaitymo negrynaisiais</w:t>
            </w:r>
            <w:r w:rsidR="006022BD">
              <w:rPr>
                <w:rFonts w:eastAsia="Times New Roman" w:cs="Times New Roman"/>
                <w:szCs w:val="24"/>
                <w:lang w:eastAsia="lt-LT"/>
              </w:rPr>
              <w:t xml:space="preserve"> pinigais</w:t>
            </w:r>
            <w:r w:rsidR="005841A7" w:rsidRPr="00271F99">
              <w:rPr>
                <w:rFonts w:eastAsia="Times New Roman" w:cs="Times New Roman"/>
                <w:szCs w:val="24"/>
                <w:lang w:eastAsia="lt-LT"/>
              </w:rPr>
              <w:t xml:space="preserve"> ugdymo įstaigose aplinkos suformavimo ir skatinimo</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m. 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Mokėjimų </w:t>
            </w:r>
            <w:r w:rsidR="00D8762D">
              <w:rPr>
                <w:rFonts w:eastAsia="Times New Roman" w:cs="Times New Roman"/>
                <w:szCs w:val="24"/>
                <w:lang w:eastAsia="lt-LT"/>
              </w:rPr>
              <w:t>t</w:t>
            </w:r>
            <w:r w:rsidRPr="00271F99">
              <w:rPr>
                <w:rFonts w:eastAsia="Times New Roman" w:cs="Times New Roman"/>
                <w:szCs w:val="24"/>
                <w:lang w:eastAsia="lt-LT"/>
              </w:rPr>
              <w:t>aryba</w:t>
            </w:r>
          </w:p>
        </w:tc>
      </w:tr>
      <w:tr w:rsidR="005841A7" w:rsidRPr="00271F99" w:rsidTr="005841A7">
        <w:trPr>
          <w:trHeight w:val="581"/>
        </w:trPr>
        <w:tc>
          <w:tcPr>
            <w:tcW w:w="0" w:type="auto"/>
            <w:gridSpan w:val="4"/>
            <w:tcBorders>
              <w:top w:val="nil"/>
              <w:left w:val="single" w:sz="4" w:space="0" w:color="auto"/>
              <w:bottom w:val="single" w:sz="4" w:space="0" w:color="auto"/>
              <w:right w:val="single" w:sz="4" w:space="0" w:color="auto"/>
            </w:tcBorders>
            <w:shd w:val="clear" w:color="000000" w:fill="FFFFFF"/>
            <w:vAlign w:val="center"/>
          </w:tcPr>
          <w:p w:rsidR="005841A7" w:rsidRPr="00271F99" w:rsidRDefault="005841A7" w:rsidP="00135EF8">
            <w:pPr>
              <w:spacing w:after="0" w:line="240" w:lineRule="auto"/>
              <w:jc w:val="center"/>
              <w:rPr>
                <w:rFonts w:eastAsia="Times New Roman" w:cs="Times New Roman"/>
                <w:szCs w:val="24"/>
                <w:lang w:eastAsia="lt-LT"/>
              </w:rPr>
            </w:pPr>
            <w:r>
              <w:rPr>
                <w:b/>
              </w:rPr>
              <w:t>4</w:t>
            </w:r>
            <w:r w:rsidRPr="001F3E5F">
              <w:rPr>
                <w:b/>
              </w:rPr>
              <w:t xml:space="preserve"> užduotis. Skatinti Lietuvoje įsikūrusių </w:t>
            </w:r>
            <w:r>
              <w:rPr>
                <w:b/>
              </w:rPr>
              <w:t>FINTECH</w:t>
            </w:r>
            <w:r w:rsidRPr="001F3E5F">
              <w:rPr>
                <w:b/>
              </w:rPr>
              <w:t xml:space="preserve"> sektoriaus įmonių paslaugų ir </w:t>
            </w:r>
            <w:r w:rsidR="006910F5">
              <w:rPr>
                <w:b/>
              </w:rPr>
              <w:t>prekių</w:t>
            </w:r>
            <w:r w:rsidR="006910F5" w:rsidRPr="001F3E5F">
              <w:rPr>
                <w:b/>
              </w:rPr>
              <w:t xml:space="preserve"> </w:t>
            </w:r>
            <w:r w:rsidRPr="001F3E5F">
              <w:rPr>
                <w:b/>
              </w:rPr>
              <w:t>eksportą į užsienio rinkas</w:t>
            </w:r>
          </w:p>
        </w:tc>
      </w:tr>
      <w:tr w:rsidR="00125099" w:rsidRPr="00271F99" w:rsidTr="00B3503E">
        <w:trPr>
          <w:trHeight w:val="124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4.1. Parengti 2021 metų renginių užsienyje, kuriuose kartu su bendradarbiaujančiomis institucijomis galėtų dalyvauti ir FINTECH įmonės, sąrašą</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w:t>
            </w:r>
            <w:r w:rsidR="009C5B75">
              <w:rPr>
                <w:rFonts w:eastAsia="Times New Roman" w:cs="Times New Roman"/>
                <w:szCs w:val="24"/>
                <w:lang w:eastAsia="lt-LT"/>
              </w:rPr>
              <w:t xml:space="preserve">m. </w:t>
            </w:r>
            <w:r w:rsidRPr="00271F99">
              <w:rPr>
                <w:rFonts w:eastAsia="Times New Roman" w:cs="Times New Roman"/>
                <w:szCs w:val="24"/>
                <w:lang w:eastAsia="lt-LT"/>
              </w:rPr>
              <w:t xml:space="preserve">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1743F8">
            <w:pPr>
              <w:spacing w:after="0" w:line="240" w:lineRule="auto"/>
              <w:jc w:val="center"/>
              <w:rPr>
                <w:rFonts w:eastAsia="Times New Roman" w:cs="Times New Roman"/>
                <w:szCs w:val="24"/>
                <w:lang w:eastAsia="lt-LT"/>
              </w:rPr>
            </w:pP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„Versli Lietuva“, </w:t>
            </w:r>
            <w:r w:rsidRPr="00271F99">
              <w:rPr>
                <w:rFonts w:eastAsia="Times New Roman" w:cs="Times New Roman"/>
                <w:szCs w:val="24"/>
                <w:lang w:eastAsia="lt-LT"/>
              </w:rPr>
              <w:br/>
            </w: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„Investuok Lietuvoje“, Ekonomikos ir inovacijų ministerija</w:t>
            </w:r>
          </w:p>
        </w:tc>
      </w:tr>
      <w:tr w:rsidR="00125099" w:rsidRPr="00271F99" w:rsidTr="00B3503E">
        <w:trPr>
          <w:trHeight w:val="983"/>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4.2. </w:t>
            </w:r>
            <w:r w:rsidR="00F82600">
              <w:rPr>
                <w:rFonts w:eastAsia="Times New Roman" w:cs="Times New Roman"/>
                <w:szCs w:val="24"/>
                <w:lang w:eastAsia="lt-LT"/>
              </w:rPr>
              <w:t xml:space="preserve">Finansuoti </w:t>
            </w:r>
            <w:r w:rsidR="00F82600" w:rsidRPr="00271F99">
              <w:rPr>
                <w:rFonts w:eastAsia="Times New Roman" w:cs="Times New Roman"/>
                <w:szCs w:val="24"/>
                <w:lang w:eastAsia="lt-LT"/>
              </w:rPr>
              <w:t>bent 5 Lietuvoje įsikūrusi</w:t>
            </w:r>
            <w:r w:rsidR="00F82600">
              <w:rPr>
                <w:rFonts w:eastAsia="Times New Roman" w:cs="Times New Roman"/>
                <w:szCs w:val="24"/>
                <w:lang w:eastAsia="lt-LT"/>
              </w:rPr>
              <w:t>ų</w:t>
            </w:r>
            <w:r w:rsidR="00F82600" w:rsidRPr="00271F99">
              <w:rPr>
                <w:rFonts w:eastAsia="Times New Roman" w:cs="Times New Roman"/>
                <w:szCs w:val="24"/>
                <w:lang w:eastAsia="lt-LT"/>
              </w:rPr>
              <w:t xml:space="preserve"> įmon</w:t>
            </w:r>
            <w:r w:rsidR="00F82600">
              <w:rPr>
                <w:rFonts w:eastAsia="Times New Roman" w:cs="Times New Roman"/>
                <w:szCs w:val="24"/>
                <w:lang w:eastAsia="lt-LT"/>
              </w:rPr>
              <w:t>ių išvykas į</w:t>
            </w:r>
            <w:r w:rsidRPr="00271F99">
              <w:rPr>
                <w:rFonts w:eastAsia="Times New Roman" w:cs="Times New Roman"/>
                <w:szCs w:val="24"/>
                <w:lang w:eastAsia="lt-LT"/>
              </w:rPr>
              <w:t xml:space="preserve"> užsienyje vykstančius </w:t>
            </w:r>
            <w:r w:rsidR="005A0DFD">
              <w:rPr>
                <w:rFonts w:eastAsia="Times New Roman" w:cs="Times New Roman"/>
                <w:szCs w:val="24"/>
                <w:lang w:eastAsia="lt-LT"/>
              </w:rPr>
              <w:t xml:space="preserve">FINTECH </w:t>
            </w:r>
            <w:r w:rsidRPr="00271F99">
              <w:rPr>
                <w:rFonts w:eastAsia="Times New Roman" w:cs="Times New Roman"/>
                <w:szCs w:val="24"/>
                <w:lang w:eastAsia="lt-LT"/>
              </w:rPr>
              <w:t>renginius</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2021 m. 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 pradži</w:t>
            </w:r>
            <w:r w:rsidR="009C5B75">
              <w:rPr>
                <w:rFonts w:eastAsia="Times New Roman" w:cs="Times New Roman"/>
                <w:szCs w:val="24"/>
                <w:lang w:eastAsia="lt-LT"/>
              </w:rPr>
              <w:t>a</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Mokslo, inovacijų ir technologijų agentūra, konsultuojantis su Lietuvos banku ir </w:t>
            </w: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w:t>
            </w:r>
            <w:r w:rsidR="00D8762D">
              <w:rPr>
                <w:rFonts w:eastAsia="Times New Roman" w:cs="Times New Roman"/>
                <w:szCs w:val="24"/>
                <w:lang w:eastAsia="lt-LT"/>
              </w:rPr>
              <w:t>„</w:t>
            </w:r>
            <w:r w:rsidRPr="00271F99">
              <w:rPr>
                <w:rFonts w:eastAsia="Times New Roman" w:cs="Times New Roman"/>
                <w:szCs w:val="24"/>
                <w:lang w:eastAsia="lt-LT"/>
              </w:rPr>
              <w:t>Investuok Lietuvoje</w:t>
            </w:r>
            <w:r w:rsidR="00D8762D">
              <w:rPr>
                <w:rFonts w:eastAsia="Times New Roman" w:cs="Times New Roman"/>
                <w:szCs w:val="24"/>
                <w:lang w:eastAsia="lt-LT"/>
              </w:rPr>
              <w:t>“</w:t>
            </w:r>
          </w:p>
        </w:tc>
      </w:tr>
      <w:tr w:rsidR="00125099" w:rsidRPr="00271F99" w:rsidTr="00B3503E">
        <w:trPr>
          <w:trHeight w:val="1549"/>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xml:space="preserve">4.3. Konsultuojantis su valstybės institucijomis ir </w:t>
            </w:r>
            <w:r w:rsidR="006910F5">
              <w:rPr>
                <w:rFonts w:eastAsia="Times New Roman" w:cs="Times New Roman"/>
                <w:szCs w:val="24"/>
                <w:lang w:eastAsia="lt-LT"/>
              </w:rPr>
              <w:t>FIN</w:t>
            </w:r>
            <w:r w:rsidR="00F82600">
              <w:rPr>
                <w:rFonts w:eastAsia="Times New Roman" w:cs="Times New Roman"/>
                <w:szCs w:val="24"/>
                <w:lang w:eastAsia="lt-LT"/>
              </w:rPr>
              <w:t xml:space="preserve">TECH </w:t>
            </w:r>
            <w:r w:rsidRPr="00271F99">
              <w:rPr>
                <w:rFonts w:eastAsia="Times New Roman" w:cs="Times New Roman"/>
                <w:szCs w:val="24"/>
                <w:lang w:eastAsia="lt-LT"/>
              </w:rPr>
              <w:t xml:space="preserve">sektoriaus asocijuotomis struktūromis, parengti užduočių ekonominiams diplomatams, dirbantiems tikslinėse </w:t>
            </w:r>
            <w:r w:rsidR="005A0DFD">
              <w:rPr>
                <w:rFonts w:eastAsia="Times New Roman" w:cs="Times New Roman"/>
                <w:szCs w:val="24"/>
                <w:lang w:eastAsia="lt-LT"/>
              </w:rPr>
              <w:t xml:space="preserve">FINTECH </w:t>
            </w:r>
            <w:r w:rsidRPr="00271F99">
              <w:rPr>
                <w:rFonts w:eastAsia="Times New Roman" w:cs="Times New Roman"/>
                <w:szCs w:val="24"/>
                <w:lang w:eastAsia="lt-LT"/>
              </w:rPr>
              <w:t>srities rinkose</w:t>
            </w:r>
            <w:r w:rsidR="005A0DFD">
              <w:rPr>
                <w:rFonts w:eastAsia="Times New Roman" w:cs="Times New Roman"/>
                <w:szCs w:val="24"/>
                <w:lang w:eastAsia="lt-LT"/>
              </w:rPr>
              <w:t xml:space="preserve">, </w:t>
            </w:r>
            <w:r w:rsidR="005A0DFD" w:rsidRPr="00271F99">
              <w:rPr>
                <w:rFonts w:eastAsia="Times New Roman" w:cs="Times New Roman"/>
                <w:szCs w:val="24"/>
                <w:lang w:eastAsia="lt-LT"/>
              </w:rPr>
              <w:t>sąrašą</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135EF8">
            <w:pPr>
              <w:spacing w:after="0" w:line="240" w:lineRule="auto"/>
              <w:jc w:val="both"/>
              <w:rPr>
                <w:rFonts w:eastAsia="Times New Roman" w:cs="Times New Roman"/>
                <w:szCs w:val="24"/>
                <w:lang w:eastAsia="lt-LT"/>
              </w:rPr>
            </w:pPr>
            <w:r w:rsidRPr="00271F99">
              <w:rPr>
                <w:rFonts w:eastAsia="Times New Roman" w:cs="Times New Roman"/>
                <w:szCs w:val="24"/>
                <w:lang w:eastAsia="lt-LT"/>
              </w:rPr>
              <w:t> </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2020 </w:t>
            </w:r>
            <w:r w:rsidR="009C5B75">
              <w:rPr>
                <w:rFonts w:eastAsia="Times New Roman" w:cs="Times New Roman"/>
                <w:szCs w:val="24"/>
                <w:lang w:eastAsia="lt-LT"/>
              </w:rPr>
              <w:t xml:space="preserve">m. </w:t>
            </w:r>
            <w:r w:rsidRPr="00271F99">
              <w:rPr>
                <w:rFonts w:eastAsia="Times New Roman" w:cs="Times New Roman"/>
                <w:szCs w:val="24"/>
                <w:lang w:eastAsia="lt-LT"/>
              </w:rPr>
              <w:t xml:space="preserve">III </w:t>
            </w:r>
            <w:proofErr w:type="spellStart"/>
            <w:r w:rsidRPr="00271F99">
              <w:rPr>
                <w:rFonts w:eastAsia="Times New Roman" w:cs="Times New Roman"/>
                <w:szCs w:val="24"/>
                <w:lang w:eastAsia="lt-LT"/>
              </w:rPr>
              <w:t>ketv</w:t>
            </w:r>
            <w:proofErr w:type="spellEnd"/>
            <w:r w:rsidRPr="00271F99">
              <w:rPr>
                <w:rFonts w:eastAsia="Times New Roman" w:cs="Times New Roman"/>
                <w:szCs w:val="24"/>
                <w:lang w:eastAsia="lt-LT"/>
              </w:rPr>
              <w:t>.</w:t>
            </w:r>
          </w:p>
        </w:tc>
        <w:tc>
          <w:tcPr>
            <w:tcW w:w="0" w:type="auto"/>
            <w:tcBorders>
              <w:top w:val="nil"/>
              <w:left w:val="nil"/>
              <w:bottom w:val="single" w:sz="4" w:space="0" w:color="auto"/>
              <w:right w:val="single" w:sz="4" w:space="0" w:color="auto"/>
            </w:tcBorders>
            <w:shd w:val="clear" w:color="000000" w:fill="FFFFFF"/>
            <w:vAlign w:val="center"/>
            <w:hideMark/>
          </w:tcPr>
          <w:p w:rsidR="005841A7" w:rsidRPr="00271F99" w:rsidRDefault="005841A7" w:rsidP="00271F99">
            <w:pPr>
              <w:spacing w:after="0" w:line="240" w:lineRule="auto"/>
              <w:jc w:val="center"/>
              <w:rPr>
                <w:rFonts w:eastAsia="Times New Roman" w:cs="Times New Roman"/>
                <w:szCs w:val="24"/>
                <w:lang w:eastAsia="lt-LT"/>
              </w:rPr>
            </w:pPr>
            <w:r w:rsidRPr="00271F99">
              <w:rPr>
                <w:rFonts w:eastAsia="Times New Roman" w:cs="Times New Roman"/>
                <w:szCs w:val="24"/>
                <w:lang w:eastAsia="lt-LT"/>
              </w:rPr>
              <w:t xml:space="preserve">Užsienio reikalų ministerija, </w:t>
            </w:r>
            <w:proofErr w:type="spellStart"/>
            <w:r w:rsidRPr="00271F99">
              <w:rPr>
                <w:rFonts w:eastAsia="Times New Roman" w:cs="Times New Roman"/>
                <w:szCs w:val="24"/>
                <w:lang w:eastAsia="lt-LT"/>
              </w:rPr>
              <w:t>VšĮ</w:t>
            </w:r>
            <w:proofErr w:type="spellEnd"/>
            <w:r w:rsidRPr="00271F99">
              <w:rPr>
                <w:rFonts w:eastAsia="Times New Roman" w:cs="Times New Roman"/>
                <w:szCs w:val="24"/>
                <w:lang w:eastAsia="lt-LT"/>
              </w:rPr>
              <w:t xml:space="preserve"> </w:t>
            </w:r>
            <w:r w:rsidR="00D8762D">
              <w:rPr>
                <w:rFonts w:eastAsia="Times New Roman" w:cs="Times New Roman"/>
                <w:szCs w:val="24"/>
                <w:lang w:eastAsia="lt-LT"/>
              </w:rPr>
              <w:t>„</w:t>
            </w:r>
            <w:r w:rsidRPr="00271F99">
              <w:rPr>
                <w:rFonts w:eastAsia="Times New Roman" w:cs="Times New Roman"/>
                <w:szCs w:val="24"/>
                <w:lang w:eastAsia="lt-LT"/>
              </w:rPr>
              <w:t>Versli Lietuva</w:t>
            </w:r>
            <w:r w:rsidR="00D8762D">
              <w:rPr>
                <w:rFonts w:eastAsia="Times New Roman" w:cs="Times New Roman"/>
                <w:szCs w:val="24"/>
                <w:lang w:eastAsia="lt-LT"/>
              </w:rPr>
              <w:t>“</w:t>
            </w:r>
            <w:r w:rsidRPr="00271F99">
              <w:rPr>
                <w:rFonts w:eastAsia="Times New Roman" w:cs="Times New Roman"/>
                <w:szCs w:val="24"/>
                <w:lang w:eastAsia="lt-LT"/>
              </w:rPr>
              <w:t xml:space="preserve">, Mokslo, inovacijų ir technologijų agentūra </w:t>
            </w:r>
          </w:p>
        </w:tc>
      </w:tr>
    </w:tbl>
    <w:p w:rsidR="000B3FF8" w:rsidRDefault="000B3FF8" w:rsidP="00B97A6B">
      <w:pPr>
        <w:tabs>
          <w:tab w:val="left" w:pos="1485"/>
        </w:tabs>
        <w:jc w:val="center"/>
      </w:pPr>
    </w:p>
    <w:p w:rsidR="001743F8" w:rsidRPr="00271F99" w:rsidRDefault="001743F8" w:rsidP="00B97A6B">
      <w:pPr>
        <w:tabs>
          <w:tab w:val="left" w:pos="1485"/>
        </w:tabs>
        <w:jc w:val="center"/>
      </w:pPr>
      <w:r>
        <w:t>__________________________________</w:t>
      </w:r>
    </w:p>
    <w:sectPr w:rsidR="001743F8" w:rsidRPr="00271F99" w:rsidSect="00184447">
      <w:headerReference w:type="default" r:id="rId9"/>
      <w:footerReference w:type="default" r:id="rId10"/>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BC" w:rsidRDefault="001571BC" w:rsidP="00B95C6F">
      <w:pPr>
        <w:spacing w:after="0" w:line="240" w:lineRule="auto"/>
      </w:pPr>
      <w:r>
        <w:separator/>
      </w:r>
    </w:p>
  </w:endnote>
  <w:endnote w:type="continuationSeparator" w:id="0">
    <w:p w:rsidR="001571BC" w:rsidRDefault="001571BC" w:rsidP="00B9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6F" w:rsidRDefault="00B95C6F">
    <w:pPr>
      <w:pStyle w:val="Porat"/>
      <w:jc w:val="right"/>
    </w:pPr>
  </w:p>
  <w:p w:rsidR="00B95C6F" w:rsidRDefault="00B95C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BC" w:rsidRDefault="001571BC" w:rsidP="00B95C6F">
      <w:pPr>
        <w:spacing w:after="0" w:line="240" w:lineRule="auto"/>
      </w:pPr>
      <w:r>
        <w:separator/>
      </w:r>
    </w:p>
  </w:footnote>
  <w:footnote w:type="continuationSeparator" w:id="0">
    <w:p w:rsidR="001571BC" w:rsidRDefault="001571BC" w:rsidP="00B95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816339"/>
      <w:docPartObj>
        <w:docPartGallery w:val="Page Numbers (Top of Page)"/>
        <w:docPartUnique/>
      </w:docPartObj>
    </w:sdtPr>
    <w:sdtEndPr/>
    <w:sdtContent>
      <w:p w:rsidR="001743F8" w:rsidRDefault="001743F8">
        <w:pPr>
          <w:pStyle w:val="Antrats"/>
          <w:jc w:val="center"/>
        </w:pPr>
        <w:r>
          <w:fldChar w:fldCharType="begin"/>
        </w:r>
        <w:r>
          <w:instrText>PAGE   \* MERGEFORMAT</w:instrText>
        </w:r>
        <w:r>
          <w:fldChar w:fldCharType="separate"/>
        </w:r>
        <w:r w:rsidR="006C5BAD">
          <w:rPr>
            <w:noProof/>
          </w:rPr>
          <w:t>4</w:t>
        </w:r>
        <w:r>
          <w:fldChar w:fldCharType="end"/>
        </w:r>
      </w:p>
    </w:sdtContent>
  </w:sdt>
  <w:p w:rsidR="001743F8" w:rsidRDefault="001743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E605C"/>
    <w:multiLevelType w:val="hybridMultilevel"/>
    <w:tmpl w:val="03A669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C2B"/>
    <w:rsid w:val="00080E97"/>
    <w:rsid w:val="000949EB"/>
    <w:rsid w:val="000B3FF8"/>
    <w:rsid w:val="000D7F88"/>
    <w:rsid w:val="00125099"/>
    <w:rsid w:val="00135EF8"/>
    <w:rsid w:val="001571BC"/>
    <w:rsid w:val="001743F8"/>
    <w:rsid w:val="00184447"/>
    <w:rsid w:val="001A32A1"/>
    <w:rsid w:val="001D00A0"/>
    <w:rsid w:val="00271F99"/>
    <w:rsid w:val="00383E55"/>
    <w:rsid w:val="0039734E"/>
    <w:rsid w:val="003973E9"/>
    <w:rsid w:val="003D1C40"/>
    <w:rsid w:val="003D3A5F"/>
    <w:rsid w:val="004258CE"/>
    <w:rsid w:val="00526F75"/>
    <w:rsid w:val="005841A7"/>
    <w:rsid w:val="005A0DFD"/>
    <w:rsid w:val="005D0DC2"/>
    <w:rsid w:val="006022BD"/>
    <w:rsid w:val="00607F50"/>
    <w:rsid w:val="00652C2B"/>
    <w:rsid w:val="006910F5"/>
    <w:rsid w:val="006C5BAD"/>
    <w:rsid w:val="007625D3"/>
    <w:rsid w:val="007F1EF3"/>
    <w:rsid w:val="008054F3"/>
    <w:rsid w:val="008400A7"/>
    <w:rsid w:val="008B3F87"/>
    <w:rsid w:val="008E338A"/>
    <w:rsid w:val="009310CC"/>
    <w:rsid w:val="009C5B75"/>
    <w:rsid w:val="009D42AD"/>
    <w:rsid w:val="00A9513F"/>
    <w:rsid w:val="00AA508D"/>
    <w:rsid w:val="00B22FEE"/>
    <w:rsid w:val="00B240EC"/>
    <w:rsid w:val="00B30432"/>
    <w:rsid w:val="00B3503E"/>
    <w:rsid w:val="00B508C0"/>
    <w:rsid w:val="00B95C6F"/>
    <w:rsid w:val="00B97A6B"/>
    <w:rsid w:val="00BD115D"/>
    <w:rsid w:val="00C4261D"/>
    <w:rsid w:val="00C63A91"/>
    <w:rsid w:val="00CC044E"/>
    <w:rsid w:val="00D3157B"/>
    <w:rsid w:val="00D8762D"/>
    <w:rsid w:val="00DE015E"/>
    <w:rsid w:val="00DE3366"/>
    <w:rsid w:val="00E20D7D"/>
    <w:rsid w:val="00E97B6C"/>
    <w:rsid w:val="00F82600"/>
    <w:rsid w:val="00FB0625"/>
    <w:rsid w:val="00FC1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52C2B"/>
    <w:rPr>
      <w:color w:val="0000FF" w:themeColor="hyperlink"/>
      <w:u w:val="single"/>
    </w:rPr>
  </w:style>
  <w:style w:type="paragraph" w:styleId="Sraopastraipa">
    <w:name w:val="List Paragraph"/>
    <w:basedOn w:val="prastasis"/>
    <w:uiPriority w:val="34"/>
    <w:qFormat/>
    <w:rsid w:val="00652C2B"/>
    <w:pPr>
      <w:ind w:left="720"/>
      <w:contextualSpacing/>
    </w:pPr>
  </w:style>
  <w:style w:type="paragraph" w:styleId="Antrats">
    <w:name w:val="header"/>
    <w:basedOn w:val="prastasis"/>
    <w:link w:val="AntratsDiagrama"/>
    <w:uiPriority w:val="99"/>
    <w:unhideWhenUsed/>
    <w:rsid w:val="00B95C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5C6F"/>
  </w:style>
  <w:style w:type="paragraph" w:styleId="Porat">
    <w:name w:val="footer"/>
    <w:basedOn w:val="prastasis"/>
    <w:link w:val="PoratDiagrama"/>
    <w:uiPriority w:val="99"/>
    <w:unhideWhenUsed/>
    <w:rsid w:val="00B95C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5C6F"/>
  </w:style>
  <w:style w:type="paragraph" w:styleId="Debesliotekstas">
    <w:name w:val="Balloon Text"/>
    <w:basedOn w:val="prastasis"/>
    <w:link w:val="DebesliotekstasDiagrama"/>
    <w:uiPriority w:val="99"/>
    <w:semiHidden/>
    <w:unhideWhenUsed/>
    <w:rsid w:val="009D42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42AD"/>
    <w:rPr>
      <w:rFonts w:ascii="Tahoma" w:hAnsi="Tahoma" w:cs="Tahoma"/>
      <w:sz w:val="16"/>
      <w:szCs w:val="16"/>
    </w:rPr>
  </w:style>
  <w:style w:type="character" w:styleId="Komentaronuoroda">
    <w:name w:val="annotation reference"/>
    <w:basedOn w:val="Numatytasispastraiposriftas"/>
    <w:uiPriority w:val="99"/>
    <w:semiHidden/>
    <w:unhideWhenUsed/>
    <w:rsid w:val="009D42AD"/>
    <w:rPr>
      <w:sz w:val="16"/>
      <w:szCs w:val="16"/>
    </w:rPr>
  </w:style>
  <w:style w:type="paragraph" w:styleId="Komentarotekstas">
    <w:name w:val="annotation text"/>
    <w:basedOn w:val="prastasis"/>
    <w:link w:val="KomentarotekstasDiagrama"/>
    <w:uiPriority w:val="99"/>
    <w:semiHidden/>
    <w:unhideWhenUsed/>
    <w:rsid w:val="009D42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42AD"/>
    <w:rPr>
      <w:sz w:val="20"/>
      <w:szCs w:val="20"/>
    </w:rPr>
  </w:style>
  <w:style w:type="paragraph" w:styleId="Komentarotema">
    <w:name w:val="annotation subject"/>
    <w:basedOn w:val="Komentarotekstas"/>
    <w:next w:val="Komentarotekstas"/>
    <w:link w:val="KomentarotemaDiagrama"/>
    <w:uiPriority w:val="99"/>
    <w:semiHidden/>
    <w:unhideWhenUsed/>
    <w:rsid w:val="009D42AD"/>
    <w:rPr>
      <w:b/>
      <w:bCs/>
    </w:rPr>
  </w:style>
  <w:style w:type="character" w:customStyle="1" w:styleId="KomentarotemaDiagrama">
    <w:name w:val="Komentaro tema Diagrama"/>
    <w:basedOn w:val="KomentarotekstasDiagrama"/>
    <w:link w:val="Komentarotema"/>
    <w:uiPriority w:val="99"/>
    <w:semiHidden/>
    <w:rsid w:val="009D42AD"/>
    <w:rPr>
      <w:b/>
      <w:bCs/>
      <w:sz w:val="20"/>
      <w:szCs w:val="20"/>
    </w:rPr>
  </w:style>
  <w:style w:type="paragraph" w:styleId="Pataisymai">
    <w:name w:val="Revision"/>
    <w:hidden/>
    <w:uiPriority w:val="99"/>
    <w:semiHidden/>
    <w:rsid w:val="008400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52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52C2B"/>
    <w:rPr>
      <w:color w:val="0000FF" w:themeColor="hyperlink"/>
      <w:u w:val="single"/>
    </w:rPr>
  </w:style>
  <w:style w:type="paragraph" w:styleId="Sraopastraipa">
    <w:name w:val="List Paragraph"/>
    <w:basedOn w:val="prastasis"/>
    <w:uiPriority w:val="34"/>
    <w:qFormat/>
    <w:rsid w:val="00652C2B"/>
    <w:pPr>
      <w:ind w:left="720"/>
      <w:contextualSpacing/>
    </w:pPr>
  </w:style>
  <w:style w:type="paragraph" w:styleId="Antrats">
    <w:name w:val="header"/>
    <w:basedOn w:val="prastasis"/>
    <w:link w:val="AntratsDiagrama"/>
    <w:uiPriority w:val="99"/>
    <w:unhideWhenUsed/>
    <w:rsid w:val="00B95C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5C6F"/>
  </w:style>
  <w:style w:type="paragraph" w:styleId="Porat">
    <w:name w:val="footer"/>
    <w:basedOn w:val="prastasis"/>
    <w:link w:val="PoratDiagrama"/>
    <w:uiPriority w:val="99"/>
    <w:unhideWhenUsed/>
    <w:rsid w:val="00B95C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5C6F"/>
  </w:style>
  <w:style w:type="paragraph" w:styleId="Debesliotekstas">
    <w:name w:val="Balloon Text"/>
    <w:basedOn w:val="prastasis"/>
    <w:link w:val="DebesliotekstasDiagrama"/>
    <w:uiPriority w:val="99"/>
    <w:semiHidden/>
    <w:unhideWhenUsed/>
    <w:rsid w:val="009D42A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42AD"/>
    <w:rPr>
      <w:rFonts w:ascii="Tahoma" w:hAnsi="Tahoma" w:cs="Tahoma"/>
      <w:sz w:val="16"/>
      <w:szCs w:val="16"/>
    </w:rPr>
  </w:style>
  <w:style w:type="character" w:styleId="Komentaronuoroda">
    <w:name w:val="annotation reference"/>
    <w:basedOn w:val="Numatytasispastraiposriftas"/>
    <w:uiPriority w:val="99"/>
    <w:semiHidden/>
    <w:unhideWhenUsed/>
    <w:rsid w:val="009D42AD"/>
    <w:rPr>
      <w:sz w:val="16"/>
      <w:szCs w:val="16"/>
    </w:rPr>
  </w:style>
  <w:style w:type="paragraph" w:styleId="Komentarotekstas">
    <w:name w:val="annotation text"/>
    <w:basedOn w:val="prastasis"/>
    <w:link w:val="KomentarotekstasDiagrama"/>
    <w:uiPriority w:val="99"/>
    <w:semiHidden/>
    <w:unhideWhenUsed/>
    <w:rsid w:val="009D42A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42AD"/>
    <w:rPr>
      <w:sz w:val="20"/>
      <w:szCs w:val="20"/>
    </w:rPr>
  </w:style>
  <w:style w:type="paragraph" w:styleId="Komentarotema">
    <w:name w:val="annotation subject"/>
    <w:basedOn w:val="Komentarotekstas"/>
    <w:next w:val="Komentarotekstas"/>
    <w:link w:val="KomentarotemaDiagrama"/>
    <w:uiPriority w:val="99"/>
    <w:semiHidden/>
    <w:unhideWhenUsed/>
    <w:rsid w:val="009D42AD"/>
    <w:rPr>
      <w:b/>
      <w:bCs/>
    </w:rPr>
  </w:style>
  <w:style w:type="character" w:customStyle="1" w:styleId="KomentarotemaDiagrama">
    <w:name w:val="Komentaro tema Diagrama"/>
    <w:basedOn w:val="KomentarotekstasDiagrama"/>
    <w:link w:val="Komentarotema"/>
    <w:uiPriority w:val="99"/>
    <w:semiHidden/>
    <w:rsid w:val="009D42AD"/>
    <w:rPr>
      <w:b/>
      <w:bCs/>
      <w:sz w:val="20"/>
      <w:szCs w:val="20"/>
    </w:rPr>
  </w:style>
  <w:style w:type="paragraph" w:styleId="Pataisymai">
    <w:name w:val="Revision"/>
    <w:hidden/>
    <w:uiPriority w:val="99"/>
    <w:semiHidden/>
    <w:rsid w:val="008400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7078">
      <w:bodyDiv w:val="1"/>
      <w:marLeft w:val="0"/>
      <w:marRight w:val="0"/>
      <w:marTop w:val="0"/>
      <w:marBottom w:val="0"/>
      <w:divBdr>
        <w:top w:val="none" w:sz="0" w:space="0" w:color="auto"/>
        <w:left w:val="none" w:sz="0" w:space="0" w:color="auto"/>
        <w:bottom w:val="none" w:sz="0" w:space="0" w:color="auto"/>
        <w:right w:val="none" w:sz="0" w:space="0" w:color="auto"/>
      </w:divBdr>
    </w:div>
    <w:div w:id="1383362316">
      <w:bodyDiv w:val="1"/>
      <w:marLeft w:val="0"/>
      <w:marRight w:val="0"/>
      <w:marTop w:val="0"/>
      <w:marBottom w:val="0"/>
      <w:divBdr>
        <w:top w:val="none" w:sz="0" w:space="0" w:color="auto"/>
        <w:left w:val="none" w:sz="0" w:space="0" w:color="auto"/>
        <w:bottom w:val="none" w:sz="0" w:space="0" w:color="auto"/>
        <w:right w:val="none" w:sz="0" w:space="0" w:color="auto"/>
      </w:divBdr>
    </w:div>
    <w:div w:id="14177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A8C3A-FA8B-43BB-9C72-95EB6347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5503</Words>
  <Characters>3138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Ranonytė</dc:creator>
  <cp:lastModifiedBy>Greta Ranonytė</cp:lastModifiedBy>
  <cp:revision>3</cp:revision>
  <cp:lastPrinted>2020-03-26T08:46:00Z</cp:lastPrinted>
  <dcterms:created xsi:type="dcterms:W3CDTF">2020-03-26T14:31:00Z</dcterms:created>
  <dcterms:modified xsi:type="dcterms:W3CDTF">2020-03-26T14:43:00Z</dcterms:modified>
</cp:coreProperties>
</file>