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E643C" w14:textId="77777777" w:rsidR="00BF3C38" w:rsidRPr="00BF3C38" w:rsidRDefault="00350F08" w:rsidP="00EB7DBF">
      <w:pPr>
        <w:spacing w:after="0" w:line="240" w:lineRule="auto"/>
        <w:jc w:val="center"/>
        <w:rPr>
          <w:rFonts w:ascii="Times New Roman" w:hAnsi="Times New Roman" w:cs="Times New Roman"/>
          <w:b/>
          <w:caps/>
          <w:sz w:val="24"/>
          <w:szCs w:val="24"/>
        </w:rPr>
      </w:pPr>
      <w:r w:rsidRPr="00026061">
        <w:rPr>
          <w:rFonts w:ascii="Times New Roman" w:hAnsi="Times New Roman" w:cs="Times New Roman"/>
          <w:b/>
          <w:sz w:val="24"/>
          <w:szCs w:val="24"/>
        </w:rPr>
        <w:t xml:space="preserve">LIETUVOS RESPUBLIKOS CIVILINIO KODEKSO 4.173, 4.177 </w:t>
      </w:r>
      <w:r w:rsidRPr="00026061">
        <w:rPr>
          <w:rFonts w:ascii="Times New Roman" w:hAnsi="Times New Roman" w:cs="Times New Roman"/>
          <w:b/>
          <w:caps/>
          <w:sz w:val="24"/>
          <w:szCs w:val="24"/>
        </w:rPr>
        <w:t>straipsnių</w:t>
      </w:r>
      <w:r w:rsidRPr="00026061">
        <w:rPr>
          <w:rFonts w:ascii="Times New Roman" w:hAnsi="Times New Roman" w:cs="Times New Roman"/>
          <w:b/>
          <w:sz w:val="24"/>
          <w:szCs w:val="24"/>
        </w:rPr>
        <w:t xml:space="preserve">, </w:t>
      </w:r>
      <w:r w:rsidRPr="00026061">
        <w:rPr>
          <w:rFonts w:ascii="Times New Roman" w:hAnsi="Times New Roman" w:cs="Times New Roman"/>
          <w:b/>
          <w:caps/>
          <w:sz w:val="24"/>
          <w:szCs w:val="24"/>
        </w:rPr>
        <w:t xml:space="preserve">KETVIRTOSIOS knygos II dalies XI skyriaus antrojo SKIRSNIO, </w:t>
      </w:r>
      <w:r w:rsidRPr="00BA45C4">
        <w:rPr>
          <w:rFonts w:ascii="Times New Roman" w:hAnsi="Times New Roman" w:cs="Times New Roman"/>
          <w:b/>
          <w:caps/>
          <w:sz w:val="24"/>
          <w:szCs w:val="24"/>
        </w:rPr>
        <w:t>4.184,</w:t>
      </w:r>
      <w:r>
        <w:rPr>
          <w:rFonts w:ascii="Times New Roman" w:hAnsi="Times New Roman" w:cs="Times New Roman"/>
          <w:b/>
          <w:caps/>
          <w:sz w:val="24"/>
          <w:szCs w:val="24"/>
        </w:rPr>
        <w:t xml:space="preserve"> </w:t>
      </w:r>
      <w:r w:rsidRPr="00026061">
        <w:rPr>
          <w:rFonts w:ascii="Times New Roman" w:hAnsi="Times New Roman" w:cs="Times New Roman"/>
          <w:b/>
          <w:caps/>
          <w:sz w:val="24"/>
          <w:szCs w:val="24"/>
        </w:rPr>
        <w:t>4.189 straipsni</w:t>
      </w:r>
      <w:r>
        <w:rPr>
          <w:rFonts w:ascii="Times New Roman" w:hAnsi="Times New Roman" w:cs="Times New Roman"/>
          <w:b/>
          <w:caps/>
          <w:sz w:val="24"/>
          <w:szCs w:val="24"/>
        </w:rPr>
        <w:t>ų</w:t>
      </w:r>
      <w:r w:rsidRPr="00026061">
        <w:rPr>
          <w:rFonts w:ascii="Times New Roman" w:hAnsi="Times New Roman" w:cs="Times New Roman"/>
          <w:b/>
          <w:caps/>
          <w:sz w:val="24"/>
          <w:szCs w:val="24"/>
        </w:rPr>
        <w:t xml:space="preserve">, KETVIRTOSIOS knygos II dalies XI skyriaus ketvirtojo IR PENKTOJO skirsnių, </w:t>
      </w:r>
      <w:bookmarkStart w:id="0" w:name="_Hlk525245165"/>
      <w:r w:rsidRPr="00026061">
        <w:rPr>
          <w:rFonts w:ascii="Times New Roman" w:hAnsi="Times New Roman" w:cs="Times New Roman"/>
          <w:b/>
          <w:sz w:val="24"/>
          <w:szCs w:val="24"/>
        </w:rPr>
        <w:t xml:space="preserve">4.202, </w:t>
      </w:r>
      <w:bookmarkEnd w:id="0"/>
      <w:r w:rsidRPr="00026061">
        <w:rPr>
          <w:rFonts w:ascii="Times New Roman" w:hAnsi="Times New Roman" w:cs="Times New Roman"/>
          <w:b/>
          <w:sz w:val="24"/>
          <w:szCs w:val="24"/>
        </w:rPr>
        <w:t xml:space="preserve">4.207, 4.209, 4.210, 4.212, 4.213, 4.223, 4.224, 4.225, 6.104, 6.561 STRAIPSNIŲ PAKEITIMO </w:t>
      </w:r>
      <w:r w:rsidRPr="00026061">
        <w:rPr>
          <w:rFonts w:ascii="Times New Roman" w:eastAsia="Calibri" w:hAnsi="Times New Roman" w:cs="Times New Roman"/>
          <w:b/>
          <w:sz w:val="24"/>
          <w:szCs w:val="24"/>
        </w:rPr>
        <w:t>ĮSTATYMO</w:t>
      </w:r>
      <w:r>
        <w:rPr>
          <w:rFonts w:ascii="Times New Roman" w:eastAsia="Calibri" w:hAnsi="Times New Roman" w:cs="Times New Roman"/>
          <w:b/>
          <w:sz w:val="24"/>
          <w:szCs w:val="24"/>
        </w:rPr>
        <w:t xml:space="preserve"> IR JO LYDIMŲJŲ TEISĖS </w:t>
      </w:r>
      <w:r w:rsidRPr="00350F08">
        <w:rPr>
          <w:rFonts w:ascii="Times New Roman" w:eastAsia="Calibri" w:hAnsi="Times New Roman" w:cs="Times New Roman"/>
          <w:b/>
          <w:sz w:val="24"/>
          <w:szCs w:val="24"/>
        </w:rPr>
        <w:t>AKTŲ</w:t>
      </w:r>
      <w:r w:rsidR="004178F3" w:rsidRPr="00350F08">
        <w:rPr>
          <w:rFonts w:ascii="Times New Roman" w:hAnsi="Times New Roman" w:cs="Times New Roman"/>
          <w:b/>
          <w:caps/>
          <w:sz w:val="24"/>
          <w:szCs w:val="24"/>
        </w:rPr>
        <w:t xml:space="preserve"> PROJEKT</w:t>
      </w:r>
      <w:r w:rsidRPr="00350F08">
        <w:rPr>
          <w:rFonts w:ascii="Times New Roman" w:hAnsi="Times New Roman" w:cs="Times New Roman"/>
          <w:b/>
          <w:caps/>
          <w:sz w:val="24"/>
          <w:szCs w:val="24"/>
        </w:rPr>
        <w:t>Ų</w:t>
      </w:r>
      <w:r>
        <w:rPr>
          <w:rFonts w:ascii="Times New Roman" w:hAnsi="Times New Roman" w:cs="Times New Roman"/>
          <w:b/>
          <w:caps/>
          <w:sz w:val="24"/>
          <w:szCs w:val="24"/>
        </w:rPr>
        <w:t xml:space="preserve"> (TOLIAU – projektas)</w:t>
      </w:r>
    </w:p>
    <w:p w14:paraId="7B67FFA6" w14:textId="77777777" w:rsidR="00BF3C38" w:rsidRDefault="00BF3C38" w:rsidP="00AD7B14">
      <w:pPr>
        <w:spacing w:after="0" w:line="240" w:lineRule="auto"/>
        <w:jc w:val="center"/>
        <w:rPr>
          <w:rFonts w:ascii="Times New Roman" w:hAnsi="Times New Roman" w:cs="Times New Roman"/>
          <w:b/>
          <w:caps/>
          <w:sz w:val="24"/>
          <w:szCs w:val="24"/>
        </w:rPr>
      </w:pPr>
      <w:r w:rsidRPr="00BF3C38">
        <w:rPr>
          <w:rFonts w:ascii="Times New Roman" w:hAnsi="Times New Roman" w:cs="Times New Roman"/>
          <w:b/>
          <w:caps/>
          <w:sz w:val="24"/>
          <w:szCs w:val="24"/>
        </w:rPr>
        <w:t>derinimo pažyma</w:t>
      </w:r>
    </w:p>
    <w:p w14:paraId="5FC789CD" w14:textId="77777777" w:rsidR="00D91270" w:rsidRDefault="00D91270" w:rsidP="00AD7B14">
      <w:pPr>
        <w:spacing w:after="0" w:line="240" w:lineRule="auto"/>
        <w:jc w:val="center"/>
        <w:rPr>
          <w:rFonts w:ascii="Times New Roman" w:hAnsi="Times New Roman" w:cs="Times New Roman"/>
          <w:b/>
          <w:caps/>
          <w:sz w:val="24"/>
          <w:szCs w:val="24"/>
        </w:rPr>
      </w:pPr>
    </w:p>
    <w:p w14:paraId="04FE591D" w14:textId="77777777" w:rsidR="00D91270"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38"/>
        <w:gridCol w:w="74"/>
        <w:gridCol w:w="74"/>
        <w:gridCol w:w="4873"/>
        <w:gridCol w:w="8593"/>
      </w:tblGrid>
      <w:tr w:rsidR="003A0C45" w:rsidRPr="00EA593B" w14:paraId="3A2EF7DE" w14:textId="77777777" w:rsidTr="00ED3083">
        <w:trPr>
          <w:cantSplit/>
          <w:trHeight w:val="65"/>
        </w:trPr>
        <w:tc>
          <w:tcPr>
            <w:tcW w:w="1586" w:type="dxa"/>
            <w:gridSpan w:val="3"/>
            <w:shd w:val="clear" w:color="auto" w:fill="auto"/>
          </w:tcPr>
          <w:p w14:paraId="2CAD66A2" w14:textId="77777777" w:rsidR="00025AE8" w:rsidRPr="00025AE8" w:rsidRDefault="00025AE8" w:rsidP="00AD7B14">
            <w:pPr>
              <w:spacing w:after="0" w:line="240" w:lineRule="auto"/>
              <w:jc w:val="center"/>
              <w:rPr>
                <w:rFonts w:ascii="Times New Roman" w:eastAsia="Times New Roman" w:hAnsi="Times New Roman" w:cs="Times New Roman"/>
                <w:b/>
                <w:iCs/>
                <w:sz w:val="24"/>
                <w:szCs w:val="24"/>
                <w:lang w:eastAsia="lt-LT"/>
              </w:rPr>
            </w:pPr>
            <w:r w:rsidRPr="00025AE8">
              <w:rPr>
                <w:rFonts w:ascii="Times New Roman" w:eastAsia="Times New Roman" w:hAnsi="Times New Roman" w:cs="Times New Roman"/>
                <w:b/>
                <w:iCs/>
                <w:sz w:val="24"/>
                <w:szCs w:val="24"/>
                <w:lang w:eastAsia="lt-LT"/>
              </w:rPr>
              <w:t>Institucijos pavadinimas, rašto data ir numeris</w:t>
            </w:r>
          </w:p>
        </w:tc>
        <w:tc>
          <w:tcPr>
            <w:tcW w:w="4873" w:type="dxa"/>
            <w:shd w:val="clear" w:color="auto" w:fill="auto"/>
          </w:tcPr>
          <w:p w14:paraId="13471811" w14:textId="77777777" w:rsidR="00025AE8" w:rsidRPr="00025AE8"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025AE8">
              <w:rPr>
                <w:rFonts w:ascii="Times New Roman" w:hAnsi="Times New Roman"/>
                <w:b/>
                <w:sz w:val="24"/>
                <w:szCs w:val="24"/>
              </w:rPr>
              <w:t>Pastabos ir pasiūlymai</w:t>
            </w:r>
          </w:p>
        </w:tc>
        <w:tc>
          <w:tcPr>
            <w:tcW w:w="8593" w:type="dxa"/>
            <w:shd w:val="clear" w:color="auto" w:fill="auto"/>
          </w:tcPr>
          <w:p w14:paraId="2972F508" w14:textId="77777777" w:rsidR="00025AE8" w:rsidRPr="00726E00" w:rsidRDefault="00025AE8" w:rsidP="00AD7B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Žyma apie priimtas ir nepriimtas (nurodyti motyvus) pastabas ir pasiūlymus</w:t>
            </w:r>
          </w:p>
        </w:tc>
      </w:tr>
      <w:tr w:rsidR="00ED3083" w:rsidRPr="000479E4" w14:paraId="1499D89A" w14:textId="77777777" w:rsidTr="00075982">
        <w:trPr>
          <w:cantSplit/>
          <w:trHeight w:val="5984"/>
        </w:trPr>
        <w:tc>
          <w:tcPr>
            <w:tcW w:w="1586" w:type="dxa"/>
            <w:gridSpan w:val="3"/>
            <w:vMerge w:val="restart"/>
            <w:shd w:val="clear" w:color="auto" w:fill="auto"/>
          </w:tcPr>
          <w:p w14:paraId="36E7CFD3" w14:textId="77777777" w:rsidR="00ED3083" w:rsidRPr="00EB7DBF" w:rsidRDefault="00ED3083" w:rsidP="00DB3322">
            <w:pPr>
              <w:spacing w:after="0" w:line="240" w:lineRule="auto"/>
              <w:rPr>
                <w:rFonts w:ascii="Times New Roman" w:eastAsia="Times New Roman" w:hAnsi="Times New Roman" w:cs="Times New Roman"/>
                <w:sz w:val="24"/>
                <w:szCs w:val="24"/>
                <w:lang w:eastAsia="lt-LT"/>
              </w:rPr>
            </w:pPr>
            <w:r>
              <w:rPr>
                <w:rFonts w:ascii="Times New Roman" w:eastAsia="Calibri" w:hAnsi="Times New Roman"/>
                <w:sz w:val="24"/>
                <w:szCs w:val="24"/>
              </w:rPr>
              <w:t>Lietuvos notarų rūmų 2019-03-25 raštas Nr. S-175</w:t>
            </w:r>
          </w:p>
        </w:tc>
        <w:tc>
          <w:tcPr>
            <w:tcW w:w="4873" w:type="dxa"/>
            <w:shd w:val="clear" w:color="auto" w:fill="auto"/>
          </w:tcPr>
          <w:p w14:paraId="761C92C3" w14:textId="77777777" w:rsidR="00ED3083" w:rsidRDefault="00ED3083" w:rsidP="00EB7DBF">
            <w:pPr>
              <w:pStyle w:val="Pagrindiniotekstotrauka"/>
              <w:ind w:firstLine="0"/>
              <w:rPr>
                <w:szCs w:val="24"/>
              </w:rPr>
            </w:pPr>
            <w:r>
              <w:rPr>
                <w:szCs w:val="24"/>
              </w:rPr>
              <w:t>1.</w:t>
            </w:r>
          </w:p>
          <w:p w14:paraId="41373D20" w14:textId="77777777" w:rsidR="00ED3083" w:rsidRDefault="00ED3083" w:rsidP="00EB7DBF">
            <w:pPr>
              <w:pStyle w:val="Pagrindiniotekstotrauka"/>
              <w:ind w:firstLine="0"/>
              <w:rPr>
                <w:szCs w:val="24"/>
              </w:rPr>
            </w:pPr>
          </w:p>
          <w:p w14:paraId="7F30B8E2" w14:textId="77777777" w:rsidR="00ED3083" w:rsidRDefault="00ED3083" w:rsidP="00EB7DBF">
            <w:pPr>
              <w:pStyle w:val="Pagrindiniotekstotrauka"/>
              <w:ind w:firstLine="0"/>
              <w:rPr>
                <w:szCs w:val="24"/>
              </w:rPr>
            </w:pPr>
          </w:p>
          <w:p w14:paraId="0B31A227" w14:textId="77777777" w:rsidR="00ED3083" w:rsidRDefault="00ED3083" w:rsidP="00EB7DBF">
            <w:pPr>
              <w:pStyle w:val="Pagrindiniotekstotrauka"/>
              <w:ind w:firstLine="0"/>
              <w:rPr>
                <w:szCs w:val="24"/>
              </w:rPr>
            </w:pPr>
          </w:p>
          <w:p w14:paraId="6CBFCA26" w14:textId="77777777" w:rsidR="00ED3083" w:rsidRDefault="00ED3083" w:rsidP="007715B1">
            <w:pPr>
              <w:pStyle w:val="Pagrindiniotekstotrauka"/>
              <w:ind w:firstLine="201"/>
              <w:rPr>
                <w:szCs w:val="24"/>
              </w:rPr>
            </w:pPr>
          </w:p>
          <w:p w14:paraId="14BB06D3" w14:textId="77777777" w:rsidR="00ED3083" w:rsidRDefault="00ED3083" w:rsidP="007715B1">
            <w:pPr>
              <w:pStyle w:val="Pagrindiniotekstotrauka"/>
              <w:ind w:firstLine="201"/>
              <w:rPr>
                <w:szCs w:val="24"/>
              </w:rPr>
            </w:pPr>
          </w:p>
          <w:p w14:paraId="6601793C" w14:textId="77777777" w:rsidR="00ED3083" w:rsidRDefault="00ED3083" w:rsidP="007715B1">
            <w:pPr>
              <w:pStyle w:val="Pagrindiniotekstotrauka"/>
              <w:ind w:firstLine="201"/>
              <w:rPr>
                <w:szCs w:val="24"/>
              </w:rPr>
            </w:pPr>
          </w:p>
          <w:p w14:paraId="0A2662F3" w14:textId="77777777" w:rsidR="00ED3083" w:rsidRPr="00E6534D" w:rsidRDefault="00ED3083" w:rsidP="007715B1">
            <w:pPr>
              <w:pStyle w:val="Pagrindiniotekstotrauka"/>
              <w:ind w:firstLine="201"/>
              <w:rPr>
                <w:szCs w:val="24"/>
              </w:rPr>
            </w:pPr>
          </w:p>
        </w:tc>
        <w:tc>
          <w:tcPr>
            <w:tcW w:w="8593" w:type="dxa"/>
            <w:shd w:val="clear" w:color="auto" w:fill="auto"/>
          </w:tcPr>
          <w:p w14:paraId="7DAEC144" w14:textId="77777777" w:rsidR="00ED3083" w:rsidRDefault="00ED3083" w:rsidP="00C97336">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Atsižvelgiant į tai, kad didžioji dalis Lietuvos notarų rūmų pateiktų ir pridedamų pastabų yra pateiktos ankstesniam projektui (</w:t>
            </w:r>
            <w:r w:rsidRPr="00A37FAB">
              <w:rPr>
                <w:rFonts w:ascii="Times New Roman" w:hAnsi="Times New Roman"/>
                <w:sz w:val="24"/>
                <w:szCs w:val="24"/>
                <w:lang w:eastAsia="ar-SA"/>
              </w:rPr>
              <w:t>Lietuvos Respublikos Seimo kanceliarijos teisės aktų informacinėje sistemoje</w:t>
            </w:r>
            <w:r w:rsidRPr="00A37FAB">
              <w:rPr>
                <w:rFonts w:ascii="Times New Roman" w:eastAsia="Calibri" w:hAnsi="Times New Roman"/>
                <w:sz w:val="24"/>
                <w:szCs w:val="24"/>
              </w:rPr>
              <w:t xml:space="preserve"> </w:t>
            </w:r>
            <w:r>
              <w:rPr>
                <w:rFonts w:ascii="Times New Roman" w:eastAsia="Calibri" w:hAnsi="Times New Roman"/>
                <w:sz w:val="24"/>
                <w:szCs w:val="24"/>
              </w:rPr>
              <w:t xml:space="preserve">Nr. </w:t>
            </w:r>
            <w:r w:rsidRPr="00A37FAB">
              <w:rPr>
                <w:rFonts w:ascii="Times New Roman" w:eastAsia="Calibri" w:hAnsi="Times New Roman"/>
                <w:sz w:val="24"/>
                <w:szCs w:val="24"/>
              </w:rPr>
              <w:t>18-12967</w:t>
            </w:r>
            <w:r>
              <w:rPr>
                <w:rFonts w:ascii="Times New Roman" w:eastAsia="Calibri" w:hAnsi="Times New Roman"/>
                <w:sz w:val="24"/>
                <w:szCs w:val="24"/>
              </w:rPr>
              <w:t>) (toliau – ankstesnis projektas), Teisingumo ministerija pasisakys tik tiek, kiek pastabos susijusios su šiuo metu teikiamu Projektu.</w:t>
            </w:r>
          </w:p>
          <w:p w14:paraId="3439485D" w14:textId="77777777" w:rsidR="00ED3083" w:rsidRPr="00A37FAB" w:rsidRDefault="00ED3083" w:rsidP="003C4CC0">
            <w:pPr>
              <w:pStyle w:val="Komentarotekstas"/>
              <w:tabs>
                <w:tab w:val="left" w:pos="1276"/>
              </w:tabs>
              <w:ind w:firstLine="317"/>
              <w:jc w:val="both"/>
              <w:rPr>
                <w:rFonts w:ascii="Times New Roman" w:eastAsia="Calibri" w:hAnsi="Times New Roman"/>
                <w:sz w:val="24"/>
                <w:szCs w:val="24"/>
              </w:rPr>
            </w:pPr>
            <w:r w:rsidRPr="00A37FAB">
              <w:rPr>
                <w:rFonts w:ascii="Times New Roman" w:eastAsia="Calibri" w:hAnsi="Times New Roman"/>
                <w:sz w:val="24"/>
                <w:szCs w:val="24"/>
              </w:rPr>
              <w:t>Nesutiktina su teiginiu</w:t>
            </w:r>
            <w:r>
              <w:rPr>
                <w:rFonts w:ascii="Times New Roman" w:eastAsia="Calibri" w:hAnsi="Times New Roman"/>
                <w:sz w:val="24"/>
                <w:szCs w:val="24"/>
              </w:rPr>
              <w:t xml:space="preserve">, kad teikiamas Projektas liko iš esmės nepakitęs, lyginant su ankstesniu </w:t>
            </w:r>
            <w:r w:rsidRPr="00A37FAB">
              <w:rPr>
                <w:rFonts w:ascii="Times New Roman" w:eastAsia="Calibri" w:hAnsi="Times New Roman"/>
                <w:sz w:val="24"/>
                <w:szCs w:val="24"/>
              </w:rPr>
              <w:t>projekt</w:t>
            </w:r>
            <w:r>
              <w:rPr>
                <w:rFonts w:ascii="Times New Roman" w:eastAsia="Calibri" w:hAnsi="Times New Roman"/>
                <w:sz w:val="24"/>
                <w:szCs w:val="24"/>
              </w:rPr>
              <w:t xml:space="preserve">u. Teikiamas Projektas, priešingai nei ankstesnis, iš esmės susijęs tik su kilnojamųjų daiktų įkeitimo sandorių registravimu (išskyrus paties Hipotekos registro reformą ir išplečiamas hipotekos </w:t>
            </w:r>
            <w:r w:rsidRPr="00E432B2">
              <w:rPr>
                <w:rFonts w:ascii="Times New Roman" w:eastAsia="Calibri" w:hAnsi="Times New Roman"/>
                <w:sz w:val="24"/>
                <w:szCs w:val="24"/>
              </w:rPr>
              <w:t>išregistravimo galimybes). Atsižvelgiant į hipoteka ir kilnojamojo daikto įkeitimu įkeičiamo turto specifiką, vertę, socialinę reikšmę, sandorių sudarymo pasekmes ir pan., yra akivaizdus skirtumas tiek tarp šių sandorių rūšių (hipotekos ir įkeitimo), tiek tarp ankstesniojo ir teikiamo projektų.</w:t>
            </w:r>
          </w:p>
        </w:tc>
      </w:tr>
      <w:tr w:rsidR="00FD72C2" w:rsidRPr="000479E4" w14:paraId="59FDA2E7" w14:textId="77777777" w:rsidTr="00ED3083">
        <w:trPr>
          <w:cantSplit/>
          <w:trHeight w:val="27173"/>
        </w:trPr>
        <w:tc>
          <w:tcPr>
            <w:tcW w:w="1586" w:type="dxa"/>
            <w:gridSpan w:val="3"/>
            <w:vMerge/>
            <w:shd w:val="clear" w:color="auto" w:fill="auto"/>
          </w:tcPr>
          <w:p w14:paraId="6D33D255" w14:textId="77777777" w:rsidR="00FD72C2"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bottom w:val="single" w:sz="4" w:space="0" w:color="auto"/>
            </w:tcBorders>
            <w:shd w:val="clear" w:color="auto" w:fill="auto"/>
          </w:tcPr>
          <w:p w14:paraId="7818ED4E" w14:textId="77777777" w:rsidR="00FD72C2" w:rsidRDefault="00350F08" w:rsidP="003C4CC0">
            <w:pPr>
              <w:pStyle w:val="Pagrindiniotekstotrauka"/>
              <w:ind w:firstLine="0"/>
              <w:rPr>
                <w:szCs w:val="24"/>
              </w:rPr>
            </w:pPr>
            <w:r>
              <w:rPr>
                <w:szCs w:val="24"/>
              </w:rPr>
              <w:t>2. Pasikartojančios pastabos dėl notaro vaidmens reikšmės įkeitimo sandorių sudarymo ir įkeitimo (hipotekos) išregistravimo procesuose.</w:t>
            </w:r>
          </w:p>
        </w:tc>
        <w:tc>
          <w:tcPr>
            <w:tcW w:w="8593" w:type="dxa"/>
            <w:tcBorders>
              <w:top w:val="single" w:sz="4" w:space="0" w:color="auto"/>
              <w:bottom w:val="single" w:sz="4" w:space="0" w:color="auto"/>
            </w:tcBorders>
            <w:shd w:val="clear" w:color="auto" w:fill="auto"/>
          </w:tcPr>
          <w:p w14:paraId="6F54AEDC" w14:textId="77777777" w:rsidR="00FD72C2" w:rsidRDefault="00FD72C2" w:rsidP="007715B1">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1EC532EC" w14:textId="77777777" w:rsidR="00FD72C2" w:rsidRDefault="00FD72C2" w:rsidP="007715B1">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 xml:space="preserve">Kaip </w:t>
            </w:r>
            <w:r w:rsidR="001F1C77">
              <w:rPr>
                <w:rFonts w:ascii="Times New Roman" w:eastAsia="Calibri" w:hAnsi="Times New Roman"/>
                <w:sz w:val="24"/>
                <w:szCs w:val="24"/>
              </w:rPr>
              <w:t>savo išvadoje teisingai nurodo d</w:t>
            </w:r>
            <w:r>
              <w:rPr>
                <w:rFonts w:ascii="Times New Roman" w:eastAsia="Calibri" w:hAnsi="Times New Roman"/>
                <w:sz w:val="24"/>
                <w:szCs w:val="24"/>
              </w:rPr>
              <w:t>r. Laurynas Didžiulis</w:t>
            </w:r>
            <w:r w:rsidR="001F1C77">
              <w:rPr>
                <w:rFonts w:ascii="Times New Roman" w:eastAsia="Calibri" w:hAnsi="Times New Roman"/>
                <w:sz w:val="24"/>
                <w:szCs w:val="24"/>
              </w:rPr>
              <w:t>,</w:t>
            </w:r>
            <w:r>
              <w:rPr>
                <w:rFonts w:ascii="Times New Roman" w:eastAsia="Calibri" w:hAnsi="Times New Roman"/>
                <w:sz w:val="24"/>
                <w:szCs w:val="24"/>
              </w:rPr>
              <w:t xml:space="preserve"> „</w:t>
            </w:r>
            <w:r w:rsidRPr="00A330BC">
              <w:rPr>
                <w:rFonts w:ascii="Times New Roman" w:eastAsia="Calibri" w:hAnsi="Times New Roman"/>
                <w:i/>
                <w:sz w:val="24"/>
                <w:szCs w:val="24"/>
              </w:rPr>
              <w:t>Notarinė hipotekos kontrolė turi prasmę tik jei ji yra de facto funkcionali ir veiksminga</w:t>
            </w:r>
            <w:r>
              <w:rPr>
                <w:rFonts w:ascii="Times New Roman" w:eastAsia="Calibri" w:hAnsi="Times New Roman"/>
                <w:sz w:val="24"/>
                <w:szCs w:val="24"/>
              </w:rPr>
              <w:t xml:space="preserve">“ (28 p.). Teisingumo ministerijos parengtu ir teikiamu </w:t>
            </w:r>
            <w:r w:rsidR="003207F0">
              <w:rPr>
                <w:rFonts w:ascii="Times New Roman" w:eastAsia="Calibri" w:hAnsi="Times New Roman"/>
                <w:sz w:val="24"/>
                <w:szCs w:val="24"/>
              </w:rPr>
              <w:t>P</w:t>
            </w:r>
            <w:r>
              <w:rPr>
                <w:rFonts w:ascii="Times New Roman" w:eastAsia="Calibri" w:hAnsi="Times New Roman"/>
                <w:sz w:val="24"/>
                <w:szCs w:val="24"/>
              </w:rPr>
              <w:t>rojektu būtent ir siekiama apibrėžti ribas, kuriose civilinių santykių subjektams</w:t>
            </w:r>
            <w:r w:rsidRPr="00A330BC">
              <w:rPr>
                <w:rFonts w:ascii="Times New Roman" w:eastAsia="Calibri" w:hAnsi="Times New Roman"/>
                <w:sz w:val="24"/>
                <w:szCs w:val="24"/>
              </w:rPr>
              <w:t xml:space="preserve"> </w:t>
            </w:r>
            <w:r>
              <w:rPr>
                <w:rFonts w:ascii="Times New Roman" w:eastAsia="Calibri" w:hAnsi="Times New Roman"/>
                <w:sz w:val="24"/>
                <w:szCs w:val="24"/>
              </w:rPr>
              <w:t>sudaroma galimybė laisva valia nuspęsti, kada tokia notarinė kontrolė jų civiliniams santykiams nėra reikalinga, ir kada ji yra veiksminga.</w:t>
            </w:r>
          </w:p>
          <w:p w14:paraId="0E3F4B19" w14:textId="77777777" w:rsidR="00FD72C2"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Dr. Laurynas Didžiulis taip pat nurodo (10 p.)</w:t>
            </w:r>
            <w:r w:rsidR="003207F0">
              <w:rPr>
                <w:rFonts w:ascii="Times New Roman" w:eastAsia="Calibri" w:hAnsi="Times New Roman"/>
                <w:sz w:val="24"/>
                <w:szCs w:val="24"/>
              </w:rPr>
              <w:t>:</w:t>
            </w:r>
            <w:r>
              <w:rPr>
                <w:rFonts w:ascii="Times New Roman" w:eastAsia="Calibri" w:hAnsi="Times New Roman"/>
                <w:sz w:val="24"/>
                <w:szCs w:val="24"/>
              </w:rPr>
              <w:t xml:space="preserve"> „</w:t>
            </w:r>
            <w:r w:rsidRPr="007B3D87">
              <w:rPr>
                <w:rFonts w:ascii="Times New Roman" w:eastAsia="Calibri" w:hAnsi="Times New Roman"/>
                <w:sz w:val="24"/>
                <w:szCs w:val="24"/>
              </w:rPr>
              <w:t>Kokios naudos iš notariato tikisi valstybė, yra</w:t>
            </w:r>
            <w:r>
              <w:rPr>
                <w:rFonts w:ascii="Times New Roman" w:eastAsia="Calibri" w:hAnsi="Times New Roman"/>
                <w:sz w:val="24"/>
                <w:szCs w:val="24"/>
              </w:rPr>
              <w:t xml:space="preserve"> </w:t>
            </w:r>
            <w:r w:rsidRPr="007B3D87">
              <w:rPr>
                <w:rFonts w:ascii="Times New Roman" w:eastAsia="Calibri" w:hAnsi="Times New Roman"/>
                <w:sz w:val="24"/>
                <w:szCs w:val="24"/>
              </w:rPr>
              <w:t>aiškiai išreikšta ir deklaruojama LR Notariato įstatymo 2 straipsnyje, pagal kurį notaras</w:t>
            </w:r>
            <w:r>
              <w:rPr>
                <w:rFonts w:ascii="Times New Roman" w:eastAsia="Calibri" w:hAnsi="Times New Roman"/>
                <w:sz w:val="24"/>
                <w:szCs w:val="24"/>
              </w:rPr>
              <w:t xml:space="preserve"> </w:t>
            </w:r>
            <w:r w:rsidRPr="007B3D87">
              <w:rPr>
                <w:rFonts w:ascii="Times New Roman" w:eastAsia="Calibri" w:hAnsi="Times New Roman"/>
                <w:sz w:val="24"/>
                <w:szCs w:val="24"/>
              </w:rPr>
              <w:t>yra valstybės įgaliotas asmuo, atliekantis įstatymo nustatytas funkcijas, užtikrinančias,</w:t>
            </w:r>
            <w:r>
              <w:rPr>
                <w:rFonts w:ascii="Times New Roman" w:eastAsia="Calibri" w:hAnsi="Times New Roman"/>
                <w:sz w:val="24"/>
                <w:szCs w:val="24"/>
              </w:rPr>
              <w:t xml:space="preserve"> </w:t>
            </w:r>
            <w:r w:rsidRPr="007B3D87">
              <w:rPr>
                <w:rFonts w:ascii="Times New Roman" w:eastAsia="Calibri" w:hAnsi="Times New Roman"/>
                <w:sz w:val="24"/>
                <w:szCs w:val="24"/>
              </w:rPr>
              <w:t>kad civiliniuose teisiniuose santykiuose nebūtų neteisėtų sandorių ir dokumentų. Ar</w:t>
            </w:r>
            <w:r>
              <w:rPr>
                <w:rFonts w:ascii="Times New Roman" w:eastAsia="Calibri" w:hAnsi="Times New Roman"/>
                <w:sz w:val="24"/>
                <w:szCs w:val="24"/>
              </w:rPr>
              <w:t xml:space="preserve"> </w:t>
            </w:r>
            <w:r w:rsidRPr="007B3D87">
              <w:rPr>
                <w:rFonts w:ascii="Times New Roman" w:eastAsia="Calibri" w:hAnsi="Times New Roman"/>
                <w:sz w:val="24"/>
                <w:szCs w:val="24"/>
              </w:rPr>
              <w:t>konkrečiam sandoriui reikalinga tokia kaštus, bet kartu ir saugumą turinti kurti kontrolė</w:t>
            </w:r>
            <w:r>
              <w:rPr>
                <w:rFonts w:ascii="Times New Roman" w:eastAsia="Calibri" w:hAnsi="Times New Roman"/>
                <w:sz w:val="24"/>
                <w:szCs w:val="24"/>
              </w:rPr>
              <w:t xml:space="preserve">, </w:t>
            </w:r>
            <w:r w:rsidRPr="007B3D87">
              <w:rPr>
                <w:rFonts w:ascii="Times New Roman" w:eastAsia="Calibri" w:hAnsi="Times New Roman"/>
                <w:sz w:val="24"/>
                <w:szCs w:val="24"/>
              </w:rPr>
              <w:t>sprendžia įstatymo leidėjas, tačiau bet kokiu atveju jam aktualu įvertinti du aspektus:</w:t>
            </w:r>
            <w:r>
              <w:rPr>
                <w:rFonts w:ascii="Times New Roman" w:eastAsia="Calibri" w:hAnsi="Times New Roman"/>
                <w:sz w:val="24"/>
                <w:szCs w:val="24"/>
              </w:rPr>
              <w:t xml:space="preserve"> </w:t>
            </w:r>
            <w:r w:rsidRPr="007B3D87">
              <w:rPr>
                <w:rFonts w:ascii="Times New Roman" w:eastAsia="Calibri" w:hAnsi="Times New Roman"/>
                <w:sz w:val="24"/>
                <w:szCs w:val="24"/>
              </w:rPr>
              <w:t>pirma</w:t>
            </w:r>
            <w:r w:rsidRPr="007B3D87">
              <w:rPr>
                <w:rFonts w:ascii="Times New Roman" w:eastAsia="Calibri" w:hAnsi="Times New Roman"/>
                <w:i/>
                <w:sz w:val="24"/>
                <w:szCs w:val="24"/>
              </w:rPr>
              <w:t>, ar notarinio tvirtinimo tikrai reikia tam tikrai sandorių rūšiai</w:t>
            </w:r>
            <w:r w:rsidRPr="007B3D87">
              <w:rPr>
                <w:rFonts w:ascii="Times New Roman" w:eastAsia="Calibri" w:hAnsi="Times New Roman"/>
                <w:sz w:val="24"/>
                <w:szCs w:val="24"/>
              </w:rPr>
              <w:t xml:space="preserve">, antra, </w:t>
            </w:r>
            <w:r w:rsidRPr="007B3D87">
              <w:rPr>
                <w:rFonts w:ascii="Times New Roman" w:eastAsia="Calibri" w:hAnsi="Times New Roman"/>
                <w:i/>
                <w:sz w:val="24"/>
                <w:szCs w:val="24"/>
              </w:rPr>
              <w:t>ar notarinė kontrolė tai sandorių rūšiai veikia efektyviai</w:t>
            </w:r>
            <w:r w:rsidRPr="007B3D87">
              <w:rPr>
                <w:rFonts w:ascii="Times New Roman" w:eastAsia="Calibri" w:hAnsi="Times New Roman"/>
                <w:sz w:val="24"/>
                <w:szCs w:val="24"/>
              </w:rPr>
              <w:t>.</w:t>
            </w:r>
            <w:r>
              <w:rPr>
                <w:rFonts w:ascii="Times New Roman" w:eastAsia="Calibri" w:hAnsi="Times New Roman"/>
                <w:sz w:val="24"/>
                <w:szCs w:val="24"/>
              </w:rPr>
              <w:t>“</w:t>
            </w:r>
          </w:p>
          <w:p w14:paraId="2D30BCE0" w14:textId="77777777" w:rsidR="00FD72C2"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 xml:space="preserve">Teisingumo ministerija parengė </w:t>
            </w:r>
            <w:r w:rsidR="003207F0">
              <w:rPr>
                <w:rFonts w:ascii="Times New Roman" w:eastAsia="Calibri" w:hAnsi="Times New Roman"/>
                <w:sz w:val="24"/>
                <w:szCs w:val="24"/>
              </w:rPr>
              <w:t>P</w:t>
            </w:r>
            <w:r>
              <w:rPr>
                <w:rFonts w:ascii="Times New Roman" w:eastAsia="Calibri" w:hAnsi="Times New Roman"/>
                <w:sz w:val="24"/>
                <w:szCs w:val="24"/>
              </w:rPr>
              <w:t>rojektą įvertinusi minėtus aspektus, atsižvelgdama į tai, kad įkeitimo sandorio objektas yra kilnojamieji daiktai, kurie dažniausiai nėra registruojami valstybės registruose (išskyrus tokius daiktus, kaip pvz.</w:t>
            </w:r>
            <w:r w:rsidR="005B787D">
              <w:rPr>
                <w:rFonts w:ascii="Times New Roman" w:eastAsia="Calibri" w:hAnsi="Times New Roman"/>
                <w:sz w:val="24"/>
                <w:szCs w:val="24"/>
              </w:rPr>
              <w:t>:</w:t>
            </w:r>
            <w:r>
              <w:rPr>
                <w:rFonts w:ascii="Times New Roman" w:eastAsia="Calibri" w:hAnsi="Times New Roman"/>
                <w:sz w:val="24"/>
                <w:szCs w:val="24"/>
              </w:rPr>
              <w:t xml:space="preserve"> automobiliai, šaunamieji ginklai</w:t>
            </w:r>
            <w:r w:rsidR="003207F0">
              <w:rPr>
                <w:rFonts w:ascii="Times New Roman" w:eastAsia="Calibri" w:hAnsi="Times New Roman"/>
                <w:sz w:val="24"/>
                <w:szCs w:val="24"/>
              </w:rPr>
              <w:t xml:space="preserve"> ir kt.</w:t>
            </w:r>
            <w:r>
              <w:rPr>
                <w:rFonts w:ascii="Times New Roman" w:eastAsia="Calibri" w:hAnsi="Times New Roman"/>
                <w:sz w:val="24"/>
                <w:szCs w:val="24"/>
              </w:rPr>
              <w:t xml:space="preserve">), ir analizuodama notarų atliekamas funkcijas tvirtinant įkeitimo sandorius ir išregistruojant įkeitimą (hipoteką). </w:t>
            </w:r>
          </w:p>
          <w:p w14:paraId="41CA9918" w14:textId="77777777" w:rsidR="00FD72C2"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Kaip nurodo Mykolo Romerio universiteto mokslininkų grupė savo išvadoje, „</w:t>
            </w:r>
            <w:r w:rsidRPr="008A4479">
              <w:rPr>
                <w:rFonts w:ascii="Times New Roman" w:eastAsia="Calibri" w:hAnsi="Times New Roman"/>
                <w:i/>
                <w:sz w:val="24"/>
                <w:szCs w:val="24"/>
              </w:rPr>
              <w:t>notaras, kaip ir prieš tvirtindamas bet kurį sandorį, be kita ko, atlieka šiuos veiksmus: 1</w:t>
            </w:r>
            <w:r w:rsidRPr="00976E98">
              <w:rPr>
                <w:rFonts w:ascii="Times New Roman" w:eastAsia="Calibri" w:hAnsi="Times New Roman"/>
                <w:i/>
                <w:sz w:val="24"/>
                <w:szCs w:val="24"/>
              </w:rPr>
              <w:t>) išaiškina atliekamų notarinių veiksmų prasmę ir pasekmes asmenims, kurie nori juos atlikti (30 str. 1 d.); 2) atlikdamas notarinius veiksmus nustato fizinių asmenų, jų atstovų arba juridinių asmenų atstovų asmens tapatybę (31 str. 1 d.); 3) tvirtinant sandorius, įsitikina fizinių asmenų veiksnumu ir patikrina juridinių asmenų, dalyvaujančių sandoriuose, teisnumą; jeigu sandorį sudaro atstovas, patikrina jo įgaliojimus (30 str. 2 d.); 4) išsiaiškinęs, kad asmenys suvokia savo veiksmų reikšmę, sudaromo sandorio pobūdį bei pasekmes ir išreiškia savo tikrąją valią sudaryti sandorį, parengia dokumento projektą ir, prieš tvirtindamas, pasiūlo šalims su juo susipažinti ir jį pasirašyti; 5) tvirtinant sandorius ir atliekant kai kuriuos kitus notarinius veiksmus, Lietuvos Respublikos</w:t>
            </w:r>
            <w:r w:rsidRPr="008A4479">
              <w:rPr>
                <w:rFonts w:ascii="Times New Roman" w:eastAsia="Calibri" w:hAnsi="Times New Roman"/>
                <w:i/>
                <w:sz w:val="24"/>
                <w:szCs w:val="24"/>
              </w:rPr>
              <w:t xml:space="preserve"> įstatymų nustatytais atvejais – patikrina sandorių dalyvių ir kitų asmenų, kurie prašo atlikti notarinius veiksmus, parašų tikrumą (31 str. 3 d.).</w:t>
            </w:r>
            <w:r>
              <w:rPr>
                <w:rFonts w:ascii="Times New Roman" w:eastAsia="Calibri" w:hAnsi="Times New Roman"/>
                <w:i/>
                <w:sz w:val="24"/>
                <w:szCs w:val="24"/>
              </w:rPr>
              <w:t xml:space="preserve"> </w:t>
            </w:r>
            <w:r w:rsidRPr="008A4479">
              <w:rPr>
                <w:rFonts w:ascii="Times New Roman" w:eastAsia="Calibri" w:hAnsi="Times New Roman"/>
                <w:i/>
                <w:sz w:val="24"/>
                <w:szCs w:val="24"/>
              </w:rPr>
              <w:t xml:space="preserve">Lietuvos Respublikos notariato įstatymo 46 str. 1 d. papildomai nustato, jog nekilnojamųjų ar kilnojamųjų daiktų, kuriems įstatymų nustatyta privaloma teisinė registracija, perleidimo kito asmens nuosavybėn, nuomos ar perdavimo naudotis kitu būdu, įkeitimo arba kitų daiktinių teisių ar jų suvaržymo sandorius notaras tvirtina tik nustatęs, kad </w:t>
            </w:r>
            <w:r w:rsidRPr="00FF3590">
              <w:rPr>
                <w:rFonts w:ascii="Times New Roman" w:eastAsia="Calibri" w:hAnsi="Times New Roman"/>
                <w:i/>
                <w:sz w:val="24"/>
                <w:szCs w:val="24"/>
              </w:rPr>
              <w:lastRenderedPageBreak/>
              <w:t>daiktas nuosavybės teise priklauso teisių perleidėjui. Tvirtindamas, hipotekos (įkeitimo) sandorius, notaras nurodo sandorio sudarymo laiką (valandą ir minutes). Patvirtinęs hipotekos (įkeitimo) sandorį, hipotekos (įkeitimo) pabaigą, nustatęs priverstinę hipotek</w:t>
            </w:r>
            <w:r w:rsidR="00F71304">
              <w:rPr>
                <w:rFonts w:ascii="Times New Roman" w:eastAsia="Calibri" w:hAnsi="Times New Roman"/>
                <w:i/>
                <w:sz w:val="24"/>
                <w:szCs w:val="24"/>
              </w:rPr>
              <w:t>ą</w:t>
            </w:r>
            <w:r w:rsidRPr="00FF3590">
              <w:rPr>
                <w:rFonts w:ascii="Times New Roman" w:eastAsia="Calibri" w:hAnsi="Times New Roman"/>
                <w:i/>
                <w:sz w:val="24"/>
                <w:szCs w:val="24"/>
              </w:rPr>
              <w:t xml:space="preserve"> (įkeitimą), notaras duomenis apie hipoteką (įkeitimą</w:t>
            </w:r>
            <w:r w:rsidRPr="008A4479">
              <w:rPr>
                <w:rFonts w:ascii="Times New Roman" w:eastAsia="Calibri" w:hAnsi="Times New Roman"/>
                <w:i/>
                <w:sz w:val="24"/>
                <w:szCs w:val="24"/>
              </w:rPr>
              <w:t>) perduoda Hipotekos registrui įregistruoti.</w:t>
            </w:r>
            <w:r>
              <w:rPr>
                <w:rFonts w:ascii="Times New Roman" w:eastAsia="Calibri" w:hAnsi="Times New Roman"/>
                <w:sz w:val="24"/>
                <w:szCs w:val="24"/>
              </w:rPr>
              <w:t>“</w:t>
            </w:r>
          </w:p>
          <w:p w14:paraId="145FFEA5" w14:textId="56E2AE67" w:rsidR="00FD72C2"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Kaip matyti, įkeitimo sandorio tvirtinimo procese didžiąją dalį funkcijų gali pakeisti informacin</w:t>
            </w:r>
            <w:r w:rsidR="005B787D">
              <w:rPr>
                <w:rFonts w:ascii="Times New Roman" w:eastAsia="Calibri" w:hAnsi="Times New Roman"/>
                <w:sz w:val="24"/>
                <w:szCs w:val="24"/>
              </w:rPr>
              <w:t>ių technologijų</w:t>
            </w:r>
            <w:r>
              <w:rPr>
                <w:rFonts w:ascii="Times New Roman" w:eastAsia="Calibri" w:hAnsi="Times New Roman"/>
                <w:sz w:val="24"/>
                <w:szCs w:val="24"/>
              </w:rPr>
              <w:t xml:space="preserve"> priemonės (pvz.</w:t>
            </w:r>
            <w:r w:rsidR="005B787D">
              <w:rPr>
                <w:rFonts w:ascii="Times New Roman" w:eastAsia="Calibri" w:hAnsi="Times New Roman"/>
                <w:sz w:val="24"/>
                <w:szCs w:val="24"/>
              </w:rPr>
              <w:t>:</w:t>
            </w:r>
            <w:r>
              <w:rPr>
                <w:rFonts w:ascii="Times New Roman" w:eastAsia="Calibri" w:hAnsi="Times New Roman"/>
                <w:sz w:val="24"/>
                <w:szCs w:val="24"/>
              </w:rPr>
              <w:t xml:space="preserve"> tapatybės identifikavimas, teisnumo</w:t>
            </w:r>
            <w:r w:rsidR="005B787D">
              <w:rPr>
                <w:rFonts w:ascii="Times New Roman" w:eastAsia="Calibri" w:hAnsi="Times New Roman"/>
                <w:sz w:val="24"/>
                <w:szCs w:val="24"/>
              </w:rPr>
              <w:t xml:space="preserve"> ir veiksnumo</w:t>
            </w:r>
            <w:r>
              <w:rPr>
                <w:rFonts w:ascii="Times New Roman" w:eastAsia="Calibri" w:hAnsi="Times New Roman"/>
                <w:sz w:val="24"/>
                <w:szCs w:val="24"/>
              </w:rPr>
              <w:t xml:space="preserve"> patikrinimas per susijusius registrus, sandorio </w:t>
            </w:r>
            <w:r w:rsidR="003916E6">
              <w:rPr>
                <w:rFonts w:ascii="Times New Roman" w:eastAsia="Calibri" w:hAnsi="Times New Roman"/>
                <w:sz w:val="24"/>
                <w:szCs w:val="24"/>
              </w:rPr>
              <w:t xml:space="preserve">sudarymo </w:t>
            </w:r>
            <w:r>
              <w:rPr>
                <w:rFonts w:ascii="Times New Roman" w:eastAsia="Calibri" w:hAnsi="Times New Roman"/>
                <w:sz w:val="24"/>
                <w:szCs w:val="24"/>
              </w:rPr>
              <w:t xml:space="preserve">laiko nustatymas, duomenų įregistravimas ir pan.). </w:t>
            </w:r>
            <w:r w:rsidR="005B787D">
              <w:rPr>
                <w:rFonts w:ascii="Times New Roman" w:eastAsia="Calibri" w:hAnsi="Times New Roman"/>
                <w:sz w:val="24"/>
                <w:szCs w:val="24"/>
              </w:rPr>
              <w:t>I</w:t>
            </w:r>
            <w:r>
              <w:rPr>
                <w:rFonts w:ascii="Times New Roman" w:eastAsia="Calibri" w:hAnsi="Times New Roman"/>
                <w:sz w:val="24"/>
                <w:szCs w:val="24"/>
              </w:rPr>
              <w:t>šnagrinėjus notaro atliekamas funkcijas šioje srityje, matyti, kad lieka tik vertinamojo ir subjektyvaus pobūdžio funkcijos, kaip</w:t>
            </w:r>
            <w:r w:rsidR="003916E6">
              <w:rPr>
                <w:rFonts w:ascii="Times New Roman" w:eastAsia="Calibri" w:hAnsi="Times New Roman"/>
                <w:sz w:val="24"/>
                <w:szCs w:val="24"/>
              </w:rPr>
              <w:t xml:space="preserve"> antai</w:t>
            </w:r>
            <w:r>
              <w:rPr>
                <w:rFonts w:ascii="Times New Roman" w:eastAsia="Calibri" w:hAnsi="Times New Roman"/>
                <w:sz w:val="24"/>
                <w:szCs w:val="24"/>
              </w:rPr>
              <w:t xml:space="preserve"> </w:t>
            </w:r>
            <w:r w:rsidRPr="008A4479">
              <w:rPr>
                <w:rFonts w:ascii="Times New Roman" w:eastAsia="Calibri" w:hAnsi="Times New Roman"/>
                <w:i/>
                <w:sz w:val="24"/>
                <w:szCs w:val="24"/>
              </w:rPr>
              <w:t>atliekamų notarinių veiksmų prasm</w:t>
            </w:r>
            <w:r>
              <w:rPr>
                <w:rFonts w:ascii="Times New Roman" w:eastAsia="Calibri" w:hAnsi="Times New Roman"/>
                <w:i/>
                <w:sz w:val="24"/>
                <w:szCs w:val="24"/>
              </w:rPr>
              <w:t>ės ir pasekmių</w:t>
            </w:r>
            <w:r w:rsidRPr="008A4479">
              <w:rPr>
                <w:rFonts w:ascii="Times New Roman" w:eastAsia="Calibri" w:hAnsi="Times New Roman"/>
                <w:i/>
                <w:sz w:val="24"/>
                <w:szCs w:val="24"/>
              </w:rPr>
              <w:t xml:space="preserve"> asmenims</w:t>
            </w:r>
            <w:r>
              <w:rPr>
                <w:rFonts w:ascii="Times New Roman" w:eastAsia="Calibri" w:hAnsi="Times New Roman"/>
                <w:sz w:val="24"/>
                <w:szCs w:val="24"/>
              </w:rPr>
              <w:t xml:space="preserve"> </w:t>
            </w:r>
            <w:r w:rsidRPr="008A4479">
              <w:rPr>
                <w:rFonts w:ascii="Times New Roman" w:eastAsia="Calibri" w:hAnsi="Times New Roman"/>
                <w:i/>
                <w:sz w:val="24"/>
                <w:szCs w:val="24"/>
              </w:rPr>
              <w:t>išaiškin</w:t>
            </w:r>
            <w:r>
              <w:rPr>
                <w:rFonts w:ascii="Times New Roman" w:eastAsia="Calibri" w:hAnsi="Times New Roman"/>
                <w:i/>
                <w:sz w:val="24"/>
                <w:szCs w:val="24"/>
              </w:rPr>
              <w:t>im</w:t>
            </w:r>
            <w:r w:rsidRPr="008A4479">
              <w:rPr>
                <w:rFonts w:ascii="Times New Roman" w:eastAsia="Calibri" w:hAnsi="Times New Roman"/>
                <w:i/>
                <w:sz w:val="24"/>
                <w:szCs w:val="24"/>
              </w:rPr>
              <w:t>a</w:t>
            </w:r>
            <w:r>
              <w:rPr>
                <w:rFonts w:ascii="Times New Roman" w:eastAsia="Calibri" w:hAnsi="Times New Roman"/>
                <w:i/>
                <w:sz w:val="24"/>
                <w:szCs w:val="24"/>
              </w:rPr>
              <w:t>s, įsitikinimas</w:t>
            </w:r>
            <w:r w:rsidRPr="008A4479">
              <w:rPr>
                <w:rFonts w:ascii="Times New Roman" w:eastAsia="Calibri" w:hAnsi="Times New Roman"/>
                <w:i/>
                <w:sz w:val="24"/>
                <w:szCs w:val="24"/>
              </w:rPr>
              <w:t>, kad asmenys suvokia savo veiksmų reikšmę, sudaromo sandorio pobūdį bei pasekmes ir išreiškia savo tikrąją valią sudaryti sandorį</w:t>
            </w:r>
            <w:r w:rsidRPr="00976E98">
              <w:rPr>
                <w:rFonts w:ascii="Times New Roman" w:eastAsia="Calibri" w:hAnsi="Times New Roman"/>
                <w:i/>
                <w:sz w:val="24"/>
                <w:szCs w:val="24"/>
              </w:rPr>
              <w:t>.</w:t>
            </w:r>
            <w:r w:rsidRPr="00976E98">
              <w:rPr>
                <w:rFonts w:ascii="Times New Roman" w:eastAsia="Calibri" w:hAnsi="Times New Roman"/>
                <w:sz w:val="24"/>
                <w:szCs w:val="24"/>
              </w:rPr>
              <w:t xml:space="preserve"> Ministerijos nuomone, būtent sandorio šalis turėtų nuspręsti, reikia jam pasekmių ir sandorio prasmės išaiškinimo</w:t>
            </w:r>
            <w:r w:rsidR="006A3DE6">
              <w:rPr>
                <w:rFonts w:ascii="Times New Roman" w:eastAsia="Calibri" w:hAnsi="Times New Roman"/>
                <w:sz w:val="24"/>
                <w:szCs w:val="24"/>
              </w:rPr>
              <w:t xml:space="preserve"> (tokiu atveju renkasi įkeitimą tvirtinti notariškai)</w:t>
            </w:r>
            <w:r w:rsidR="003916E6" w:rsidRPr="00976E98">
              <w:rPr>
                <w:rFonts w:ascii="Times New Roman" w:eastAsia="Calibri" w:hAnsi="Times New Roman"/>
                <w:sz w:val="24"/>
                <w:szCs w:val="24"/>
              </w:rPr>
              <w:t>,</w:t>
            </w:r>
            <w:r w:rsidRPr="00976E98">
              <w:rPr>
                <w:rFonts w:ascii="Times New Roman" w:eastAsia="Calibri" w:hAnsi="Times New Roman"/>
                <w:sz w:val="24"/>
                <w:szCs w:val="24"/>
              </w:rPr>
              <w:t xml:space="preserve"> ar ne</w:t>
            </w:r>
            <w:r w:rsidR="006A3DE6">
              <w:rPr>
                <w:rFonts w:ascii="Times New Roman" w:eastAsia="Calibri" w:hAnsi="Times New Roman"/>
                <w:sz w:val="24"/>
                <w:szCs w:val="24"/>
              </w:rPr>
              <w:t xml:space="preserve"> (ir renkasi sudaryti įkeitimo sandorį </w:t>
            </w:r>
            <w:r w:rsidR="006A3DE6" w:rsidRPr="006A3DE6">
              <w:rPr>
                <w:rFonts w:ascii="Times New Roman" w:eastAsia="Calibri" w:hAnsi="Times New Roman"/>
                <w:sz w:val="24"/>
                <w:szCs w:val="24"/>
              </w:rPr>
              <w:t>informacinių technologijų priemonėmis</w:t>
            </w:r>
            <w:r w:rsidR="006A3DE6">
              <w:rPr>
                <w:rFonts w:ascii="Times New Roman" w:eastAsia="Calibri" w:hAnsi="Times New Roman"/>
                <w:sz w:val="24"/>
                <w:szCs w:val="24"/>
              </w:rPr>
              <w:t>)</w:t>
            </w:r>
            <w:r w:rsidRPr="00976E98">
              <w:rPr>
                <w:rFonts w:ascii="Times New Roman" w:eastAsia="Calibri" w:hAnsi="Times New Roman"/>
                <w:sz w:val="24"/>
                <w:szCs w:val="24"/>
              </w:rPr>
              <w:t>.</w:t>
            </w:r>
            <w:r>
              <w:rPr>
                <w:rFonts w:ascii="Times New Roman" w:eastAsia="Calibri" w:hAnsi="Times New Roman"/>
                <w:sz w:val="24"/>
                <w:szCs w:val="24"/>
              </w:rPr>
              <w:t xml:space="preserve"> Tai ypač aktualu, kalbant apie verslo subjektus, kuriems turto įkeitimas – tai ne vienintelis gyvenimo sandoris, o reguliari ir įprasta verslo praktika.</w:t>
            </w:r>
          </w:p>
          <w:p w14:paraId="41B8BA03" w14:textId="77777777" w:rsidR="00FD72C2"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Kiekvienu atveju, jei sandorio šaliai kils abejonių, ji galės laisvai apsispręsti ir savo teises įgyvendinti pasitelkdama notaro pagalbą.</w:t>
            </w:r>
          </w:p>
          <w:p w14:paraId="66C4D629" w14:textId="77777777" w:rsidR="00FD72C2" w:rsidRDefault="00FD72C2" w:rsidP="003207F0">
            <w:pPr>
              <w:pStyle w:val="Komentarotekstas"/>
              <w:tabs>
                <w:tab w:val="left" w:pos="1276"/>
              </w:tabs>
              <w:ind w:firstLine="318"/>
              <w:jc w:val="both"/>
              <w:rPr>
                <w:rFonts w:ascii="Times New Roman" w:eastAsia="Calibri" w:hAnsi="Times New Roman"/>
                <w:i/>
                <w:sz w:val="24"/>
                <w:szCs w:val="24"/>
              </w:rPr>
            </w:pPr>
            <w:r>
              <w:rPr>
                <w:rFonts w:ascii="Times New Roman" w:eastAsia="Calibri" w:hAnsi="Times New Roman"/>
                <w:sz w:val="24"/>
                <w:szCs w:val="24"/>
              </w:rPr>
              <w:t>Taip pat Lietuvos notarų rūmų pateiktose ir persiųstose pastabose m</w:t>
            </w:r>
            <w:r w:rsidR="003916E6">
              <w:rPr>
                <w:rFonts w:ascii="Times New Roman" w:eastAsia="Calibri" w:hAnsi="Times New Roman"/>
                <w:sz w:val="24"/>
                <w:szCs w:val="24"/>
              </w:rPr>
              <w:t>inima</w:t>
            </w:r>
            <w:r>
              <w:rPr>
                <w:rFonts w:ascii="Times New Roman" w:eastAsia="Calibri" w:hAnsi="Times New Roman"/>
                <w:sz w:val="24"/>
                <w:szCs w:val="24"/>
              </w:rPr>
              <w:t xml:space="preserve"> notarui pavest</w:t>
            </w:r>
            <w:r w:rsidR="003916E6">
              <w:rPr>
                <w:rFonts w:ascii="Times New Roman" w:eastAsia="Calibri" w:hAnsi="Times New Roman"/>
                <w:sz w:val="24"/>
                <w:szCs w:val="24"/>
              </w:rPr>
              <w:t>a</w:t>
            </w:r>
            <w:r>
              <w:rPr>
                <w:rFonts w:ascii="Times New Roman" w:eastAsia="Calibri" w:hAnsi="Times New Roman"/>
                <w:sz w:val="24"/>
                <w:szCs w:val="24"/>
              </w:rPr>
              <w:t xml:space="preserve"> funkcij</w:t>
            </w:r>
            <w:r w:rsidR="003916E6">
              <w:rPr>
                <w:rFonts w:ascii="Times New Roman" w:eastAsia="Calibri" w:hAnsi="Times New Roman"/>
                <w:sz w:val="24"/>
                <w:szCs w:val="24"/>
              </w:rPr>
              <w:t>a</w:t>
            </w:r>
            <w:r>
              <w:rPr>
                <w:rFonts w:ascii="Times New Roman" w:eastAsia="Calibri" w:hAnsi="Times New Roman"/>
                <w:sz w:val="24"/>
                <w:szCs w:val="24"/>
              </w:rPr>
              <w:t xml:space="preserve"> „</w:t>
            </w:r>
            <w:r w:rsidRPr="008A4479">
              <w:rPr>
                <w:rFonts w:ascii="Times New Roman" w:eastAsia="Calibri" w:hAnsi="Times New Roman"/>
                <w:i/>
                <w:sz w:val="24"/>
                <w:szCs w:val="24"/>
              </w:rPr>
              <w:t>nustat</w:t>
            </w:r>
            <w:r>
              <w:rPr>
                <w:rFonts w:ascii="Times New Roman" w:eastAsia="Calibri" w:hAnsi="Times New Roman"/>
                <w:i/>
                <w:sz w:val="24"/>
                <w:szCs w:val="24"/>
              </w:rPr>
              <w:t>yti</w:t>
            </w:r>
            <w:r w:rsidRPr="008A4479">
              <w:rPr>
                <w:rFonts w:ascii="Times New Roman" w:eastAsia="Calibri" w:hAnsi="Times New Roman"/>
                <w:i/>
                <w:sz w:val="24"/>
                <w:szCs w:val="24"/>
              </w:rPr>
              <w:t xml:space="preserve">, kad </w:t>
            </w:r>
            <w:r w:rsidRPr="00FF3590">
              <w:rPr>
                <w:rFonts w:ascii="Times New Roman" w:eastAsia="Calibri" w:hAnsi="Times New Roman"/>
                <w:i/>
                <w:sz w:val="24"/>
                <w:szCs w:val="24"/>
              </w:rPr>
              <w:t>daiktas nuosavybės teise priklauso teisių perleidėjui</w:t>
            </w:r>
            <w:r w:rsidRPr="00FF3590">
              <w:rPr>
                <w:rFonts w:ascii="Times New Roman" w:eastAsia="Calibri" w:hAnsi="Times New Roman"/>
                <w:sz w:val="24"/>
                <w:szCs w:val="24"/>
              </w:rPr>
              <w:t>“, tačiau</w:t>
            </w:r>
            <w:r>
              <w:rPr>
                <w:rFonts w:ascii="Times New Roman" w:eastAsia="Calibri" w:hAnsi="Times New Roman"/>
                <w:sz w:val="24"/>
                <w:szCs w:val="24"/>
              </w:rPr>
              <w:t xml:space="preserve"> </w:t>
            </w:r>
            <w:r w:rsidR="00242EC1">
              <w:rPr>
                <w:rFonts w:ascii="Times New Roman" w:eastAsia="Calibri" w:hAnsi="Times New Roman"/>
                <w:sz w:val="24"/>
                <w:szCs w:val="24"/>
              </w:rPr>
              <w:t>nenurodoma</w:t>
            </w:r>
            <w:r>
              <w:rPr>
                <w:rFonts w:ascii="Times New Roman" w:eastAsia="Calibri" w:hAnsi="Times New Roman"/>
                <w:sz w:val="24"/>
                <w:szCs w:val="24"/>
              </w:rPr>
              <w:t xml:space="preserve">, kokiu būdu notarai šią funkciją įgyvendina būtent kilnojamųjų neregistruojamų daiktų įkeitimo </w:t>
            </w:r>
            <w:r w:rsidRPr="00436573">
              <w:rPr>
                <w:rFonts w:ascii="Times New Roman" w:eastAsia="Calibri" w:hAnsi="Times New Roman"/>
                <w:sz w:val="24"/>
                <w:szCs w:val="24"/>
              </w:rPr>
              <w:t>atveju</w:t>
            </w:r>
            <w:r w:rsidRPr="00E820AA">
              <w:rPr>
                <w:rFonts w:ascii="Times New Roman" w:eastAsia="Calibri" w:hAnsi="Times New Roman"/>
                <w:sz w:val="24"/>
                <w:szCs w:val="24"/>
              </w:rPr>
              <w:t>. Būtent dėl šios priežasties, kad notarų akcentuojamas sandorio patikimumo nustatymas daugeliu atvejų lieka tik deklaratyvus</w:t>
            </w:r>
            <w:r w:rsidRPr="00436573">
              <w:rPr>
                <w:rFonts w:ascii="Times New Roman" w:eastAsia="Calibri" w:hAnsi="Times New Roman"/>
                <w:sz w:val="24"/>
                <w:szCs w:val="24"/>
              </w:rPr>
              <w:t xml:space="preserve"> (kaip minėta</w:t>
            </w:r>
            <w:r w:rsidR="001F1C77" w:rsidRPr="00436573">
              <w:rPr>
                <w:rFonts w:ascii="Times New Roman" w:eastAsia="Calibri" w:hAnsi="Times New Roman"/>
                <w:sz w:val="24"/>
                <w:szCs w:val="24"/>
              </w:rPr>
              <w:t xml:space="preserve"> –</w:t>
            </w:r>
            <w:r w:rsidRPr="00436573">
              <w:rPr>
                <w:rFonts w:ascii="Times New Roman" w:eastAsia="Calibri" w:hAnsi="Times New Roman"/>
                <w:sz w:val="24"/>
                <w:szCs w:val="24"/>
              </w:rPr>
              <w:t xml:space="preserve"> dėl kilnojamųjų daiktų nuosavybės</w:t>
            </w:r>
            <w:r>
              <w:rPr>
                <w:rFonts w:ascii="Times New Roman" w:eastAsia="Calibri" w:hAnsi="Times New Roman"/>
                <w:sz w:val="24"/>
                <w:szCs w:val="24"/>
              </w:rPr>
              <w:t xml:space="preserve"> teisių nustatymo ribotų galimybių, arba priešingai – dėl formalaus duomenų patikrinimo registruose registruojamų daiktų įkeitimo atveju), Teisingumo ministerija ėmėsi iniciatyvos supaprastinti įkeitimo sandorių įregistravimo tvarką tais atvejais, kai </w:t>
            </w:r>
            <w:r w:rsidRPr="00627F48">
              <w:rPr>
                <w:rFonts w:ascii="Times New Roman" w:eastAsia="Calibri" w:hAnsi="Times New Roman"/>
                <w:i/>
                <w:sz w:val="24"/>
                <w:szCs w:val="24"/>
              </w:rPr>
              <w:t>no</w:t>
            </w:r>
            <w:r w:rsidRPr="00A330BC">
              <w:rPr>
                <w:rFonts w:ascii="Times New Roman" w:eastAsia="Calibri" w:hAnsi="Times New Roman"/>
                <w:i/>
                <w:sz w:val="24"/>
                <w:szCs w:val="24"/>
              </w:rPr>
              <w:t xml:space="preserve">tarinė </w:t>
            </w:r>
            <w:r>
              <w:rPr>
                <w:rFonts w:ascii="Times New Roman" w:eastAsia="Calibri" w:hAnsi="Times New Roman"/>
                <w:i/>
                <w:sz w:val="24"/>
                <w:szCs w:val="24"/>
              </w:rPr>
              <w:t>įkeitimo</w:t>
            </w:r>
            <w:r w:rsidRPr="00A330BC">
              <w:rPr>
                <w:rFonts w:ascii="Times New Roman" w:eastAsia="Calibri" w:hAnsi="Times New Roman"/>
                <w:i/>
                <w:sz w:val="24"/>
                <w:szCs w:val="24"/>
              </w:rPr>
              <w:t xml:space="preserve"> kontrolė de facto </w:t>
            </w:r>
            <w:r>
              <w:rPr>
                <w:rFonts w:ascii="Times New Roman" w:eastAsia="Calibri" w:hAnsi="Times New Roman"/>
                <w:i/>
                <w:sz w:val="24"/>
                <w:szCs w:val="24"/>
              </w:rPr>
              <w:t xml:space="preserve">nėra </w:t>
            </w:r>
            <w:r w:rsidRPr="00A330BC">
              <w:rPr>
                <w:rFonts w:ascii="Times New Roman" w:eastAsia="Calibri" w:hAnsi="Times New Roman"/>
                <w:i/>
                <w:sz w:val="24"/>
                <w:szCs w:val="24"/>
              </w:rPr>
              <w:t>funkcionali ir veiksminga</w:t>
            </w:r>
            <w:r>
              <w:rPr>
                <w:rFonts w:ascii="Times New Roman" w:eastAsia="Calibri" w:hAnsi="Times New Roman"/>
                <w:i/>
                <w:sz w:val="24"/>
                <w:szCs w:val="24"/>
              </w:rPr>
              <w:t>.</w:t>
            </w:r>
          </w:p>
          <w:p w14:paraId="2858D144" w14:textId="77777777" w:rsidR="00FD72C2" w:rsidRPr="007715B1"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Lietuvos notarų rūmai išvadoje remiasi teismuose nagrinėjamų bylų dėl hipotekos ir įkeitimo sandorių statistika ir teigia, kad itin mažas tokių bylų skaičius liudija, jog „notarų atliekama preventyvi hipotekos (įkeitimo) sandorių kontrolė yra efektyvi“. Tačiau pažymėtina, kad nepateikiama jokių duomenų, leidžiančių mažą bylų skaičių sieti būtent su notarų atliekamų funkcijų šioje srityje efektyvumu.</w:t>
            </w:r>
          </w:p>
          <w:p w14:paraId="7260E688" w14:textId="77777777" w:rsidR="00FD72C2" w:rsidRPr="0001559A" w:rsidRDefault="00FD72C2" w:rsidP="003207F0">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lastRenderedPageBreak/>
              <w:t xml:space="preserve">Tas pats pasakytina ir apie hipotekos (įkeitimo) pabaigos atvejus, kai yra visiškai atsiskaitoma su kreditoriumi. Tais atvejais, kai hipoteka (įkeitimu) užtikrintas skolinis </w:t>
            </w:r>
            <w:r w:rsidRPr="002A3EB2">
              <w:rPr>
                <w:rFonts w:ascii="Times New Roman" w:eastAsia="Calibri" w:hAnsi="Times New Roman"/>
                <w:sz w:val="24"/>
                <w:szCs w:val="24"/>
              </w:rPr>
              <w:t>įsipareigojimas yra įvykdomas ir kreditorius nebeturi jokių pretenzijų skolininkui, numatoma galimybė jo laisva valia išregistruoti hipoteką be laiko gaišimo ir papildomų išlaidų notarinėms paslaugoms, kurių tokiais akivaizdžiais hipotekos (įkeitimo) pabaigos atvejais, vartotojas net negauna, tačiau privalo gaišti laiką ir sumokėti už formalias procedūras. Kaip teigiama ir Lietuvos notarų rūmų pastabose, daugeliu atveju profesionalus hipotekos kreditorius yra bankas ar kita kredito įstaiga, todėl abejotina</w:t>
            </w:r>
            <w:r w:rsidR="00242EC1">
              <w:rPr>
                <w:rFonts w:ascii="Times New Roman" w:eastAsia="Calibri" w:hAnsi="Times New Roman"/>
                <w:sz w:val="24"/>
                <w:szCs w:val="24"/>
              </w:rPr>
              <w:t>,</w:t>
            </w:r>
            <w:r w:rsidRPr="002A3EB2">
              <w:rPr>
                <w:rFonts w:ascii="Times New Roman" w:eastAsia="Calibri" w:hAnsi="Times New Roman"/>
                <w:sz w:val="24"/>
                <w:szCs w:val="24"/>
              </w:rPr>
              <w:t xml:space="preserve"> ar korektiška rūmų pastaba apie tokiais atvejais atliekamą „</w:t>
            </w:r>
            <w:r w:rsidRPr="002A3EB2">
              <w:rPr>
                <w:rFonts w:ascii="Times New Roman" w:eastAsia="Calibri" w:hAnsi="Times New Roman"/>
                <w:i/>
                <w:sz w:val="24"/>
                <w:szCs w:val="24"/>
              </w:rPr>
              <w:t>notarinį tyrimą</w:t>
            </w:r>
            <w:r w:rsidRPr="002A3EB2">
              <w:rPr>
                <w:rFonts w:ascii="Times New Roman" w:eastAsia="Calibri" w:hAnsi="Times New Roman"/>
                <w:sz w:val="24"/>
                <w:szCs w:val="24"/>
              </w:rPr>
              <w:t xml:space="preserve">“ hipotekos pabaigai nustatyti. Be to, dar kartą pažymėtina, kad lieka alternatyva pasirinkti </w:t>
            </w:r>
            <w:r w:rsidR="001F1C77" w:rsidRPr="002A3EB2">
              <w:rPr>
                <w:rFonts w:ascii="Times New Roman" w:eastAsia="Calibri" w:hAnsi="Times New Roman"/>
                <w:sz w:val="24"/>
                <w:szCs w:val="24"/>
              </w:rPr>
              <w:t xml:space="preserve">ir </w:t>
            </w:r>
            <w:r w:rsidRPr="002A3EB2">
              <w:rPr>
                <w:rFonts w:ascii="Times New Roman" w:eastAsia="Calibri" w:hAnsi="Times New Roman"/>
                <w:sz w:val="24"/>
                <w:szCs w:val="24"/>
              </w:rPr>
              <w:t>dėl hipotekos (įkeitimo) išr</w:t>
            </w:r>
            <w:r>
              <w:rPr>
                <w:rFonts w:ascii="Times New Roman" w:eastAsia="Calibri" w:hAnsi="Times New Roman"/>
                <w:sz w:val="24"/>
                <w:szCs w:val="24"/>
              </w:rPr>
              <w:t>egistravimo kreiptis į notar</w:t>
            </w:r>
            <w:r w:rsidR="001F1C77">
              <w:rPr>
                <w:rFonts w:ascii="Times New Roman" w:eastAsia="Calibri" w:hAnsi="Times New Roman"/>
                <w:sz w:val="24"/>
                <w:szCs w:val="24"/>
              </w:rPr>
              <w:t xml:space="preserve">ą (jei kreditorius nėra tikras, </w:t>
            </w:r>
            <w:r>
              <w:rPr>
                <w:rFonts w:ascii="Times New Roman" w:eastAsia="Calibri" w:hAnsi="Times New Roman"/>
                <w:sz w:val="24"/>
                <w:szCs w:val="24"/>
              </w:rPr>
              <w:t>jam taip patogiau</w:t>
            </w:r>
            <w:r w:rsidR="001F1C77">
              <w:rPr>
                <w:rFonts w:ascii="Times New Roman" w:eastAsia="Calibri" w:hAnsi="Times New Roman"/>
                <w:sz w:val="24"/>
                <w:szCs w:val="24"/>
              </w:rPr>
              <w:t>,</w:t>
            </w:r>
            <w:r>
              <w:rPr>
                <w:rFonts w:ascii="Times New Roman" w:eastAsia="Calibri" w:hAnsi="Times New Roman"/>
                <w:sz w:val="24"/>
                <w:szCs w:val="24"/>
              </w:rPr>
              <w:t xml:space="preserve"> pigiau ir pan.).</w:t>
            </w:r>
          </w:p>
          <w:p w14:paraId="0A78DE87" w14:textId="77777777" w:rsidR="00FD72C2" w:rsidRDefault="001F1C77" w:rsidP="002902A0">
            <w:pPr>
              <w:pStyle w:val="Komentarotekstas"/>
              <w:widowControl w:val="0"/>
              <w:tabs>
                <w:tab w:val="left" w:pos="1276"/>
              </w:tabs>
              <w:ind w:firstLine="318"/>
              <w:jc w:val="both"/>
              <w:rPr>
                <w:rFonts w:ascii="Times New Roman" w:eastAsia="Calibri" w:hAnsi="Times New Roman"/>
                <w:b/>
                <w:sz w:val="24"/>
                <w:szCs w:val="24"/>
              </w:rPr>
            </w:pPr>
            <w:r>
              <w:rPr>
                <w:rFonts w:ascii="Times New Roman" w:eastAsia="Calibri" w:hAnsi="Times New Roman"/>
                <w:sz w:val="24"/>
                <w:szCs w:val="24"/>
              </w:rPr>
              <w:t>Kaip savo išvadoje nurodo dr. Laurynas Didžiulis</w:t>
            </w:r>
            <w:r w:rsidR="007B27D1">
              <w:rPr>
                <w:rFonts w:ascii="Times New Roman" w:eastAsia="Calibri" w:hAnsi="Times New Roman"/>
                <w:sz w:val="24"/>
                <w:szCs w:val="24"/>
              </w:rPr>
              <w:t xml:space="preserve"> (13 p.)</w:t>
            </w:r>
            <w:r>
              <w:rPr>
                <w:rFonts w:ascii="Times New Roman" w:eastAsia="Calibri" w:hAnsi="Times New Roman"/>
                <w:sz w:val="24"/>
                <w:szCs w:val="24"/>
              </w:rPr>
              <w:t xml:space="preserve">, „&lt;...&gt; </w:t>
            </w:r>
            <w:r w:rsidRPr="007B3D87">
              <w:rPr>
                <w:rFonts w:ascii="Times New Roman" w:eastAsia="Calibri" w:hAnsi="Times New Roman"/>
                <w:sz w:val="24"/>
                <w:szCs w:val="24"/>
              </w:rPr>
              <w:t>lyginamosios finansų</w:t>
            </w:r>
            <w:r>
              <w:rPr>
                <w:rFonts w:ascii="Times New Roman" w:eastAsia="Calibri" w:hAnsi="Times New Roman"/>
                <w:sz w:val="24"/>
                <w:szCs w:val="24"/>
              </w:rPr>
              <w:t xml:space="preserve"> </w:t>
            </w:r>
            <w:r w:rsidRPr="007B3D87">
              <w:rPr>
                <w:rFonts w:ascii="Times New Roman" w:eastAsia="Calibri" w:hAnsi="Times New Roman"/>
                <w:sz w:val="24"/>
                <w:szCs w:val="24"/>
              </w:rPr>
              <w:t>teisės profesorius P. Wood</w:t>
            </w:r>
            <w:r>
              <w:rPr>
                <w:rFonts w:ascii="Times New Roman" w:eastAsia="Calibri" w:hAnsi="Times New Roman"/>
                <w:sz w:val="24"/>
                <w:szCs w:val="24"/>
              </w:rPr>
              <w:t>‘</w:t>
            </w:r>
            <w:r w:rsidRPr="007B3D87">
              <w:rPr>
                <w:rFonts w:ascii="Times New Roman" w:eastAsia="Calibri" w:hAnsi="Times New Roman"/>
                <w:sz w:val="24"/>
                <w:szCs w:val="24"/>
              </w:rPr>
              <w:t>as, kurio darbus cituoja ir Lietuvos Aukščiausiasis Teismas,</w:t>
            </w:r>
            <w:r>
              <w:rPr>
                <w:rFonts w:ascii="Times New Roman" w:eastAsia="Calibri" w:hAnsi="Times New Roman"/>
                <w:sz w:val="24"/>
                <w:szCs w:val="24"/>
              </w:rPr>
              <w:t xml:space="preserve"> </w:t>
            </w:r>
            <w:r w:rsidRPr="007B3D87">
              <w:rPr>
                <w:rFonts w:ascii="Times New Roman" w:eastAsia="Calibri" w:hAnsi="Times New Roman"/>
                <w:sz w:val="24"/>
                <w:szCs w:val="24"/>
              </w:rPr>
              <w:t xml:space="preserve">bendrai nurodo, kad užtikrinimo sandorių formalumai </w:t>
            </w:r>
            <w:r w:rsidRPr="00734551">
              <w:rPr>
                <w:rFonts w:ascii="Times New Roman" w:eastAsia="Calibri" w:hAnsi="Times New Roman"/>
                <w:i/>
                <w:sz w:val="24"/>
                <w:szCs w:val="24"/>
              </w:rPr>
              <w:t>paprastai praktikoje sukuria nereikalingas išlaidas ir</w:t>
            </w:r>
            <w:r>
              <w:rPr>
                <w:rFonts w:ascii="Times New Roman" w:eastAsia="Calibri" w:hAnsi="Times New Roman"/>
                <w:i/>
                <w:sz w:val="24"/>
                <w:szCs w:val="24"/>
              </w:rPr>
              <w:t xml:space="preserve"> </w:t>
            </w:r>
            <w:r w:rsidRPr="00734551">
              <w:rPr>
                <w:rFonts w:ascii="Times New Roman" w:eastAsia="Calibri" w:hAnsi="Times New Roman"/>
                <w:i/>
                <w:sz w:val="24"/>
                <w:szCs w:val="24"/>
              </w:rPr>
              <w:t>nepatogumus</w:t>
            </w:r>
            <w:r w:rsidRPr="007B3D87">
              <w:rPr>
                <w:rFonts w:ascii="Times New Roman" w:eastAsia="Calibri" w:hAnsi="Times New Roman"/>
                <w:sz w:val="24"/>
                <w:szCs w:val="24"/>
              </w:rPr>
              <w:t xml:space="preserve"> ir šiuo metu yra rimtas pagrindas tarptautiniu lygiu</w:t>
            </w:r>
            <w:r>
              <w:rPr>
                <w:rFonts w:ascii="Times New Roman" w:eastAsia="Calibri" w:hAnsi="Times New Roman"/>
                <w:sz w:val="24"/>
                <w:szCs w:val="24"/>
              </w:rPr>
              <w:t xml:space="preserve"> </w:t>
            </w:r>
            <w:r w:rsidRPr="007B3D87">
              <w:rPr>
                <w:rFonts w:ascii="Times New Roman" w:eastAsia="Calibri" w:hAnsi="Times New Roman"/>
                <w:sz w:val="24"/>
                <w:szCs w:val="24"/>
              </w:rPr>
              <w:t>a</w:t>
            </w:r>
            <w:r w:rsidR="007B27D1">
              <w:rPr>
                <w:rFonts w:ascii="Times New Roman" w:eastAsia="Calibri" w:hAnsi="Times New Roman"/>
                <w:sz w:val="24"/>
                <w:szCs w:val="24"/>
              </w:rPr>
              <w:t>tsisakyti šių praeities reliktų</w:t>
            </w:r>
            <w:r>
              <w:rPr>
                <w:rFonts w:ascii="Times New Roman" w:eastAsia="Calibri" w:hAnsi="Times New Roman"/>
                <w:sz w:val="24"/>
                <w:szCs w:val="24"/>
              </w:rPr>
              <w:t>“.</w:t>
            </w:r>
            <w:r w:rsidR="007B27D1">
              <w:rPr>
                <w:rFonts w:ascii="Times New Roman" w:eastAsia="Calibri" w:hAnsi="Times New Roman"/>
                <w:sz w:val="24"/>
                <w:szCs w:val="24"/>
              </w:rPr>
              <w:t xml:space="preserve"> </w:t>
            </w:r>
            <w:r w:rsidR="00FD72C2">
              <w:rPr>
                <w:rFonts w:ascii="Times New Roman" w:eastAsia="Calibri" w:hAnsi="Times New Roman"/>
                <w:sz w:val="24"/>
                <w:szCs w:val="24"/>
              </w:rPr>
              <w:t xml:space="preserve">Taigi, Teisingumo ministerija parengė </w:t>
            </w:r>
            <w:r>
              <w:rPr>
                <w:rFonts w:ascii="Times New Roman" w:eastAsia="Calibri" w:hAnsi="Times New Roman"/>
                <w:sz w:val="24"/>
                <w:szCs w:val="24"/>
              </w:rPr>
              <w:t>P</w:t>
            </w:r>
            <w:r w:rsidR="00FD72C2">
              <w:rPr>
                <w:rFonts w:ascii="Times New Roman" w:eastAsia="Calibri" w:hAnsi="Times New Roman"/>
                <w:sz w:val="24"/>
                <w:szCs w:val="24"/>
              </w:rPr>
              <w:t>rojektą įvertinusi Lietuvos notarų rūmų pastabose nurodytus aspektus dėl sandorio rūšies ir notarinės formos efektyvumo. Projektais siekiama modernizuoti galiojančią įkeitimo sandorių tvirtinimo ir registravimo</w:t>
            </w:r>
            <w:r>
              <w:rPr>
                <w:rFonts w:ascii="Times New Roman" w:eastAsia="Calibri" w:hAnsi="Times New Roman"/>
                <w:sz w:val="24"/>
                <w:szCs w:val="24"/>
              </w:rPr>
              <w:t>, hipotekos (įkeitimo) išregistravimo tvarką</w:t>
            </w:r>
            <w:r w:rsidR="00FD72C2">
              <w:rPr>
                <w:rFonts w:ascii="Times New Roman" w:eastAsia="Calibri" w:hAnsi="Times New Roman"/>
                <w:sz w:val="24"/>
                <w:szCs w:val="24"/>
              </w:rPr>
              <w:t>, atsisakant nereikalingų formalumų ir išlaidų tais</w:t>
            </w:r>
            <w:r w:rsidR="00BA0E62">
              <w:rPr>
                <w:rFonts w:ascii="Times New Roman" w:eastAsia="Calibri" w:hAnsi="Times New Roman"/>
                <w:sz w:val="24"/>
                <w:szCs w:val="24"/>
              </w:rPr>
              <w:t xml:space="preserve"> atvejais, kai jie nėra būtini.</w:t>
            </w:r>
          </w:p>
        </w:tc>
      </w:tr>
      <w:tr w:rsidR="00FD72C2" w:rsidRPr="000479E4" w14:paraId="4725003C" w14:textId="77777777" w:rsidTr="00ED3083">
        <w:trPr>
          <w:cantSplit/>
          <w:trHeight w:val="7039"/>
        </w:trPr>
        <w:tc>
          <w:tcPr>
            <w:tcW w:w="1586" w:type="dxa"/>
            <w:gridSpan w:val="3"/>
            <w:vMerge/>
            <w:shd w:val="clear" w:color="auto" w:fill="auto"/>
          </w:tcPr>
          <w:p w14:paraId="725F6B28" w14:textId="77777777" w:rsidR="00FD72C2"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bottom w:val="single" w:sz="4" w:space="0" w:color="auto"/>
            </w:tcBorders>
            <w:shd w:val="clear" w:color="auto" w:fill="auto"/>
          </w:tcPr>
          <w:p w14:paraId="519EC54E" w14:textId="77777777" w:rsidR="00FD72C2" w:rsidRDefault="00FD72C2" w:rsidP="00BA6B7A">
            <w:pPr>
              <w:pStyle w:val="Pagrindiniotekstotrauka"/>
              <w:ind w:firstLine="0"/>
              <w:rPr>
                <w:szCs w:val="24"/>
              </w:rPr>
            </w:pPr>
            <w:r>
              <w:rPr>
                <w:szCs w:val="24"/>
              </w:rPr>
              <w:t xml:space="preserve">3. „&lt;...&gt; </w:t>
            </w:r>
            <w:r w:rsidRPr="00BA6B7A">
              <w:rPr>
                <w:szCs w:val="24"/>
              </w:rPr>
              <w:t>nėra parengta numatomo teisinio reguliavimo koncepcija ir nėra atliktas išsamus numatomo teisinio</w:t>
            </w:r>
            <w:r>
              <w:rPr>
                <w:szCs w:val="24"/>
              </w:rPr>
              <w:t xml:space="preserve"> </w:t>
            </w:r>
            <w:r w:rsidRPr="00BA6B7A">
              <w:rPr>
                <w:szCs w:val="24"/>
              </w:rPr>
              <w:t>reguliavimo poveikio vertinimas.</w:t>
            </w:r>
          </w:p>
          <w:p w14:paraId="53043134" w14:textId="77777777" w:rsidR="00FD72C2" w:rsidRDefault="00FD72C2" w:rsidP="00F60CA6">
            <w:pPr>
              <w:pStyle w:val="Komentarotekstas"/>
              <w:tabs>
                <w:tab w:val="left" w:pos="1276"/>
              </w:tabs>
              <w:ind w:firstLine="317"/>
              <w:jc w:val="both"/>
              <w:rPr>
                <w:szCs w:val="24"/>
              </w:rPr>
            </w:pPr>
            <w:r w:rsidRPr="00207106">
              <w:rPr>
                <w:rFonts w:ascii="Times New Roman" w:eastAsia="Calibri" w:hAnsi="Times New Roman"/>
                <w:sz w:val="24"/>
                <w:szCs w:val="24"/>
              </w:rPr>
              <w:t>Pagal Lietuvos Respublikos teisėkūros pagrindų įstatymo 12 straipsnio 1 dalį prieš iš</w:t>
            </w:r>
            <w:r>
              <w:rPr>
                <w:rFonts w:ascii="Times New Roman" w:eastAsia="Calibri" w:hAnsi="Times New Roman"/>
                <w:sz w:val="24"/>
                <w:szCs w:val="24"/>
              </w:rPr>
              <w:t xml:space="preserve"> </w:t>
            </w:r>
            <w:r w:rsidRPr="00207106">
              <w:rPr>
                <w:rFonts w:ascii="Times New Roman" w:eastAsia="Calibri" w:hAnsi="Times New Roman"/>
                <w:sz w:val="24"/>
                <w:szCs w:val="24"/>
              </w:rPr>
              <w:t>esmės keičiant esamą teisinį reguliavimą gali būti parengta numatomo teisinio reguliavimo</w:t>
            </w:r>
            <w:r>
              <w:rPr>
                <w:rFonts w:ascii="Times New Roman" w:eastAsia="Calibri" w:hAnsi="Times New Roman"/>
                <w:sz w:val="24"/>
                <w:szCs w:val="24"/>
              </w:rPr>
              <w:t xml:space="preserve"> </w:t>
            </w:r>
            <w:r w:rsidRPr="00207106">
              <w:rPr>
                <w:rFonts w:ascii="Times New Roman" w:eastAsia="Calibri" w:hAnsi="Times New Roman"/>
                <w:sz w:val="24"/>
                <w:szCs w:val="24"/>
              </w:rPr>
              <w:t xml:space="preserve">koncepcija, </w:t>
            </w:r>
            <w:r w:rsidRPr="00BA6B7A">
              <w:rPr>
                <w:rFonts w:ascii="Times New Roman" w:eastAsia="Calibri" w:hAnsi="Times New Roman"/>
                <w:sz w:val="24"/>
                <w:szCs w:val="24"/>
              </w:rPr>
              <w:t>kurioje pateikiama esamos padėties analizė, nurodomos spręstinos problemos,</w:t>
            </w:r>
            <w:r>
              <w:rPr>
                <w:rFonts w:ascii="Times New Roman" w:eastAsia="Calibri" w:hAnsi="Times New Roman"/>
                <w:sz w:val="24"/>
                <w:szCs w:val="24"/>
              </w:rPr>
              <w:t xml:space="preserve"> </w:t>
            </w:r>
            <w:r w:rsidRPr="00BA6B7A">
              <w:rPr>
                <w:rFonts w:ascii="Times New Roman" w:eastAsia="Calibri" w:hAnsi="Times New Roman"/>
                <w:sz w:val="24"/>
                <w:szCs w:val="24"/>
              </w:rPr>
              <w:t>numatomo teisinio reguliavimo tikslas, princip</w:t>
            </w:r>
            <w:r>
              <w:rPr>
                <w:rFonts w:ascii="Times New Roman" w:eastAsia="Calibri" w:hAnsi="Times New Roman"/>
                <w:sz w:val="24"/>
                <w:szCs w:val="24"/>
              </w:rPr>
              <w:t>ai ir pagrindinės nuostatos, gal</w:t>
            </w:r>
            <w:r w:rsidRPr="00BA6B7A">
              <w:rPr>
                <w:rFonts w:ascii="Times New Roman" w:eastAsia="Calibri" w:hAnsi="Times New Roman"/>
                <w:sz w:val="24"/>
                <w:szCs w:val="24"/>
              </w:rPr>
              <w:t>imos teigiamos ir</w:t>
            </w:r>
            <w:r>
              <w:rPr>
                <w:rFonts w:ascii="Times New Roman" w:eastAsia="Calibri" w:hAnsi="Times New Roman"/>
                <w:sz w:val="24"/>
                <w:szCs w:val="24"/>
              </w:rPr>
              <w:t xml:space="preserve"> </w:t>
            </w:r>
            <w:r w:rsidRPr="00BA6B7A">
              <w:rPr>
                <w:rFonts w:ascii="Times New Roman" w:eastAsia="Calibri" w:hAnsi="Times New Roman"/>
                <w:sz w:val="24"/>
                <w:szCs w:val="24"/>
              </w:rPr>
              <w:t>neigiamos numatomo teisinio reguliavimo pasekmės, numatomą teisinį reguliavimą</w:t>
            </w:r>
            <w:r>
              <w:rPr>
                <w:rFonts w:ascii="Times New Roman" w:eastAsia="Calibri" w:hAnsi="Times New Roman"/>
                <w:sz w:val="24"/>
                <w:szCs w:val="24"/>
              </w:rPr>
              <w:t xml:space="preserve"> </w:t>
            </w:r>
            <w:r w:rsidRPr="00BA6B7A">
              <w:rPr>
                <w:rFonts w:ascii="Times New Roman" w:eastAsia="Calibri" w:hAnsi="Times New Roman"/>
                <w:sz w:val="24"/>
                <w:szCs w:val="24"/>
              </w:rPr>
              <w:t>pagrindžiančios nuostatos, kita svarbi informacija.</w:t>
            </w:r>
            <w:r>
              <w:rPr>
                <w:rFonts w:ascii="Times New Roman" w:eastAsia="Calibri" w:hAnsi="Times New Roman"/>
                <w:sz w:val="24"/>
                <w:szCs w:val="24"/>
              </w:rPr>
              <w:t xml:space="preserve"> </w:t>
            </w:r>
            <w:r w:rsidRPr="00BA6B7A">
              <w:rPr>
                <w:rFonts w:ascii="Times New Roman" w:eastAsia="Calibri" w:hAnsi="Times New Roman"/>
                <w:sz w:val="24"/>
                <w:szCs w:val="24"/>
              </w:rPr>
              <w:t>Reformuojant hipotekos ir įkeitimo teisę</w:t>
            </w:r>
            <w:r>
              <w:rPr>
                <w:rFonts w:ascii="Times New Roman" w:eastAsia="Calibri" w:hAnsi="Times New Roman"/>
                <w:sz w:val="24"/>
                <w:szCs w:val="24"/>
              </w:rPr>
              <w:t xml:space="preserve"> </w:t>
            </w:r>
            <w:r w:rsidRPr="00BA6B7A">
              <w:rPr>
                <w:rFonts w:ascii="Times New Roman" w:eastAsia="Calibri" w:hAnsi="Times New Roman"/>
                <w:sz w:val="24"/>
                <w:szCs w:val="24"/>
              </w:rPr>
              <w:t>(pakeitimai įsigaliojo 2012 metais), buvo parengta ir Koncepcijoje</w:t>
            </w:r>
            <w:r>
              <w:rPr>
                <w:rFonts w:ascii="Times New Roman" w:eastAsia="Calibri" w:hAnsi="Times New Roman"/>
                <w:sz w:val="24"/>
                <w:szCs w:val="24"/>
              </w:rPr>
              <w:t xml:space="preserve"> </w:t>
            </w:r>
            <w:r w:rsidRPr="00BA6B7A">
              <w:rPr>
                <w:rFonts w:ascii="Times New Roman" w:eastAsia="Calibri" w:hAnsi="Times New Roman"/>
                <w:sz w:val="24"/>
                <w:szCs w:val="24"/>
              </w:rPr>
              <w:t>buvo esamos situacijos, keičiamų teisės normų neefektyvumo analizė, užsienio valstybių teisės</w:t>
            </w:r>
            <w:r>
              <w:rPr>
                <w:rFonts w:ascii="Times New Roman" w:eastAsia="Calibri" w:hAnsi="Times New Roman"/>
                <w:sz w:val="24"/>
                <w:szCs w:val="24"/>
              </w:rPr>
              <w:t xml:space="preserve"> </w:t>
            </w:r>
            <w:r w:rsidRPr="00BA6B7A">
              <w:rPr>
                <w:rFonts w:ascii="Times New Roman" w:eastAsia="Calibri" w:hAnsi="Times New Roman"/>
                <w:sz w:val="24"/>
                <w:szCs w:val="24"/>
              </w:rPr>
              <w:t>normų ir principų analizė, pagrindinės visuomeninių santykių reguliavim</w:t>
            </w:r>
            <w:r w:rsidR="00F60CA6">
              <w:rPr>
                <w:rFonts w:ascii="Times New Roman" w:eastAsia="Calibri" w:hAnsi="Times New Roman"/>
                <w:sz w:val="24"/>
                <w:szCs w:val="24"/>
              </w:rPr>
              <w:t>o</w:t>
            </w:r>
            <w:r w:rsidRPr="00BA6B7A">
              <w:rPr>
                <w:rFonts w:ascii="Times New Roman" w:eastAsia="Calibri" w:hAnsi="Times New Roman"/>
                <w:sz w:val="24"/>
                <w:szCs w:val="24"/>
              </w:rPr>
              <w:t xml:space="preserve"> nuostatos, galimos</w:t>
            </w:r>
            <w:r>
              <w:rPr>
                <w:rFonts w:ascii="Times New Roman" w:eastAsia="Calibri" w:hAnsi="Times New Roman"/>
                <w:sz w:val="24"/>
                <w:szCs w:val="24"/>
              </w:rPr>
              <w:t xml:space="preserve"> </w:t>
            </w:r>
            <w:r w:rsidRPr="00BA6B7A">
              <w:rPr>
                <w:rFonts w:ascii="Times New Roman" w:eastAsia="Calibri" w:hAnsi="Times New Roman"/>
                <w:sz w:val="24"/>
                <w:szCs w:val="24"/>
              </w:rPr>
              <w:t>numatomo teisinio reguliavimo pasekmės, finansinis-ekonominis pagrįstumas. Ketinant</w:t>
            </w:r>
            <w:r>
              <w:rPr>
                <w:rFonts w:ascii="Times New Roman" w:eastAsia="Calibri" w:hAnsi="Times New Roman"/>
                <w:sz w:val="24"/>
                <w:szCs w:val="24"/>
              </w:rPr>
              <w:t xml:space="preserve"> </w:t>
            </w:r>
            <w:r w:rsidRPr="00BA6B7A">
              <w:rPr>
                <w:rFonts w:ascii="Times New Roman" w:eastAsia="Calibri" w:hAnsi="Times New Roman"/>
                <w:sz w:val="24"/>
                <w:szCs w:val="24"/>
              </w:rPr>
              <w:t>reformuoti hipotekos ir įkeitimo teisę dar kartą, turi būti parengta nauja numatomo teisinio</w:t>
            </w:r>
            <w:r>
              <w:rPr>
                <w:rFonts w:ascii="Times New Roman" w:eastAsia="Calibri" w:hAnsi="Times New Roman"/>
                <w:sz w:val="24"/>
                <w:szCs w:val="24"/>
              </w:rPr>
              <w:t xml:space="preserve"> </w:t>
            </w:r>
            <w:r w:rsidRPr="00BA6B7A">
              <w:rPr>
                <w:rFonts w:ascii="Times New Roman" w:eastAsia="Calibri" w:hAnsi="Times New Roman"/>
                <w:sz w:val="24"/>
                <w:szCs w:val="24"/>
              </w:rPr>
              <w:t>reguliavimo koncepcija, kurioje būtų paneigtos ankstesnėje koncepcijoje pateiktos įžvalgos, būtų</w:t>
            </w:r>
            <w:r>
              <w:rPr>
                <w:rFonts w:ascii="Times New Roman" w:eastAsia="Calibri" w:hAnsi="Times New Roman"/>
                <w:sz w:val="24"/>
                <w:szCs w:val="24"/>
              </w:rPr>
              <w:t xml:space="preserve"> </w:t>
            </w:r>
            <w:r w:rsidRPr="00BA6B7A">
              <w:rPr>
                <w:rFonts w:ascii="Times New Roman" w:eastAsia="Calibri" w:hAnsi="Times New Roman"/>
                <w:sz w:val="24"/>
                <w:szCs w:val="24"/>
              </w:rPr>
              <w:t>nurodyti galiojančio teisinio reguliavimo trūkumai, praktikoje kylančios problemos, jų</w:t>
            </w:r>
            <w:r>
              <w:rPr>
                <w:rFonts w:ascii="Times New Roman" w:eastAsia="Calibri" w:hAnsi="Times New Roman"/>
                <w:sz w:val="24"/>
                <w:szCs w:val="24"/>
              </w:rPr>
              <w:t xml:space="preserve"> </w:t>
            </w:r>
            <w:r w:rsidRPr="00BA6B7A">
              <w:rPr>
                <w:rFonts w:ascii="Times New Roman" w:eastAsia="Calibri" w:hAnsi="Times New Roman"/>
                <w:sz w:val="24"/>
                <w:szCs w:val="24"/>
              </w:rPr>
              <w:t>sprendimo kryptys bei principai.</w:t>
            </w:r>
            <w:r>
              <w:rPr>
                <w:rFonts w:ascii="Times New Roman" w:eastAsia="Calibri" w:hAnsi="Times New Roman"/>
                <w:sz w:val="24"/>
                <w:szCs w:val="24"/>
              </w:rPr>
              <w:t xml:space="preserve"> &lt;...&gt;“</w:t>
            </w:r>
          </w:p>
        </w:tc>
        <w:tc>
          <w:tcPr>
            <w:tcW w:w="8593" w:type="dxa"/>
            <w:tcBorders>
              <w:top w:val="single" w:sz="4" w:space="0" w:color="auto"/>
              <w:bottom w:val="single" w:sz="4" w:space="0" w:color="auto"/>
            </w:tcBorders>
            <w:shd w:val="clear" w:color="auto" w:fill="auto"/>
          </w:tcPr>
          <w:p w14:paraId="62E078FF" w14:textId="77777777" w:rsidR="00FD72C2" w:rsidRDefault="00FD72C2" w:rsidP="007715B1">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588EB80F" w14:textId="77777777" w:rsidR="00FD72C2" w:rsidRDefault="00FD72C2" w:rsidP="00BA6B7A">
            <w:pPr>
              <w:pStyle w:val="Komentarotekstas"/>
              <w:tabs>
                <w:tab w:val="left" w:pos="1276"/>
              </w:tabs>
              <w:ind w:firstLine="317"/>
              <w:jc w:val="both"/>
              <w:rPr>
                <w:rFonts w:ascii="Times New Roman" w:eastAsia="Calibri" w:hAnsi="Times New Roman"/>
                <w:sz w:val="24"/>
                <w:szCs w:val="24"/>
              </w:rPr>
            </w:pPr>
            <w:r w:rsidRPr="00BA6B7A">
              <w:rPr>
                <w:rFonts w:ascii="Times New Roman" w:eastAsia="Calibri" w:hAnsi="Times New Roman"/>
                <w:sz w:val="24"/>
                <w:szCs w:val="24"/>
              </w:rPr>
              <w:t>Lietuvos Respublikos teisėkūros pagrindų įstatymo 12 straipsnio 1 dal</w:t>
            </w:r>
            <w:r>
              <w:rPr>
                <w:rFonts w:ascii="Times New Roman" w:eastAsia="Calibri" w:hAnsi="Times New Roman"/>
                <w:sz w:val="24"/>
                <w:szCs w:val="24"/>
              </w:rPr>
              <w:t>is numato, kad „</w:t>
            </w:r>
            <w:r w:rsidRPr="00F60CA6">
              <w:rPr>
                <w:rFonts w:ascii="Times New Roman" w:eastAsia="Calibri" w:hAnsi="Times New Roman"/>
                <w:sz w:val="24"/>
                <w:szCs w:val="24"/>
              </w:rPr>
              <w:t>prieš iš esmės keičiant esamą teisinį reguliavimą</w:t>
            </w:r>
            <w:r w:rsidRPr="00BA6B7A">
              <w:rPr>
                <w:rFonts w:ascii="Times New Roman" w:eastAsia="Calibri" w:hAnsi="Times New Roman"/>
                <w:i/>
                <w:sz w:val="24"/>
                <w:szCs w:val="24"/>
              </w:rPr>
              <w:t xml:space="preserve"> gali būti parengta </w:t>
            </w:r>
            <w:r w:rsidRPr="00F60CA6">
              <w:rPr>
                <w:rFonts w:ascii="Times New Roman" w:eastAsia="Calibri" w:hAnsi="Times New Roman"/>
                <w:sz w:val="24"/>
                <w:szCs w:val="24"/>
              </w:rPr>
              <w:t>numatomo teisinio reguliavimo koncepcija</w:t>
            </w:r>
            <w:r w:rsidRPr="00BA6B7A">
              <w:rPr>
                <w:rFonts w:ascii="Times New Roman" w:eastAsia="Calibri" w:hAnsi="Times New Roman"/>
                <w:i/>
                <w:sz w:val="24"/>
                <w:szCs w:val="24"/>
              </w:rPr>
              <w:t>.</w:t>
            </w:r>
            <w:r>
              <w:rPr>
                <w:rFonts w:ascii="Times New Roman" w:eastAsia="Calibri" w:hAnsi="Times New Roman"/>
                <w:sz w:val="24"/>
                <w:szCs w:val="24"/>
              </w:rPr>
              <w:t>“</w:t>
            </w:r>
            <w:r w:rsidRPr="00BA6B7A">
              <w:rPr>
                <w:rFonts w:ascii="Times New Roman" w:eastAsia="Calibri" w:hAnsi="Times New Roman"/>
                <w:sz w:val="24"/>
                <w:szCs w:val="24"/>
              </w:rPr>
              <w:t xml:space="preserve"> </w:t>
            </w:r>
            <w:r w:rsidRPr="000B42DD">
              <w:rPr>
                <w:rFonts w:ascii="Times New Roman" w:eastAsia="Calibri" w:hAnsi="Times New Roman"/>
                <w:sz w:val="24"/>
                <w:szCs w:val="24"/>
              </w:rPr>
              <w:t>Reikia pastebėti, kad pati koncepcija savo pobūdžiu ir esme nėra toks dokumentas, kuris tiesiogiai daro įtaką teisiniams santykiams, joje nėra įtvirtinta teisinio reguliavimo (teisės normų), tiesiogiai darančio įtaką teisiniams santykiams ir reguliuojančio teisinių santykių subjektų elgesį. Kaip konstatavo Lietuvos Respublikos Konstitucinis Teismas 2011 m. rugsėjo 28 d. priimtame nutarime, koncepcija yra teisėkūros subjekto valią išreiškiantis dokumentas, kuriuo inicijuojami ir kurio pagrindu valstybėje turėtų vykti tam tikri procesai, jame nurodomos pagrindinės jų kryptys, tikslai ir uždaviniai, o koncepcijos tvirtinamos teisėkūros subjekto išleistais norminiais poįstatyminiais teisės aktais.</w:t>
            </w:r>
            <w:r>
              <w:rPr>
                <w:rFonts w:ascii="Times New Roman" w:eastAsia="Calibri" w:hAnsi="Times New Roman"/>
                <w:sz w:val="24"/>
                <w:szCs w:val="24"/>
              </w:rPr>
              <w:t xml:space="preserve"> Teisingumo ministerijos nuomone, projektu siūlomi pakeitimai nėra laikytini „</w:t>
            </w:r>
            <w:r w:rsidRPr="000B42DD">
              <w:rPr>
                <w:rFonts w:ascii="Times New Roman" w:eastAsia="Calibri" w:hAnsi="Times New Roman"/>
                <w:i/>
                <w:sz w:val="24"/>
                <w:szCs w:val="24"/>
              </w:rPr>
              <w:t>iš esmės keičiančiais esamą teisinį reguliavimą</w:t>
            </w:r>
            <w:r>
              <w:rPr>
                <w:rFonts w:ascii="Times New Roman" w:eastAsia="Calibri" w:hAnsi="Times New Roman"/>
                <w:sz w:val="24"/>
                <w:szCs w:val="24"/>
              </w:rPr>
              <w:t xml:space="preserve">“, </w:t>
            </w:r>
            <w:r w:rsidR="00F60CA6">
              <w:rPr>
                <w:rFonts w:ascii="Times New Roman" w:eastAsia="Calibri" w:hAnsi="Times New Roman"/>
                <w:sz w:val="24"/>
                <w:szCs w:val="24"/>
              </w:rPr>
              <w:t>be to</w:t>
            </w:r>
            <w:r>
              <w:rPr>
                <w:rFonts w:ascii="Times New Roman" w:eastAsia="Calibri" w:hAnsi="Times New Roman"/>
                <w:sz w:val="24"/>
                <w:szCs w:val="24"/>
              </w:rPr>
              <w:t>,</w:t>
            </w:r>
            <w:r w:rsidR="00F60CA6">
              <w:rPr>
                <w:rFonts w:ascii="Times New Roman" w:eastAsia="Calibri" w:hAnsi="Times New Roman"/>
                <w:sz w:val="24"/>
                <w:szCs w:val="24"/>
              </w:rPr>
              <w:t xml:space="preserve"> priešingai nei teigiama Lietuvos notarų rūmų pastabose,</w:t>
            </w:r>
            <w:r>
              <w:rPr>
                <w:rFonts w:ascii="Times New Roman" w:eastAsia="Calibri" w:hAnsi="Times New Roman"/>
                <w:sz w:val="24"/>
                <w:szCs w:val="24"/>
              </w:rPr>
              <w:t xml:space="preserve"> Teisėkūros pagrindų įstatymas koncepcijos parengimą laiko neprivalomu („</w:t>
            </w:r>
            <w:r>
              <w:rPr>
                <w:rFonts w:ascii="Times New Roman" w:eastAsia="Calibri" w:hAnsi="Times New Roman"/>
                <w:i/>
                <w:sz w:val="24"/>
                <w:szCs w:val="24"/>
              </w:rPr>
              <w:t>gali būti parengta</w:t>
            </w:r>
            <w:r>
              <w:rPr>
                <w:rFonts w:ascii="Times New Roman" w:eastAsia="Calibri" w:hAnsi="Times New Roman"/>
                <w:sz w:val="24"/>
                <w:szCs w:val="24"/>
              </w:rPr>
              <w:t xml:space="preserve">“) ir apsispręsti dėl jos poreikio ir rengimo paveda teisėkūros proceso dalyviui – rengėjui </w:t>
            </w:r>
            <w:r w:rsidRPr="000B42DD">
              <w:rPr>
                <w:rFonts w:ascii="Times New Roman" w:eastAsia="Calibri" w:hAnsi="Times New Roman"/>
                <w:i/>
                <w:sz w:val="24"/>
                <w:szCs w:val="24"/>
              </w:rPr>
              <w:t>(„2. Numatomo teisinio reguliavimo koncepciją tvirtina subjektas, kuris priima sprendimą dėl koncepcijos rengimo.“</w:t>
            </w:r>
            <w:r>
              <w:rPr>
                <w:rFonts w:ascii="Times New Roman" w:eastAsia="Calibri" w:hAnsi="Times New Roman"/>
                <w:sz w:val="24"/>
                <w:szCs w:val="24"/>
              </w:rPr>
              <w:t xml:space="preserve">). </w:t>
            </w:r>
          </w:p>
          <w:p w14:paraId="76380717" w14:textId="77777777" w:rsidR="00FD72C2" w:rsidRDefault="00FD72C2" w:rsidP="003A6833">
            <w:pPr>
              <w:spacing w:after="0" w:line="240" w:lineRule="auto"/>
              <w:ind w:right="-5" w:firstLine="318"/>
              <w:jc w:val="both"/>
              <w:rPr>
                <w:rFonts w:ascii="Times New Roman" w:hAnsi="Times New Roman"/>
                <w:sz w:val="24"/>
                <w:szCs w:val="24"/>
                <w:lang w:eastAsia="ar-SA"/>
              </w:rPr>
            </w:pPr>
            <w:r>
              <w:rPr>
                <w:rFonts w:ascii="Times New Roman" w:eastAsia="Calibri" w:hAnsi="Times New Roman"/>
                <w:sz w:val="24"/>
                <w:szCs w:val="24"/>
              </w:rPr>
              <w:t xml:space="preserve">Akivaizdu, kad Lietuvos notarų rūmų minima </w:t>
            </w:r>
            <w:r w:rsidRPr="00BA6B7A">
              <w:rPr>
                <w:rFonts w:ascii="Times New Roman" w:eastAsia="Calibri" w:hAnsi="Times New Roman"/>
                <w:sz w:val="24"/>
                <w:szCs w:val="24"/>
              </w:rPr>
              <w:t>Lietuvos Respublikos Vyriausybės 2007 m.</w:t>
            </w:r>
            <w:r>
              <w:rPr>
                <w:rFonts w:ascii="Times New Roman" w:eastAsia="Calibri" w:hAnsi="Times New Roman"/>
                <w:sz w:val="24"/>
                <w:szCs w:val="24"/>
              </w:rPr>
              <w:t xml:space="preserve"> </w:t>
            </w:r>
            <w:r w:rsidRPr="00BA6B7A">
              <w:rPr>
                <w:rFonts w:ascii="Times New Roman" w:eastAsia="Calibri" w:hAnsi="Times New Roman"/>
                <w:sz w:val="24"/>
                <w:szCs w:val="24"/>
              </w:rPr>
              <w:t>vasario 27 d. nutarimu Nr. 232 patvirtinta Hipotekos registro vystymo koncepcija,</w:t>
            </w:r>
            <w:r>
              <w:rPr>
                <w:rFonts w:ascii="Times New Roman" w:eastAsia="Calibri" w:hAnsi="Times New Roman"/>
                <w:sz w:val="24"/>
                <w:szCs w:val="24"/>
              </w:rPr>
              <w:t xml:space="preserve"> buvo parengta rengiantis sudėtingam ir visapusiškam įkeitimo (hipotekos) santykių reguliavimui: sukuti </w:t>
            </w:r>
            <w:r w:rsidRPr="00207106">
              <w:rPr>
                <w:rFonts w:ascii="Times New Roman" w:eastAsia="Calibri" w:hAnsi="Times New Roman"/>
                <w:i/>
                <w:sz w:val="24"/>
                <w:szCs w:val="24"/>
              </w:rPr>
              <w:t>naują</w:t>
            </w:r>
            <w:r>
              <w:rPr>
                <w:rFonts w:ascii="Times New Roman" w:eastAsia="Calibri" w:hAnsi="Times New Roman"/>
                <w:sz w:val="24"/>
                <w:szCs w:val="24"/>
              </w:rPr>
              <w:t xml:space="preserve">  </w:t>
            </w:r>
            <w:r w:rsidRPr="00207106">
              <w:rPr>
                <w:rFonts w:ascii="Times New Roman" w:eastAsia="Calibri" w:hAnsi="Times New Roman"/>
                <w:sz w:val="24"/>
                <w:szCs w:val="24"/>
              </w:rPr>
              <w:t>hipotekos ir įkeitimo bei turto arešto aktų registravimo model</w:t>
            </w:r>
            <w:r>
              <w:rPr>
                <w:rFonts w:ascii="Times New Roman" w:eastAsia="Calibri" w:hAnsi="Times New Roman"/>
                <w:sz w:val="24"/>
                <w:szCs w:val="24"/>
              </w:rPr>
              <w:t>į,</w:t>
            </w:r>
            <w:r w:rsidRPr="00207106">
              <w:rPr>
                <w:rFonts w:ascii="Times New Roman" w:eastAsia="Calibri" w:hAnsi="Times New Roman"/>
                <w:sz w:val="24"/>
                <w:szCs w:val="24"/>
              </w:rPr>
              <w:t xml:space="preserve"> atsisakyt</w:t>
            </w:r>
            <w:r>
              <w:rPr>
                <w:rFonts w:ascii="Times New Roman" w:eastAsia="Calibri" w:hAnsi="Times New Roman"/>
                <w:sz w:val="24"/>
                <w:szCs w:val="24"/>
              </w:rPr>
              <w:t>i</w:t>
            </w:r>
            <w:r w:rsidRPr="00207106">
              <w:rPr>
                <w:rFonts w:ascii="Times New Roman" w:eastAsia="Calibri" w:hAnsi="Times New Roman"/>
                <w:sz w:val="24"/>
                <w:szCs w:val="24"/>
              </w:rPr>
              <w:t xml:space="preserve"> hipotekos teisėjo funkcijų registruojant hipoteką (įkeitimą) ir hipotekos skyrių prie apylinkės teismų</w:t>
            </w:r>
            <w:r>
              <w:rPr>
                <w:rFonts w:ascii="Times New Roman" w:eastAsia="Calibri" w:hAnsi="Times New Roman"/>
                <w:sz w:val="24"/>
                <w:szCs w:val="24"/>
              </w:rPr>
              <w:t>. Todėl Teisingumo ministerija nemano, kad reikalingas šios (jau įgyvendintos) koncepcijos keitimas, ar, juolab, naujos koncepcijos kūrimas, kada teikiamu projektu numatomas tik jau veikiančios sistemos supaprastinimas ir modernizavimas, o projekto pakeitimai bei siekiami tikslai  – glausti ir aišk</w:t>
            </w:r>
            <w:r w:rsidR="008D3A61">
              <w:rPr>
                <w:rFonts w:ascii="Times New Roman" w:eastAsia="Calibri" w:hAnsi="Times New Roman"/>
                <w:sz w:val="24"/>
                <w:szCs w:val="24"/>
              </w:rPr>
              <w:t xml:space="preserve">ūs. Dėl tos pačios priežasties </w:t>
            </w:r>
            <w:r>
              <w:rPr>
                <w:rFonts w:ascii="Times New Roman" w:eastAsia="Calibri" w:hAnsi="Times New Roman"/>
                <w:sz w:val="24"/>
                <w:szCs w:val="24"/>
              </w:rPr>
              <w:t xml:space="preserve">bei vadovaujantis </w:t>
            </w:r>
            <w:r w:rsidRPr="00207106">
              <w:rPr>
                <w:rFonts w:ascii="Times New Roman" w:hAnsi="Times New Roman"/>
                <w:sz w:val="24"/>
                <w:szCs w:val="24"/>
                <w:lang w:eastAsia="ar-SA"/>
              </w:rPr>
              <w:t xml:space="preserve">Numatomo teisinio reguliavimo poveikio vertinimo metodikos, patvirtintos Lietuvos Respublikos Vyriausybės 2003 m. vasario 26 d. nutarimu Nr. 276, 4 punktu, </w:t>
            </w:r>
            <w:r w:rsidR="008D3A61">
              <w:rPr>
                <w:rFonts w:ascii="Times New Roman" w:hAnsi="Times New Roman"/>
                <w:sz w:val="24"/>
                <w:szCs w:val="24"/>
                <w:lang w:eastAsia="ar-SA"/>
              </w:rPr>
              <w:t xml:space="preserve">taip pat neatliekamas ir </w:t>
            </w:r>
            <w:r w:rsidRPr="00207106">
              <w:rPr>
                <w:rFonts w:ascii="Times New Roman" w:hAnsi="Times New Roman"/>
                <w:sz w:val="24"/>
                <w:szCs w:val="24"/>
                <w:lang w:eastAsia="ar-SA"/>
              </w:rPr>
              <w:t>Įstatymų projektų numatomo teisinio reguliavimo poveikio vertinimas</w:t>
            </w:r>
            <w:r>
              <w:rPr>
                <w:rFonts w:ascii="Times New Roman" w:hAnsi="Times New Roman"/>
                <w:sz w:val="24"/>
                <w:szCs w:val="24"/>
                <w:lang w:eastAsia="ar-SA"/>
              </w:rPr>
              <w:t>.</w:t>
            </w:r>
            <w:r w:rsidR="008D3A61">
              <w:rPr>
                <w:rFonts w:ascii="Times New Roman" w:hAnsi="Times New Roman"/>
                <w:sz w:val="24"/>
                <w:szCs w:val="24"/>
                <w:lang w:eastAsia="ar-SA"/>
              </w:rPr>
              <w:t xml:space="preserve"> Poveikis buvo įvertintas </w:t>
            </w:r>
            <w:r w:rsidR="008D3A61">
              <w:rPr>
                <w:rFonts w:ascii="Times New Roman" w:hAnsi="Times New Roman" w:cs="Times New Roman"/>
                <w:sz w:val="24"/>
                <w:szCs w:val="24"/>
              </w:rPr>
              <w:t>valstybės įmonės Registrų centro užsakytą galimybių studijoje „</w:t>
            </w:r>
            <w:r w:rsidR="008D3A61" w:rsidRPr="00BA70AD">
              <w:rPr>
                <w:rFonts w:ascii="Times New Roman" w:hAnsi="Times New Roman" w:cs="Times New Roman"/>
                <w:sz w:val="24"/>
                <w:szCs w:val="24"/>
              </w:rPr>
              <w:t>Lietuvos Respublikos hipotekos registro modernizavimas</w:t>
            </w:r>
            <w:r w:rsidR="008D3A61">
              <w:rPr>
                <w:rFonts w:ascii="Times New Roman" w:hAnsi="Times New Roman" w:cs="Times New Roman"/>
                <w:sz w:val="24"/>
                <w:szCs w:val="24"/>
              </w:rPr>
              <w:t xml:space="preserve">“, kurios metu buvo išnagrinėta </w:t>
            </w:r>
            <w:r w:rsidR="008D3A61" w:rsidRPr="00047D4D">
              <w:rPr>
                <w:rFonts w:ascii="Times New Roman" w:hAnsi="Times New Roman" w:cs="Times New Roman"/>
                <w:sz w:val="24"/>
                <w:szCs w:val="24"/>
              </w:rPr>
              <w:t>pasaulio valstybių praktika, taikomi hipotekos ir įkeitimo modeliai, įvertintos alternatyvos, atsižvelgiant į finansinius rodiklius bei ekonominę ir socialinę naudą.</w:t>
            </w:r>
          </w:p>
          <w:p w14:paraId="5E74EFEB" w14:textId="77777777" w:rsidR="00FD72C2" w:rsidRPr="00207106" w:rsidRDefault="00FD72C2" w:rsidP="00207106">
            <w:pPr>
              <w:pStyle w:val="Komentarotekstas"/>
              <w:tabs>
                <w:tab w:val="left" w:pos="1276"/>
              </w:tabs>
              <w:ind w:firstLine="317"/>
              <w:jc w:val="both"/>
              <w:rPr>
                <w:rFonts w:ascii="Times New Roman" w:eastAsia="Calibri" w:hAnsi="Times New Roman"/>
                <w:sz w:val="24"/>
                <w:szCs w:val="24"/>
              </w:rPr>
            </w:pPr>
          </w:p>
        </w:tc>
      </w:tr>
      <w:tr w:rsidR="00FD72C2" w:rsidRPr="000479E4" w14:paraId="0389FB4F" w14:textId="77777777" w:rsidTr="00ED3083">
        <w:trPr>
          <w:cantSplit/>
          <w:trHeight w:val="2600"/>
        </w:trPr>
        <w:tc>
          <w:tcPr>
            <w:tcW w:w="1586" w:type="dxa"/>
            <w:gridSpan w:val="3"/>
            <w:vMerge/>
            <w:shd w:val="clear" w:color="auto" w:fill="auto"/>
          </w:tcPr>
          <w:p w14:paraId="7186CCEB" w14:textId="77777777" w:rsidR="00FD72C2"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bottom w:val="single" w:sz="4" w:space="0" w:color="auto"/>
            </w:tcBorders>
            <w:shd w:val="clear" w:color="auto" w:fill="auto"/>
          </w:tcPr>
          <w:p w14:paraId="5B704C61" w14:textId="77777777" w:rsidR="00FD72C2" w:rsidRDefault="00FD72C2" w:rsidP="00AA15E7">
            <w:pPr>
              <w:pStyle w:val="Pagrindiniotekstotrauka"/>
              <w:ind w:firstLine="0"/>
              <w:rPr>
                <w:szCs w:val="24"/>
              </w:rPr>
            </w:pPr>
            <w:r>
              <w:rPr>
                <w:szCs w:val="24"/>
              </w:rPr>
              <w:t>4. „</w:t>
            </w:r>
            <w:r w:rsidRPr="00AA15E7">
              <w:rPr>
                <w:szCs w:val="24"/>
              </w:rPr>
              <w:t>Projektas neatitinka Lietuvos Respublikos teisėkūros pagrindų įstatymo 3 straipsnio 2</w:t>
            </w:r>
            <w:r>
              <w:rPr>
                <w:szCs w:val="24"/>
              </w:rPr>
              <w:t xml:space="preserve"> </w:t>
            </w:r>
            <w:r w:rsidRPr="00AA15E7">
              <w:rPr>
                <w:szCs w:val="24"/>
              </w:rPr>
              <w:t>dalyje įtvirtintų teisėkūros principų, t. y. teisėkūroje dalyvaujantiems subjektams keliamų</w:t>
            </w:r>
            <w:r>
              <w:rPr>
                <w:szCs w:val="24"/>
              </w:rPr>
              <w:t xml:space="preserve"> </w:t>
            </w:r>
            <w:r w:rsidRPr="00AA15E7">
              <w:rPr>
                <w:szCs w:val="24"/>
              </w:rPr>
              <w:t>imperatyvių reikalavimų</w:t>
            </w:r>
            <w:r>
              <w:rPr>
                <w:szCs w:val="24"/>
              </w:rPr>
              <w:t>: aiškumo principo &lt;...&gt;, sistemiškumo principo &lt;...&gt;, tikslingumo principo &lt;...&gt;, efektyvumo principo &lt;...&gt;.“</w:t>
            </w:r>
          </w:p>
        </w:tc>
        <w:tc>
          <w:tcPr>
            <w:tcW w:w="8593" w:type="dxa"/>
            <w:tcBorders>
              <w:top w:val="single" w:sz="4" w:space="0" w:color="auto"/>
              <w:bottom w:val="single" w:sz="4" w:space="0" w:color="auto"/>
            </w:tcBorders>
            <w:shd w:val="clear" w:color="auto" w:fill="auto"/>
          </w:tcPr>
          <w:p w14:paraId="7E2F0C90" w14:textId="77777777" w:rsidR="00FD72C2" w:rsidRDefault="00FD72C2" w:rsidP="003A6833">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6E01DCA8" w14:textId="77777777" w:rsidR="00FD72C2" w:rsidRDefault="00FD72C2" w:rsidP="003A6833">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Nesutiktina, kad projektas neatitinka T</w:t>
            </w:r>
            <w:r w:rsidRPr="00A769CC">
              <w:rPr>
                <w:rFonts w:ascii="Times New Roman" w:eastAsia="Calibri" w:hAnsi="Times New Roman"/>
                <w:sz w:val="24"/>
                <w:szCs w:val="24"/>
              </w:rPr>
              <w:t xml:space="preserve">eisėkūros pagrindų įstatymo </w:t>
            </w:r>
            <w:r>
              <w:rPr>
                <w:rFonts w:ascii="Times New Roman" w:eastAsia="Calibri" w:hAnsi="Times New Roman"/>
                <w:sz w:val="24"/>
                <w:szCs w:val="24"/>
              </w:rPr>
              <w:t>įtvirtintų teisėkūros principų, vien dėl to, kad išvadas teikiančiam subjektui kyla klausimų dėl numatomo teisinio reguliavimo. Pvz. sąlyginės hipotekos registravimas numatomas Sandorių ir teisių suvaržymų registre, o ne Nekilnojamojo turto registre (kaip nurodo Lietuvos notarų rūmai), dėl paprastos priežasties, jog sąlyginė</w:t>
            </w:r>
            <w:r w:rsidR="003A6833">
              <w:rPr>
                <w:rFonts w:ascii="Times New Roman" w:eastAsia="Calibri" w:hAnsi="Times New Roman"/>
                <w:sz w:val="24"/>
                <w:szCs w:val="24"/>
              </w:rPr>
              <w:t xml:space="preserve"> hipoteka gali būti įkeičiamas</w:t>
            </w:r>
            <w:r>
              <w:rPr>
                <w:rFonts w:ascii="Times New Roman" w:eastAsia="Calibri" w:hAnsi="Times New Roman"/>
                <w:sz w:val="24"/>
                <w:szCs w:val="24"/>
              </w:rPr>
              <w:t xml:space="preserve"> dar nesantis daiktas – „</w:t>
            </w:r>
            <w:r w:rsidRPr="00A769CC">
              <w:rPr>
                <w:rFonts w:ascii="Times New Roman" w:eastAsia="Calibri" w:hAnsi="Times New Roman"/>
                <w:sz w:val="24"/>
                <w:szCs w:val="24"/>
              </w:rPr>
              <w:t>nekilnojamasis daiktas, kuris bus sukurtas ateityje</w:t>
            </w:r>
            <w:r>
              <w:rPr>
                <w:rFonts w:ascii="Times New Roman" w:eastAsia="Calibri" w:hAnsi="Times New Roman"/>
                <w:sz w:val="24"/>
                <w:szCs w:val="24"/>
              </w:rPr>
              <w:t xml:space="preserve">“ (Civilinio kodekso </w:t>
            </w:r>
            <w:r w:rsidRPr="00A769CC">
              <w:rPr>
                <w:rFonts w:ascii="Times New Roman" w:eastAsia="Calibri" w:hAnsi="Times New Roman"/>
                <w:sz w:val="24"/>
                <w:szCs w:val="24"/>
              </w:rPr>
              <w:t>4.184</w:t>
            </w:r>
            <w:r>
              <w:rPr>
                <w:rFonts w:ascii="Times New Roman" w:eastAsia="Calibri" w:hAnsi="Times New Roman"/>
                <w:sz w:val="24"/>
                <w:szCs w:val="24"/>
              </w:rPr>
              <w:t xml:space="preserve"> str. 2 d.), todėl toks hipotekos sandoris negali būti susietas su Nekilnojamojo turto registro objektu</w:t>
            </w:r>
            <w:r w:rsidR="003A6833">
              <w:rPr>
                <w:rFonts w:ascii="Times New Roman" w:eastAsia="Calibri" w:hAnsi="Times New Roman"/>
                <w:sz w:val="24"/>
                <w:szCs w:val="24"/>
              </w:rPr>
              <w:t xml:space="preserve"> – nekilnojamuoju turtu</w:t>
            </w:r>
            <w:r>
              <w:rPr>
                <w:rFonts w:ascii="Times New Roman" w:eastAsia="Calibri" w:hAnsi="Times New Roman"/>
                <w:sz w:val="24"/>
                <w:szCs w:val="24"/>
              </w:rPr>
              <w:t>. N</w:t>
            </w:r>
            <w:r w:rsidRPr="006C239D">
              <w:rPr>
                <w:rFonts w:ascii="Times New Roman" w:eastAsia="Calibri" w:hAnsi="Times New Roman"/>
                <w:sz w:val="24"/>
                <w:szCs w:val="24"/>
              </w:rPr>
              <w:t>uo sutartyje nustatytos sąlygos įvykdymo momento</w:t>
            </w:r>
            <w:r>
              <w:rPr>
                <w:rFonts w:ascii="Times New Roman" w:eastAsia="Calibri" w:hAnsi="Times New Roman"/>
                <w:sz w:val="24"/>
                <w:szCs w:val="24"/>
              </w:rPr>
              <w:t xml:space="preserve"> (pvz. pastačius ir įregistravus pastatą) hipotekai įsigaliojus, hipotekos duomenys bus perkeliami į </w:t>
            </w:r>
            <w:r w:rsidR="009641A9">
              <w:rPr>
                <w:rFonts w:ascii="Times New Roman" w:eastAsia="Calibri" w:hAnsi="Times New Roman"/>
                <w:sz w:val="24"/>
                <w:szCs w:val="24"/>
              </w:rPr>
              <w:t>N</w:t>
            </w:r>
            <w:r>
              <w:rPr>
                <w:rFonts w:ascii="Times New Roman" w:eastAsia="Calibri" w:hAnsi="Times New Roman"/>
                <w:sz w:val="24"/>
                <w:szCs w:val="24"/>
              </w:rPr>
              <w:t>ekilnojamojo turto registrą. Pažymėtina, kad detaliau visas registravimo procesas bus reglamentuotas įgyvendinamuosiuose teisės aktuose.</w:t>
            </w:r>
          </w:p>
          <w:p w14:paraId="587B0C0C" w14:textId="77777777" w:rsidR="00FD72C2" w:rsidRPr="00BA6B7A" w:rsidRDefault="00FD72C2" w:rsidP="007715B1">
            <w:pPr>
              <w:pStyle w:val="Komentarotekstas"/>
              <w:tabs>
                <w:tab w:val="left" w:pos="1276"/>
              </w:tabs>
              <w:ind w:firstLine="317"/>
              <w:jc w:val="both"/>
              <w:rPr>
                <w:rFonts w:ascii="Times New Roman" w:eastAsia="Calibri" w:hAnsi="Times New Roman"/>
                <w:sz w:val="24"/>
                <w:szCs w:val="24"/>
              </w:rPr>
            </w:pPr>
          </w:p>
        </w:tc>
      </w:tr>
      <w:tr w:rsidR="00FD72C2" w:rsidRPr="000479E4" w14:paraId="36931950" w14:textId="77777777" w:rsidTr="00ED3083">
        <w:trPr>
          <w:cantSplit/>
          <w:trHeight w:val="3057"/>
        </w:trPr>
        <w:tc>
          <w:tcPr>
            <w:tcW w:w="1586" w:type="dxa"/>
            <w:gridSpan w:val="3"/>
            <w:vMerge/>
            <w:shd w:val="clear" w:color="auto" w:fill="auto"/>
          </w:tcPr>
          <w:p w14:paraId="5F7ABC18" w14:textId="77777777" w:rsidR="00FD72C2"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bottom w:val="single" w:sz="4" w:space="0" w:color="auto"/>
            </w:tcBorders>
            <w:shd w:val="clear" w:color="auto" w:fill="auto"/>
          </w:tcPr>
          <w:p w14:paraId="028EDFFB" w14:textId="77777777" w:rsidR="00FD72C2" w:rsidRDefault="00FD72C2" w:rsidP="000D4560">
            <w:pPr>
              <w:pStyle w:val="Pagrindiniotekstotrauka"/>
              <w:ind w:firstLine="0"/>
              <w:rPr>
                <w:szCs w:val="24"/>
              </w:rPr>
            </w:pPr>
            <w:r>
              <w:rPr>
                <w:szCs w:val="24"/>
              </w:rPr>
              <w:t>5. Pasikartojančios pastabos dėl vartotojų teisių apsaugos</w:t>
            </w:r>
          </w:p>
        </w:tc>
        <w:tc>
          <w:tcPr>
            <w:tcW w:w="8593" w:type="dxa"/>
            <w:tcBorders>
              <w:top w:val="single" w:sz="4" w:space="0" w:color="auto"/>
              <w:bottom w:val="single" w:sz="4" w:space="0" w:color="auto"/>
            </w:tcBorders>
            <w:shd w:val="clear" w:color="auto" w:fill="auto"/>
          </w:tcPr>
          <w:p w14:paraId="3E334BF1" w14:textId="77777777" w:rsidR="00FD72C2" w:rsidRDefault="00FD72C2" w:rsidP="003A6833">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50F53963" w14:textId="77777777" w:rsidR="00FD72C2" w:rsidRDefault="00FD72C2" w:rsidP="00B66AC3">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Lietuvos notarų rūmų ne kart</w:t>
            </w:r>
            <w:r w:rsidR="003A6833">
              <w:rPr>
                <w:rFonts w:ascii="Times New Roman" w:eastAsia="Calibri" w:hAnsi="Times New Roman"/>
                <w:sz w:val="24"/>
                <w:szCs w:val="24"/>
              </w:rPr>
              <w:t>ą</w:t>
            </w:r>
            <w:r>
              <w:rPr>
                <w:rFonts w:ascii="Times New Roman" w:eastAsia="Calibri" w:hAnsi="Times New Roman"/>
                <w:sz w:val="24"/>
                <w:szCs w:val="24"/>
              </w:rPr>
              <w:t xml:space="preserve"> akcentuojama projektu numatomas reguliavimas neva gali turėti neigiamos įtakos vartotojų teisių apsaugai, tačiau Teisingumo ministerijos nuomone, </w:t>
            </w:r>
            <w:r w:rsidRPr="002A3EB2">
              <w:rPr>
                <w:rFonts w:ascii="Times New Roman" w:eastAsia="Calibri" w:hAnsi="Times New Roman"/>
                <w:sz w:val="24"/>
                <w:szCs w:val="24"/>
              </w:rPr>
              <w:t xml:space="preserve">būtent dėl vartotojų teisių apsaugos (administracinės ir finansinės naštos mažinimo) </w:t>
            </w:r>
            <w:r w:rsidR="006D0112" w:rsidRPr="002A3EB2">
              <w:rPr>
                <w:rFonts w:ascii="Times New Roman" w:eastAsia="Calibri" w:hAnsi="Times New Roman"/>
                <w:sz w:val="24"/>
                <w:szCs w:val="24"/>
              </w:rPr>
              <w:t>P</w:t>
            </w:r>
            <w:r w:rsidRPr="002A3EB2">
              <w:rPr>
                <w:rFonts w:ascii="Times New Roman" w:eastAsia="Calibri" w:hAnsi="Times New Roman"/>
                <w:sz w:val="24"/>
                <w:szCs w:val="24"/>
              </w:rPr>
              <w:t>rojekta</w:t>
            </w:r>
            <w:r w:rsidR="006D0112" w:rsidRPr="002A3EB2">
              <w:rPr>
                <w:rFonts w:ascii="Times New Roman" w:eastAsia="Calibri" w:hAnsi="Times New Roman"/>
                <w:sz w:val="24"/>
                <w:szCs w:val="24"/>
              </w:rPr>
              <w:t>s</w:t>
            </w:r>
            <w:r w:rsidRPr="002A3EB2">
              <w:rPr>
                <w:rFonts w:ascii="Times New Roman" w:eastAsia="Calibri" w:hAnsi="Times New Roman"/>
                <w:sz w:val="24"/>
                <w:szCs w:val="24"/>
              </w:rPr>
              <w:t xml:space="preserve"> ir buvo parengt</w:t>
            </w:r>
            <w:r w:rsidR="006D0112" w:rsidRPr="002A3EB2">
              <w:rPr>
                <w:rFonts w:ascii="Times New Roman" w:eastAsia="Calibri" w:hAnsi="Times New Roman"/>
                <w:sz w:val="24"/>
                <w:szCs w:val="24"/>
              </w:rPr>
              <w:t>as</w:t>
            </w:r>
            <w:r>
              <w:rPr>
                <w:rFonts w:ascii="Times New Roman" w:eastAsia="Calibri" w:hAnsi="Times New Roman"/>
                <w:sz w:val="24"/>
                <w:szCs w:val="24"/>
              </w:rPr>
              <w:t xml:space="preserve">. Ministerijos nuomone, būtina atsisakyti reikalavimo </w:t>
            </w:r>
            <w:r w:rsidRPr="00467BF0">
              <w:rPr>
                <w:rFonts w:ascii="Times New Roman" w:eastAsia="Calibri" w:hAnsi="Times New Roman"/>
                <w:sz w:val="24"/>
                <w:szCs w:val="24"/>
              </w:rPr>
              <w:t xml:space="preserve">atlikti formalius veiksmus ir už juos sumokėti notarams tais atvejais, </w:t>
            </w:r>
            <w:r w:rsidRPr="006A3DE6">
              <w:rPr>
                <w:rFonts w:ascii="Times New Roman" w:eastAsia="Calibri" w:hAnsi="Times New Roman"/>
                <w:sz w:val="24"/>
                <w:szCs w:val="24"/>
              </w:rPr>
              <w:t>kai tokios paslaugos vartotojams</w:t>
            </w:r>
            <w:r w:rsidR="007E66CF" w:rsidRPr="006A3DE6">
              <w:rPr>
                <w:rFonts w:ascii="Times New Roman" w:eastAsia="Calibri" w:hAnsi="Times New Roman"/>
                <w:sz w:val="24"/>
                <w:szCs w:val="24"/>
              </w:rPr>
              <w:t xml:space="preserve"> (</w:t>
            </w:r>
            <w:r w:rsidR="006A3DE6">
              <w:rPr>
                <w:rFonts w:ascii="Times New Roman" w:eastAsia="Calibri" w:hAnsi="Times New Roman"/>
                <w:sz w:val="24"/>
                <w:szCs w:val="24"/>
              </w:rPr>
              <w:t>ypač kalbant apie</w:t>
            </w:r>
            <w:r w:rsidR="007E66CF" w:rsidRPr="006A3DE6">
              <w:rPr>
                <w:rFonts w:ascii="Times New Roman" w:eastAsia="Calibri" w:hAnsi="Times New Roman"/>
                <w:sz w:val="24"/>
                <w:szCs w:val="24"/>
              </w:rPr>
              <w:t xml:space="preserve"> teisiškai išprus</w:t>
            </w:r>
            <w:r w:rsidR="006A3DE6">
              <w:rPr>
                <w:rFonts w:ascii="Times New Roman" w:eastAsia="Calibri" w:hAnsi="Times New Roman"/>
                <w:sz w:val="24"/>
                <w:szCs w:val="24"/>
              </w:rPr>
              <w:t>usius</w:t>
            </w:r>
            <w:r w:rsidR="00691995">
              <w:rPr>
                <w:rFonts w:ascii="Times New Roman" w:eastAsia="Calibri" w:hAnsi="Times New Roman"/>
                <w:sz w:val="24"/>
                <w:szCs w:val="24"/>
              </w:rPr>
              <w:t xml:space="preserve">, taip pat vartotojus, </w:t>
            </w:r>
            <w:r w:rsidR="007E66CF" w:rsidRPr="006A3DE6">
              <w:rPr>
                <w:rFonts w:ascii="Times New Roman" w:eastAsia="Calibri" w:hAnsi="Times New Roman"/>
                <w:sz w:val="24"/>
                <w:szCs w:val="24"/>
              </w:rPr>
              <w:t xml:space="preserve"> </w:t>
            </w:r>
            <w:r w:rsidR="006A3DE6">
              <w:rPr>
                <w:rFonts w:ascii="Times New Roman" w:eastAsia="Calibri" w:hAnsi="Times New Roman"/>
                <w:sz w:val="24"/>
                <w:szCs w:val="24"/>
              </w:rPr>
              <w:t xml:space="preserve">kuriems kilnojamojo turto įkeitimas yra </w:t>
            </w:r>
            <w:r w:rsidR="00691995">
              <w:rPr>
                <w:rFonts w:ascii="Times New Roman" w:eastAsia="Calibri" w:hAnsi="Times New Roman"/>
                <w:sz w:val="24"/>
                <w:szCs w:val="24"/>
              </w:rPr>
              <w:t>(</w:t>
            </w:r>
            <w:r w:rsidR="006A3DE6">
              <w:rPr>
                <w:rFonts w:ascii="Times New Roman" w:eastAsia="Calibri" w:hAnsi="Times New Roman"/>
                <w:sz w:val="24"/>
                <w:szCs w:val="24"/>
              </w:rPr>
              <w:t>gali tapti</w:t>
            </w:r>
            <w:r w:rsidR="00691995">
              <w:rPr>
                <w:rFonts w:ascii="Times New Roman" w:eastAsia="Calibri" w:hAnsi="Times New Roman"/>
                <w:sz w:val="24"/>
                <w:szCs w:val="24"/>
              </w:rPr>
              <w:t>)</w:t>
            </w:r>
            <w:r w:rsidR="006A3DE6">
              <w:rPr>
                <w:rFonts w:ascii="Times New Roman" w:eastAsia="Calibri" w:hAnsi="Times New Roman"/>
                <w:sz w:val="24"/>
                <w:szCs w:val="24"/>
              </w:rPr>
              <w:t xml:space="preserve"> nuolatinio pobūdžio verslo praktika</w:t>
            </w:r>
            <w:r w:rsidR="007E66CF" w:rsidRPr="006A3DE6">
              <w:rPr>
                <w:rFonts w:ascii="Times New Roman" w:eastAsia="Calibri" w:hAnsi="Times New Roman"/>
                <w:sz w:val="24"/>
                <w:szCs w:val="24"/>
              </w:rPr>
              <w:t>)</w:t>
            </w:r>
            <w:r w:rsidRPr="006A3DE6">
              <w:rPr>
                <w:rFonts w:ascii="Times New Roman" w:eastAsia="Calibri" w:hAnsi="Times New Roman"/>
                <w:sz w:val="24"/>
                <w:szCs w:val="24"/>
              </w:rPr>
              <w:t xml:space="preserve"> nėra reikalingos</w:t>
            </w:r>
            <w:r>
              <w:rPr>
                <w:rFonts w:ascii="Times New Roman" w:eastAsia="Calibri" w:hAnsi="Times New Roman"/>
                <w:sz w:val="24"/>
                <w:szCs w:val="24"/>
              </w:rPr>
              <w:t xml:space="preserve"> (pvz.</w:t>
            </w:r>
            <w:r w:rsidR="0023660B">
              <w:rPr>
                <w:rFonts w:ascii="Times New Roman" w:eastAsia="Calibri" w:hAnsi="Times New Roman"/>
                <w:sz w:val="24"/>
                <w:szCs w:val="24"/>
              </w:rPr>
              <w:t>,</w:t>
            </w:r>
            <w:r>
              <w:rPr>
                <w:rFonts w:ascii="Times New Roman" w:eastAsia="Calibri" w:hAnsi="Times New Roman"/>
                <w:sz w:val="24"/>
                <w:szCs w:val="24"/>
              </w:rPr>
              <w:t xml:space="preserve"> informuoti registrą apie pasibaigusią hipoteką, kai šalys pilna apimtimi įvykdė įsipareigojimus</w:t>
            </w:r>
            <w:r w:rsidR="00B66AC3">
              <w:rPr>
                <w:rFonts w:ascii="Times New Roman" w:eastAsia="Calibri" w:hAnsi="Times New Roman"/>
                <w:sz w:val="24"/>
                <w:szCs w:val="24"/>
              </w:rPr>
              <w:t xml:space="preserve"> ir kreditorius su tuo sutinka</w:t>
            </w:r>
            <w:r>
              <w:rPr>
                <w:rFonts w:ascii="Times New Roman" w:eastAsia="Calibri" w:hAnsi="Times New Roman"/>
                <w:sz w:val="24"/>
                <w:szCs w:val="24"/>
              </w:rPr>
              <w:t xml:space="preserve">). Pažymėtina, kad </w:t>
            </w:r>
            <w:r w:rsidR="00B66AC3">
              <w:rPr>
                <w:rFonts w:ascii="Times New Roman" w:eastAsia="Calibri" w:hAnsi="Times New Roman"/>
                <w:sz w:val="24"/>
                <w:szCs w:val="24"/>
              </w:rPr>
              <w:t>P</w:t>
            </w:r>
            <w:r>
              <w:rPr>
                <w:rFonts w:ascii="Times New Roman" w:eastAsia="Calibri" w:hAnsi="Times New Roman"/>
                <w:sz w:val="24"/>
                <w:szCs w:val="24"/>
              </w:rPr>
              <w:t>rojekta</w:t>
            </w:r>
            <w:r w:rsidR="00B66AC3">
              <w:rPr>
                <w:rFonts w:ascii="Times New Roman" w:eastAsia="Calibri" w:hAnsi="Times New Roman"/>
                <w:sz w:val="24"/>
                <w:szCs w:val="24"/>
              </w:rPr>
              <w:t>s</w:t>
            </w:r>
            <w:r>
              <w:rPr>
                <w:rFonts w:ascii="Times New Roman" w:eastAsia="Calibri" w:hAnsi="Times New Roman"/>
                <w:sz w:val="24"/>
                <w:szCs w:val="24"/>
              </w:rPr>
              <w:t xml:space="preserve"> be pastabų suderint</w:t>
            </w:r>
            <w:r w:rsidR="00B66AC3">
              <w:rPr>
                <w:rFonts w:ascii="Times New Roman" w:eastAsia="Calibri" w:hAnsi="Times New Roman"/>
                <w:sz w:val="24"/>
                <w:szCs w:val="24"/>
              </w:rPr>
              <w:t>as</w:t>
            </w:r>
            <w:r>
              <w:rPr>
                <w:rFonts w:ascii="Times New Roman" w:eastAsia="Calibri" w:hAnsi="Times New Roman"/>
                <w:sz w:val="24"/>
                <w:szCs w:val="24"/>
              </w:rPr>
              <w:t xml:space="preserve"> ir su vartotojų teises ginančia ir jos interesus atstovaujančia institucija – Valstybine vartotojų teisių apsaugos tarnyba.</w:t>
            </w:r>
          </w:p>
          <w:p w14:paraId="6AA77DD4" w14:textId="77777777" w:rsidR="00B66AC3" w:rsidRPr="007715B1" w:rsidRDefault="00B66AC3" w:rsidP="00B66AC3">
            <w:pPr>
              <w:pStyle w:val="Komentarotekstas"/>
              <w:tabs>
                <w:tab w:val="left" w:pos="1276"/>
              </w:tabs>
              <w:ind w:firstLine="317"/>
              <w:jc w:val="both"/>
              <w:rPr>
                <w:rFonts w:ascii="Times New Roman" w:eastAsia="Calibri" w:hAnsi="Times New Roman"/>
                <w:b/>
                <w:sz w:val="24"/>
                <w:szCs w:val="24"/>
              </w:rPr>
            </w:pPr>
          </w:p>
        </w:tc>
      </w:tr>
      <w:tr w:rsidR="00FD72C2" w:rsidRPr="000479E4" w14:paraId="153AB7A0" w14:textId="77777777" w:rsidTr="00ED3083">
        <w:trPr>
          <w:cantSplit/>
          <w:trHeight w:val="706"/>
        </w:trPr>
        <w:tc>
          <w:tcPr>
            <w:tcW w:w="1586" w:type="dxa"/>
            <w:gridSpan w:val="3"/>
            <w:vMerge/>
            <w:shd w:val="clear" w:color="auto" w:fill="auto"/>
          </w:tcPr>
          <w:p w14:paraId="443EF019" w14:textId="77777777" w:rsidR="00FD72C2"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tcBorders>
            <w:shd w:val="clear" w:color="auto" w:fill="auto"/>
          </w:tcPr>
          <w:p w14:paraId="3D8DC759" w14:textId="77777777" w:rsidR="00FD72C2" w:rsidRDefault="00FD72C2" w:rsidP="00FD72C2">
            <w:pPr>
              <w:pStyle w:val="Pagrindiniotekstotrauka"/>
              <w:ind w:firstLine="0"/>
              <w:rPr>
                <w:szCs w:val="24"/>
              </w:rPr>
            </w:pPr>
            <w:r>
              <w:rPr>
                <w:szCs w:val="24"/>
              </w:rPr>
              <w:t xml:space="preserve">6. „&lt;...&gt; </w:t>
            </w:r>
            <w:r w:rsidRPr="00FD72C2">
              <w:rPr>
                <w:szCs w:val="24"/>
              </w:rPr>
              <w:t>bet kokios diskusijos dėl</w:t>
            </w:r>
            <w:r>
              <w:rPr>
                <w:szCs w:val="24"/>
              </w:rPr>
              <w:t xml:space="preserve"> </w:t>
            </w:r>
            <w:r w:rsidRPr="00FD72C2">
              <w:rPr>
                <w:szCs w:val="24"/>
              </w:rPr>
              <w:t>teisės aktų keitimo galimos tik tada, kai bus įvertintas galiojančio reguliavimo veiksmingumas,</w:t>
            </w:r>
            <w:r>
              <w:rPr>
                <w:szCs w:val="24"/>
              </w:rPr>
              <w:t xml:space="preserve"> </w:t>
            </w:r>
            <w:r w:rsidRPr="00FD72C2">
              <w:rPr>
                <w:szCs w:val="24"/>
              </w:rPr>
              <w:t xml:space="preserve">t. y. atliktas nešališkas </w:t>
            </w:r>
            <w:r w:rsidRPr="00FD72C2">
              <w:rPr>
                <w:i/>
                <w:szCs w:val="24"/>
              </w:rPr>
              <w:t xml:space="preserve">ex post </w:t>
            </w:r>
            <w:r w:rsidRPr="00FD72C2">
              <w:rPr>
                <w:szCs w:val="24"/>
              </w:rPr>
              <w:t>vertinimas. Tik atlikus galiojančių teisės aktų efektyvumo analiz</w:t>
            </w:r>
            <w:r>
              <w:rPr>
                <w:szCs w:val="24"/>
              </w:rPr>
              <w:t>ę</w:t>
            </w:r>
            <w:r w:rsidRPr="00FD72C2">
              <w:rPr>
                <w:szCs w:val="24"/>
              </w:rPr>
              <w:t>,</w:t>
            </w:r>
            <w:r>
              <w:rPr>
                <w:szCs w:val="24"/>
              </w:rPr>
              <w:t xml:space="preserve"> </w:t>
            </w:r>
            <w:r w:rsidRPr="00FD72C2">
              <w:rPr>
                <w:szCs w:val="24"/>
              </w:rPr>
              <w:t>įvertinus rezu</w:t>
            </w:r>
            <w:r>
              <w:rPr>
                <w:szCs w:val="24"/>
              </w:rPr>
              <w:t>l</w:t>
            </w:r>
            <w:r w:rsidRPr="00FD72C2">
              <w:rPr>
                <w:szCs w:val="24"/>
              </w:rPr>
              <w:t>tatus, galima svarstyti dėl jų keitimo.</w:t>
            </w:r>
            <w:r>
              <w:rPr>
                <w:szCs w:val="24"/>
              </w:rPr>
              <w:t>“</w:t>
            </w:r>
          </w:p>
        </w:tc>
        <w:tc>
          <w:tcPr>
            <w:tcW w:w="8593" w:type="dxa"/>
            <w:tcBorders>
              <w:top w:val="single" w:sz="4" w:space="0" w:color="auto"/>
              <w:bottom w:val="single" w:sz="4" w:space="0" w:color="auto"/>
            </w:tcBorders>
            <w:shd w:val="clear" w:color="auto" w:fill="auto"/>
          </w:tcPr>
          <w:p w14:paraId="03257A20" w14:textId="77777777" w:rsidR="00FD72C2" w:rsidRDefault="00FD72C2" w:rsidP="00B66AC3">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4FCADA77" w14:textId="77777777" w:rsidR="00FD72C2" w:rsidRDefault="00FD72C2" w:rsidP="00B66AC3">
            <w:pPr>
              <w:pStyle w:val="Komentarotekstas"/>
              <w:tabs>
                <w:tab w:val="left" w:pos="1276"/>
              </w:tabs>
              <w:ind w:firstLine="317"/>
              <w:jc w:val="both"/>
              <w:rPr>
                <w:rFonts w:ascii="Times New Roman" w:eastAsia="Calibri" w:hAnsi="Times New Roman"/>
                <w:sz w:val="24"/>
                <w:szCs w:val="24"/>
              </w:rPr>
            </w:pPr>
            <w:r w:rsidRPr="008677A1">
              <w:rPr>
                <w:rFonts w:ascii="Times New Roman" w:eastAsia="Calibri" w:hAnsi="Times New Roman"/>
                <w:i/>
                <w:sz w:val="24"/>
                <w:szCs w:val="24"/>
              </w:rPr>
              <w:t>Ex post</w:t>
            </w:r>
            <w:r w:rsidRPr="008677A1">
              <w:rPr>
                <w:rFonts w:ascii="Times New Roman" w:eastAsia="Calibri" w:hAnsi="Times New Roman"/>
                <w:sz w:val="24"/>
                <w:szCs w:val="24"/>
              </w:rPr>
              <w:t xml:space="preserve"> (paskesnysis) vertinimas siejamas su faktinio teisinio reguliavimo poveikio vertinimu, jo metu vertinama ar pasiekti teisės aktui kelti tikslai, kokių teigiamų ir neigiamų pasekmių kilo įgyvendinant teisės aktą. Šio vertinimo taikymo apimtis ir detalumas skirtingose šalyse yra nevienodas. Lietuvoje nėra aiškiai apibrėžtos bendros pareigos atlikti </w:t>
            </w:r>
            <w:r w:rsidRPr="008677A1">
              <w:rPr>
                <w:rFonts w:ascii="Times New Roman" w:eastAsia="Calibri" w:hAnsi="Times New Roman"/>
                <w:i/>
                <w:sz w:val="24"/>
                <w:szCs w:val="24"/>
              </w:rPr>
              <w:t>ex post</w:t>
            </w:r>
            <w:r w:rsidRPr="008677A1">
              <w:rPr>
                <w:rFonts w:ascii="Times New Roman" w:eastAsia="Calibri" w:hAnsi="Times New Roman"/>
                <w:sz w:val="24"/>
                <w:szCs w:val="24"/>
              </w:rPr>
              <w:t xml:space="preserve"> vertinimą</w:t>
            </w:r>
            <w:r>
              <w:rPr>
                <w:rFonts w:ascii="Times New Roman" w:eastAsia="Calibri" w:hAnsi="Times New Roman"/>
                <w:sz w:val="24"/>
                <w:szCs w:val="24"/>
              </w:rPr>
              <w:t xml:space="preserve">, o Teisėkūros pagrindų įstatyme </w:t>
            </w:r>
            <w:r w:rsidRPr="008677A1">
              <w:rPr>
                <w:rFonts w:ascii="Times New Roman" w:eastAsia="Calibri" w:hAnsi="Times New Roman"/>
                <w:sz w:val="24"/>
                <w:szCs w:val="24"/>
              </w:rPr>
              <w:t>jis įvardijamas terminu „Teisinio reguliavimo stebėsena</w:t>
            </w:r>
            <w:r>
              <w:rPr>
                <w:rFonts w:ascii="Times New Roman" w:eastAsia="Calibri" w:hAnsi="Times New Roman"/>
                <w:sz w:val="24"/>
                <w:szCs w:val="24"/>
              </w:rPr>
              <w:t>“, kurią reglamentuoja</w:t>
            </w:r>
            <w:r w:rsidRPr="008677A1">
              <w:rPr>
                <w:rFonts w:ascii="Times New Roman" w:eastAsia="Calibri" w:hAnsi="Times New Roman"/>
                <w:sz w:val="24"/>
                <w:szCs w:val="24"/>
              </w:rPr>
              <w:t xml:space="preserve"> 23 str. ir 24 str.</w:t>
            </w:r>
            <w:r>
              <w:rPr>
                <w:rFonts w:ascii="Times New Roman" w:eastAsia="Calibri" w:hAnsi="Times New Roman"/>
                <w:sz w:val="24"/>
                <w:szCs w:val="24"/>
              </w:rPr>
              <w:t xml:space="preserve"> Teisingumo ministerija visada pasisakė už </w:t>
            </w:r>
            <w:r>
              <w:rPr>
                <w:rFonts w:ascii="Times New Roman" w:eastAsia="Calibri" w:hAnsi="Times New Roman"/>
                <w:i/>
                <w:sz w:val="24"/>
                <w:szCs w:val="24"/>
              </w:rPr>
              <w:t xml:space="preserve">ex post </w:t>
            </w:r>
            <w:r>
              <w:rPr>
                <w:rFonts w:ascii="Times New Roman" w:eastAsia="Calibri" w:hAnsi="Times New Roman"/>
                <w:sz w:val="24"/>
                <w:szCs w:val="24"/>
              </w:rPr>
              <w:t xml:space="preserve">vertinimą ir net dalyvauja šio vertinimo formalizavimo procese, tačiau nesutinka su argumentais, kad siekiant </w:t>
            </w:r>
            <w:r w:rsidRPr="00436573">
              <w:rPr>
                <w:rFonts w:ascii="Times New Roman" w:eastAsia="Calibri" w:hAnsi="Times New Roman"/>
                <w:sz w:val="24"/>
                <w:szCs w:val="24"/>
              </w:rPr>
              <w:t>patobulinti veikiančią sistemą atsisakant nereikalingų formalumų ir supaprastinant kai kuriuos procesus (iš esmės nekeičiant teisinio reguliavimo), būtina atlikti visos, nuo 2012 m. veikiančios sistemos</w:t>
            </w:r>
            <w:r w:rsidRPr="00436573">
              <w:rPr>
                <w:rFonts w:ascii="Times New Roman" w:eastAsia="Calibri" w:hAnsi="Times New Roman"/>
                <w:i/>
                <w:sz w:val="24"/>
                <w:szCs w:val="24"/>
              </w:rPr>
              <w:t xml:space="preserve"> ex post</w:t>
            </w:r>
            <w:r w:rsidRPr="00436573">
              <w:rPr>
                <w:rFonts w:ascii="Times New Roman" w:eastAsia="Calibri" w:hAnsi="Times New Roman"/>
                <w:sz w:val="24"/>
                <w:szCs w:val="24"/>
              </w:rPr>
              <w:t xml:space="preserve"> vertinimą.</w:t>
            </w:r>
          </w:p>
          <w:p w14:paraId="342BF3F4" w14:textId="77777777" w:rsidR="00FD72C2" w:rsidRPr="008677A1" w:rsidRDefault="00FD72C2" w:rsidP="00FD72C2">
            <w:pPr>
              <w:pStyle w:val="Komentarotekstas"/>
              <w:tabs>
                <w:tab w:val="left" w:pos="1276"/>
              </w:tabs>
              <w:jc w:val="both"/>
              <w:rPr>
                <w:rFonts w:ascii="Times New Roman" w:eastAsia="Calibri" w:hAnsi="Times New Roman"/>
                <w:sz w:val="24"/>
                <w:szCs w:val="24"/>
              </w:rPr>
            </w:pPr>
          </w:p>
        </w:tc>
      </w:tr>
      <w:tr w:rsidR="00FD72C2" w:rsidRPr="000479E4" w14:paraId="2C69C5F2" w14:textId="77777777" w:rsidTr="00ED3083">
        <w:trPr>
          <w:cantSplit/>
          <w:trHeight w:val="2406"/>
        </w:trPr>
        <w:tc>
          <w:tcPr>
            <w:tcW w:w="1586" w:type="dxa"/>
            <w:gridSpan w:val="3"/>
            <w:vMerge/>
            <w:shd w:val="clear" w:color="auto" w:fill="auto"/>
          </w:tcPr>
          <w:p w14:paraId="08A342C1" w14:textId="77777777" w:rsidR="00FD72C2" w:rsidRDefault="00FD72C2"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7A44A07B" w14:textId="77777777" w:rsidR="00FD72C2" w:rsidRDefault="002117C6" w:rsidP="00784B27">
            <w:pPr>
              <w:pStyle w:val="Pagrindiniotekstotrauka"/>
              <w:ind w:firstLine="0"/>
              <w:rPr>
                <w:szCs w:val="24"/>
              </w:rPr>
            </w:pPr>
            <w:r>
              <w:rPr>
                <w:szCs w:val="24"/>
              </w:rPr>
              <w:t xml:space="preserve">7. </w:t>
            </w:r>
            <w:r w:rsidR="00784B27">
              <w:rPr>
                <w:szCs w:val="24"/>
              </w:rPr>
              <w:t xml:space="preserve">Dėl </w:t>
            </w:r>
            <w:r w:rsidR="00E8694A" w:rsidRPr="00E8694A">
              <w:rPr>
                <w:szCs w:val="24"/>
              </w:rPr>
              <w:t>Pasaulio banko atliekam</w:t>
            </w:r>
            <w:r w:rsidR="00784B27">
              <w:rPr>
                <w:szCs w:val="24"/>
              </w:rPr>
              <w:t>o</w:t>
            </w:r>
            <w:r w:rsidR="00E8694A" w:rsidRPr="00E8694A">
              <w:rPr>
                <w:szCs w:val="24"/>
              </w:rPr>
              <w:t xml:space="preserve"> „Doing Business“ tyrim</w:t>
            </w:r>
            <w:r w:rsidR="00784B27">
              <w:rPr>
                <w:szCs w:val="24"/>
              </w:rPr>
              <w:t>o</w:t>
            </w:r>
            <w:r w:rsidR="00E8694A" w:rsidRPr="00E8694A">
              <w:rPr>
                <w:szCs w:val="24"/>
              </w:rPr>
              <w:t xml:space="preserve"> </w:t>
            </w:r>
            <w:r w:rsidR="00784B27">
              <w:rPr>
                <w:szCs w:val="24"/>
              </w:rPr>
              <w:t>„</w:t>
            </w:r>
            <w:r>
              <w:rPr>
                <w:szCs w:val="24"/>
              </w:rPr>
              <w:t xml:space="preserve">&lt;...&gt; </w:t>
            </w:r>
            <w:r w:rsidRPr="002117C6">
              <w:rPr>
                <w:szCs w:val="24"/>
              </w:rPr>
              <w:t>nepaaiškina, kurie konkrečiai rodikliai ir kodėl būtų</w:t>
            </w:r>
            <w:r>
              <w:rPr>
                <w:szCs w:val="24"/>
              </w:rPr>
              <w:t xml:space="preserve"> </w:t>
            </w:r>
            <w:r w:rsidRPr="002117C6">
              <w:rPr>
                <w:szCs w:val="24"/>
              </w:rPr>
              <w:t>pagerinti, taip pat neįvertina kitų rodiklių pabloginimo rizikos.</w:t>
            </w:r>
            <w:r>
              <w:rPr>
                <w:szCs w:val="24"/>
              </w:rPr>
              <w:t>“</w:t>
            </w:r>
          </w:p>
        </w:tc>
        <w:tc>
          <w:tcPr>
            <w:tcW w:w="8593" w:type="dxa"/>
            <w:tcBorders>
              <w:top w:val="single" w:sz="4" w:space="0" w:color="auto"/>
              <w:bottom w:val="single" w:sz="4" w:space="0" w:color="auto"/>
            </w:tcBorders>
            <w:shd w:val="clear" w:color="auto" w:fill="auto"/>
          </w:tcPr>
          <w:p w14:paraId="35CD7BA1" w14:textId="77777777" w:rsidR="00784B27" w:rsidRDefault="00784B27" w:rsidP="005F4F2C">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270CAD86" w14:textId="77777777" w:rsidR="00FD72C2" w:rsidRDefault="00AD545E" w:rsidP="005F4F2C">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sz w:val="24"/>
                <w:szCs w:val="24"/>
              </w:rPr>
              <w:t>Lietuvos notarų</w:t>
            </w:r>
            <w:r w:rsidR="005F4F2C">
              <w:rPr>
                <w:rFonts w:ascii="Times New Roman" w:eastAsia="Calibri" w:hAnsi="Times New Roman"/>
                <w:sz w:val="24"/>
                <w:szCs w:val="24"/>
              </w:rPr>
              <w:t xml:space="preserve"> rūmai teigia, jog nenurodomas P</w:t>
            </w:r>
            <w:r>
              <w:rPr>
                <w:rFonts w:ascii="Times New Roman" w:eastAsia="Calibri" w:hAnsi="Times New Roman"/>
                <w:sz w:val="24"/>
                <w:szCs w:val="24"/>
              </w:rPr>
              <w:t xml:space="preserve">rojektu siekiamas pagerinti „Doing Business“ </w:t>
            </w:r>
            <w:r w:rsidR="007B10A3" w:rsidRPr="007B10A3">
              <w:rPr>
                <w:rFonts w:ascii="Times New Roman" w:eastAsia="Calibri" w:hAnsi="Times New Roman"/>
                <w:sz w:val="24"/>
                <w:szCs w:val="24"/>
              </w:rPr>
              <w:t xml:space="preserve">ataskaitoje </w:t>
            </w:r>
            <w:r w:rsidR="007B10A3">
              <w:rPr>
                <w:rFonts w:ascii="Times New Roman" w:eastAsia="Calibri" w:hAnsi="Times New Roman"/>
                <w:sz w:val="24"/>
                <w:szCs w:val="24"/>
              </w:rPr>
              <w:t xml:space="preserve">nurodytas </w:t>
            </w:r>
            <w:r w:rsidR="007B10A3" w:rsidRPr="007B10A3">
              <w:rPr>
                <w:rFonts w:ascii="Times New Roman" w:eastAsia="Calibri" w:hAnsi="Times New Roman"/>
                <w:sz w:val="24"/>
                <w:szCs w:val="24"/>
              </w:rPr>
              <w:t>verslo aplink</w:t>
            </w:r>
            <w:r w:rsidR="007B10A3">
              <w:rPr>
                <w:rFonts w:ascii="Times New Roman" w:eastAsia="Calibri" w:hAnsi="Times New Roman"/>
                <w:sz w:val="24"/>
                <w:szCs w:val="24"/>
              </w:rPr>
              <w:t>os</w:t>
            </w:r>
            <w:r w:rsidR="007B10A3" w:rsidRPr="007B10A3">
              <w:rPr>
                <w:rFonts w:ascii="Times New Roman" w:eastAsia="Calibri" w:hAnsi="Times New Roman"/>
                <w:sz w:val="24"/>
                <w:szCs w:val="24"/>
              </w:rPr>
              <w:t xml:space="preserve"> vertin</w:t>
            </w:r>
            <w:r w:rsidR="007B10A3">
              <w:rPr>
                <w:rFonts w:ascii="Times New Roman" w:eastAsia="Calibri" w:hAnsi="Times New Roman"/>
                <w:sz w:val="24"/>
                <w:szCs w:val="24"/>
              </w:rPr>
              <w:t>imo</w:t>
            </w:r>
            <w:r w:rsidR="007B10A3" w:rsidRPr="007B10A3">
              <w:rPr>
                <w:rFonts w:ascii="Times New Roman" w:eastAsia="Calibri" w:hAnsi="Times New Roman"/>
                <w:sz w:val="24"/>
                <w:szCs w:val="24"/>
              </w:rPr>
              <w:t xml:space="preserve"> </w:t>
            </w:r>
            <w:r>
              <w:rPr>
                <w:rFonts w:ascii="Times New Roman" w:eastAsia="Calibri" w:hAnsi="Times New Roman"/>
                <w:sz w:val="24"/>
                <w:szCs w:val="24"/>
              </w:rPr>
              <w:t xml:space="preserve">rodiklis, tačiau vėliau patys </w:t>
            </w:r>
            <w:r w:rsidR="005F4F2C">
              <w:rPr>
                <w:rFonts w:ascii="Times New Roman" w:eastAsia="Calibri" w:hAnsi="Times New Roman"/>
                <w:sz w:val="24"/>
                <w:szCs w:val="24"/>
              </w:rPr>
              <w:t>įvardija</w:t>
            </w:r>
            <w:r>
              <w:rPr>
                <w:rFonts w:ascii="Times New Roman" w:eastAsia="Calibri" w:hAnsi="Times New Roman"/>
                <w:sz w:val="24"/>
                <w:szCs w:val="24"/>
              </w:rPr>
              <w:t>, jog šis rodiklis yra „kredito gavimas“.</w:t>
            </w:r>
            <w:r w:rsidR="00360E55">
              <w:rPr>
                <w:rFonts w:ascii="Times New Roman" w:eastAsia="Calibri" w:hAnsi="Times New Roman"/>
                <w:sz w:val="24"/>
                <w:szCs w:val="24"/>
              </w:rPr>
              <w:t xml:space="preserve"> </w:t>
            </w:r>
            <w:r w:rsidR="00784B27">
              <w:rPr>
                <w:rFonts w:ascii="Times New Roman" w:eastAsia="Calibri" w:hAnsi="Times New Roman"/>
                <w:sz w:val="24"/>
                <w:szCs w:val="24"/>
              </w:rPr>
              <w:t>„Doing Business“ tyrimo tikslas visuomet buvo verslo sąlygų gerinimas, kartu ir procedūrų supaprasti</w:t>
            </w:r>
            <w:r w:rsidR="005F4F2C">
              <w:rPr>
                <w:rFonts w:ascii="Times New Roman" w:eastAsia="Calibri" w:hAnsi="Times New Roman"/>
                <w:sz w:val="24"/>
                <w:szCs w:val="24"/>
              </w:rPr>
              <w:t>nimas, ko ir siekiama teikiamu P</w:t>
            </w:r>
            <w:r w:rsidR="00784B27">
              <w:rPr>
                <w:rFonts w:ascii="Times New Roman" w:eastAsia="Calibri" w:hAnsi="Times New Roman"/>
                <w:sz w:val="24"/>
                <w:szCs w:val="24"/>
              </w:rPr>
              <w:t xml:space="preserve">rojektu. Todėl Lietuvos notarų rūmų argumentai, neva „sukeliama reali rizika pabloginti kitus geriausius rodiklius“, yra spekuliatyvūs ir </w:t>
            </w:r>
            <w:r w:rsidR="00784B27" w:rsidRPr="00467BF0">
              <w:rPr>
                <w:rFonts w:ascii="Times New Roman" w:eastAsia="Calibri" w:hAnsi="Times New Roman"/>
                <w:sz w:val="24"/>
                <w:szCs w:val="24"/>
              </w:rPr>
              <w:t>nepagrįsti, nes formalumų atsisakymas jokiu būdu nekelia grėsmės teisinei sistemai.</w:t>
            </w:r>
          </w:p>
        </w:tc>
      </w:tr>
      <w:tr w:rsidR="002F263C" w:rsidRPr="000479E4" w14:paraId="239B067B" w14:textId="77777777" w:rsidTr="00ED3083">
        <w:trPr>
          <w:cantSplit/>
          <w:trHeight w:val="45"/>
        </w:trPr>
        <w:tc>
          <w:tcPr>
            <w:tcW w:w="1586" w:type="dxa"/>
            <w:gridSpan w:val="3"/>
            <w:shd w:val="clear" w:color="auto" w:fill="auto"/>
          </w:tcPr>
          <w:p w14:paraId="70DBADB4" w14:textId="77777777" w:rsidR="002F263C" w:rsidRDefault="002F263C"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36A3B599" w14:textId="77777777" w:rsidR="002F263C" w:rsidRDefault="00C002A8" w:rsidP="00FD72C2">
            <w:pPr>
              <w:pStyle w:val="Pagrindiniotekstotrauka"/>
              <w:ind w:firstLine="0"/>
              <w:rPr>
                <w:szCs w:val="24"/>
              </w:rPr>
            </w:pPr>
            <w:r>
              <w:rPr>
                <w:szCs w:val="24"/>
              </w:rPr>
              <w:t>8. Pasikartojančios pastabos dėl notarinės įkeitimo sandorių formos:</w:t>
            </w:r>
          </w:p>
          <w:p w14:paraId="417A74F1" w14:textId="77777777" w:rsidR="00711921" w:rsidRDefault="00C002A8" w:rsidP="00711921">
            <w:pPr>
              <w:pStyle w:val="Pagrindiniotekstotrauka"/>
              <w:ind w:firstLine="459"/>
              <w:rPr>
                <w:szCs w:val="24"/>
              </w:rPr>
            </w:pPr>
            <w:r>
              <w:rPr>
                <w:szCs w:val="24"/>
              </w:rPr>
              <w:t>„</w:t>
            </w:r>
            <w:r w:rsidRPr="00C002A8">
              <w:rPr>
                <w:szCs w:val="24"/>
              </w:rPr>
              <w:t>Civilinio kodekso l knygos „Bendrosios</w:t>
            </w:r>
            <w:r>
              <w:rPr>
                <w:szCs w:val="24"/>
              </w:rPr>
              <w:t xml:space="preserve"> </w:t>
            </w:r>
            <w:r w:rsidRPr="00C002A8">
              <w:rPr>
                <w:szCs w:val="24"/>
              </w:rPr>
              <w:t>nuostatos“ komentare taip pat nurodoma</w:t>
            </w:r>
            <w:r w:rsidR="00711921">
              <w:rPr>
                <w:szCs w:val="24"/>
              </w:rPr>
              <w:t>,</w:t>
            </w:r>
            <w:r w:rsidRPr="00C002A8">
              <w:rPr>
                <w:szCs w:val="24"/>
              </w:rPr>
              <w:t xml:space="preserve"> kad „notarine forma sudaromi sandoriai svarbūs ne tik</w:t>
            </w:r>
            <w:r>
              <w:rPr>
                <w:szCs w:val="24"/>
              </w:rPr>
              <w:t xml:space="preserve"> </w:t>
            </w:r>
            <w:r w:rsidRPr="00C002A8">
              <w:rPr>
                <w:szCs w:val="24"/>
              </w:rPr>
              <w:t>juos sudarantiems asmenims, bet ir visuomenei“ ir pirmiausia nurodoma, kad „notarine forma</w:t>
            </w:r>
            <w:r>
              <w:rPr>
                <w:szCs w:val="24"/>
              </w:rPr>
              <w:t xml:space="preserve"> </w:t>
            </w:r>
            <w:r w:rsidRPr="00C002A8">
              <w:rPr>
                <w:szCs w:val="24"/>
              </w:rPr>
              <w:t>turi būti sudaromi daiktinių teisių (nuosavybės teis</w:t>
            </w:r>
            <w:r w:rsidR="00711921">
              <w:rPr>
                <w:szCs w:val="24"/>
              </w:rPr>
              <w:t>ė</w:t>
            </w:r>
            <w:r w:rsidRPr="00C002A8">
              <w:rPr>
                <w:szCs w:val="24"/>
              </w:rPr>
              <w:t>s, valdymo teisės, hipotekos, servitutų,</w:t>
            </w:r>
            <w:r>
              <w:rPr>
                <w:szCs w:val="24"/>
              </w:rPr>
              <w:t xml:space="preserve"> </w:t>
            </w:r>
            <w:r w:rsidRPr="00C002A8">
              <w:rPr>
                <w:szCs w:val="24"/>
              </w:rPr>
              <w:t>uzufrukto, ilgalaik</w:t>
            </w:r>
            <w:r w:rsidR="00711921">
              <w:rPr>
                <w:szCs w:val="24"/>
              </w:rPr>
              <w:t>ė</w:t>
            </w:r>
            <w:r w:rsidRPr="00C002A8">
              <w:rPr>
                <w:szCs w:val="24"/>
              </w:rPr>
              <w:t xml:space="preserve">s nuomos ir kt.) </w:t>
            </w:r>
            <w:r>
              <w:rPr>
                <w:szCs w:val="24"/>
              </w:rPr>
              <w:t>į</w:t>
            </w:r>
            <w:r w:rsidRPr="00C002A8">
              <w:rPr>
                <w:szCs w:val="24"/>
              </w:rPr>
              <w:t xml:space="preserve"> nekilnojamąjį daikt</w:t>
            </w:r>
            <w:r>
              <w:rPr>
                <w:szCs w:val="24"/>
              </w:rPr>
              <w:t>ą</w:t>
            </w:r>
            <w:r w:rsidRPr="00C002A8">
              <w:rPr>
                <w:szCs w:val="24"/>
              </w:rPr>
              <w:t xml:space="preserve"> (žemę, pastatus ir statinius) perleidimo</w:t>
            </w:r>
            <w:r>
              <w:rPr>
                <w:szCs w:val="24"/>
              </w:rPr>
              <w:t xml:space="preserve"> </w:t>
            </w:r>
            <w:r w:rsidRPr="00C002A8">
              <w:rPr>
                <w:szCs w:val="24"/>
              </w:rPr>
              <w:t>ir suvaržymo sandoriai“</w:t>
            </w:r>
            <w:r>
              <w:rPr>
                <w:szCs w:val="24"/>
              </w:rPr>
              <w:t>.</w:t>
            </w:r>
            <w:r w:rsidRPr="00C002A8">
              <w:rPr>
                <w:szCs w:val="24"/>
              </w:rPr>
              <w:t xml:space="preserve"> Prof. habil. dr. V</w:t>
            </w:r>
            <w:r>
              <w:rPr>
                <w:szCs w:val="24"/>
              </w:rPr>
              <w:t>.</w:t>
            </w:r>
            <w:r w:rsidR="00711921">
              <w:rPr>
                <w:szCs w:val="24"/>
              </w:rPr>
              <w:t> </w:t>
            </w:r>
            <w:r w:rsidRPr="00C002A8">
              <w:rPr>
                <w:szCs w:val="24"/>
              </w:rPr>
              <w:t>Mikel</w:t>
            </w:r>
            <w:r>
              <w:rPr>
                <w:szCs w:val="24"/>
              </w:rPr>
              <w:t>ė</w:t>
            </w:r>
            <w:r w:rsidRPr="00C002A8">
              <w:rPr>
                <w:szCs w:val="24"/>
              </w:rPr>
              <w:t>nas nurodo, kad „Tikslinga nustatyti</w:t>
            </w:r>
            <w:r>
              <w:rPr>
                <w:szCs w:val="24"/>
              </w:rPr>
              <w:t xml:space="preserve"> </w:t>
            </w:r>
            <w:r w:rsidRPr="00C002A8">
              <w:rPr>
                <w:szCs w:val="24"/>
              </w:rPr>
              <w:t>priva</w:t>
            </w:r>
            <w:r>
              <w:rPr>
                <w:szCs w:val="24"/>
              </w:rPr>
              <w:t>l</w:t>
            </w:r>
            <w:r w:rsidRPr="00C002A8">
              <w:rPr>
                <w:szCs w:val="24"/>
              </w:rPr>
              <w:t>omą notarinę formą daiktinių teisių į nekilnojamuosius daiktus perleidimo ar šių teisių</w:t>
            </w:r>
            <w:r>
              <w:rPr>
                <w:szCs w:val="24"/>
              </w:rPr>
              <w:t xml:space="preserve"> </w:t>
            </w:r>
            <w:r w:rsidRPr="00C002A8">
              <w:rPr>
                <w:szCs w:val="24"/>
              </w:rPr>
              <w:t>suvaržymo sandoriams, nes toki</w:t>
            </w:r>
            <w:r>
              <w:rPr>
                <w:szCs w:val="24"/>
              </w:rPr>
              <w:t>ų</w:t>
            </w:r>
            <w:r w:rsidRPr="00C002A8">
              <w:rPr>
                <w:szCs w:val="24"/>
              </w:rPr>
              <w:t xml:space="preserve"> sandorių kaina paprastai yra </w:t>
            </w:r>
            <w:r>
              <w:rPr>
                <w:szCs w:val="24"/>
              </w:rPr>
              <w:t>l</w:t>
            </w:r>
            <w:r w:rsidRPr="00C002A8">
              <w:rPr>
                <w:szCs w:val="24"/>
              </w:rPr>
              <w:t>abai didelė, o žmogus per savo</w:t>
            </w:r>
            <w:r>
              <w:rPr>
                <w:szCs w:val="24"/>
              </w:rPr>
              <w:t xml:space="preserve"> </w:t>
            </w:r>
            <w:r w:rsidRPr="00C002A8">
              <w:rPr>
                <w:szCs w:val="24"/>
              </w:rPr>
              <w:t>gyvenimą tokių svarbių sandorių tesudaro vieną kitą“. Tiek hipoteka, tiek įkeitimas yra</w:t>
            </w:r>
            <w:r>
              <w:rPr>
                <w:szCs w:val="24"/>
              </w:rPr>
              <w:t xml:space="preserve"> </w:t>
            </w:r>
            <w:r w:rsidRPr="00C002A8">
              <w:rPr>
                <w:szCs w:val="24"/>
              </w:rPr>
              <w:t>daiktinės teisės</w:t>
            </w:r>
            <w:r>
              <w:rPr>
                <w:szCs w:val="24"/>
              </w:rPr>
              <w:t>. Š</w:t>
            </w:r>
            <w:r w:rsidRPr="00C002A8">
              <w:rPr>
                <w:szCs w:val="24"/>
              </w:rPr>
              <w:t>ie sandoriai turi didelės įtakos patiems juos sudarantiems asmenims (ypač</w:t>
            </w:r>
            <w:r>
              <w:rPr>
                <w:szCs w:val="24"/>
              </w:rPr>
              <w:t xml:space="preserve"> </w:t>
            </w:r>
            <w:r w:rsidRPr="00C002A8">
              <w:rPr>
                <w:szCs w:val="24"/>
              </w:rPr>
              <w:t>sko</w:t>
            </w:r>
            <w:r>
              <w:rPr>
                <w:szCs w:val="24"/>
              </w:rPr>
              <w:t>l</w:t>
            </w:r>
            <w:r w:rsidRPr="00C002A8">
              <w:rPr>
                <w:szCs w:val="24"/>
              </w:rPr>
              <w:t>ininkui ir įkaito davėjui), tiek tretiesiems asmenims. Notaras, būdamas bešališkas, užtikrina</w:t>
            </w:r>
            <w:r>
              <w:rPr>
                <w:szCs w:val="24"/>
              </w:rPr>
              <w:t xml:space="preserve"> </w:t>
            </w:r>
            <w:r w:rsidRPr="00C002A8">
              <w:rPr>
                <w:szCs w:val="24"/>
              </w:rPr>
              <w:t>abiejų sandorio šalių in</w:t>
            </w:r>
            <w:r>
              <w:rPr>
                <w:szCs w:val="24"/>
              </w:rPr>
              <w:t>teresus. Notaras taip pat užtikri</w:t>
            </w:r>
            <w:r w:rsidRPr="00C002A8">
              <w:rPr>
                <w:szCs w:val="24"/>
              </w:rPr>
              <w:t>na pažeidžiamų asmenų teisių ir teisėtų</w:t>
            </w:r>
            <w:r>
              <w:rPr>
                <w:szCs w:val="24"/>
              </w:rPr>
              <w:t xml:space="preserve"> </w:t>
            </w:r>
            <w:r w:rsidRPr="00C002A8">
              <w:rPr>
                <w:szCs w:val="24"/>
              </w:rPr>
              <w:t>interesų apsaugą.</w:t>
            </w:r>
            <w:r w:rsidR="00711921">
              <w:rPr>
                <w:szCs w:val="24"/>
              </w:rPr>
              <w:t xml:space="preserve">&lt;...&gt; </w:t>
            </w:r>
          </w:p>
          <w:p w14:paraId="11E50A89" w14:textId="77777777" w:rsidR="007F75E0" w:rsidRDefault="007F75E0" w:rsidP="00711921">
            <w:pPr>
              <w:pStyle w:val="Pagrindiniotekstotrauka"/>
              <w:ind w:firstLine="459"/>
              <w:rPr>
                <w:szCs w:val="24"/>
              </w:rPr>
            </w:pPr>
            <w:r w:rsidRPr="007F75E0">
              <w:rPr>
                <w:szCs w:val="24"/>
              </w:rPr>
              <w:t>Notaro vaidmuo svarbus ir juridinių asmenų sudaromų įkeitimo sandorių atveju, nes</w:t>
            </w:r>
            <w:r>
              <w:rPr>
                <w:szCs w:val="24"/>
              </w:rPr>
              <w:t xml:space="preserve"> </w:t>
            </w:r>
            <w:r w:rsidRPr="007F75E0">
              <w:rPr>
                <w:szCs w:val="24"/>
              </w:rPr>
              <w:t>Akcinių bendrovių įstatymas taip pat numato imperatyvias nuostatas, susijusias su juridinių</w:t>
            </w:r>
            <w:r>
              <w:rPr>
                <w:szCs w:val="24"/>
              </w:rPr>
              <w:t xml:space="preserve"> </w:t>
            </w:r>
            <w:r w:rsidRPr="007F75E0">
              <w:rPr>
                <w:szCs w:val="24"/>
              </w:rPr>
              <w:t>asmenų sudaromais įkeitimo sa</w:t>
            </w:r>
            <w:r>
              <w:rPr>
                <w:szCs w:val="24"/>
              </w:rPr>
              <w:t>ndor</w:t>
            </w:r>
            <w:r w:rsidRPr="007F75E0">
              <w:rPr>
                <w:szCs w:val="24"/>
              </w:rPr>
              <w:t>iais.</w:t>
            </w:r>
          </w:p>
          <w:p w14:paraId="1AD1DA1A" w14:textId="77777777" w:rsidR="00711921" w:rsidRDefault="00547D5F" w:rsidP="00711921">
            <w:pPr>
              <w:pStyle w:val="Pagrindiniotekstotrauka"/>
              <w:ind w:firstLine="317"/>
              <w:rPr>
                <w:szCs w:val="24"/>
              </w:rPr>
            </w:pPr>
            <w:r>
              <w:rPr>
                <w:szCs w:val="24"/>
              </w:rPr>
              <w:t>&lt;...&gt;</w:t>
            </w:r>
            <w:r w:rsidRPr="00547D5F">
              <w:rPr>
                <w:szCs w:val="24"/>
              </w:rPr>
              <w:t>Sudarant įkeitimo sandorius informacinių</w:t>
            </w:r>
            <w:r>
              <w:rPr>
                <w:szCs w:val="24"/>
              </w:rPr>
              <w:t xml:space="preserve"> </w:t>
            </w:r>
            <w:r w:rsidRPr="00547D5F">
              <w:rPr>
                <w:szCs w:val="24"/>
              </w:rPr>
              <w:t>technologijų priemonėmis paprastai kreditoriumi bus bankas. Bankas yra profesionalas ir</w:t>
            </w:r>
            <w:r>
              <w:rPr>
                <w:szCs w:val="24"/>
              </w:rPr>
              <w:t xml:space="preserve"> </w:t>
            </w:r>
            <w:r w:rsidRPr="00547D5F">
              <w:rPr>
                <w:szCs w:val="24"/>
              </w:rPr>
              <w:t xml:space="preserve">stipresnioji sandorio šalis. Taip </w:t>
            </w:r>
            <w:r w:rsidRPr="00547D5F">
              <w:rPr>
                <w:szCs w:val="24"/>
              </w:rPr>
              <w:lastRenderedPageBreak/>
              <w:t>pat bankas yra suinteresuotas dėl sandorio sudarymo jam kuo</w:t>
            </w:r>
            <w:r>
              <w:rPr>
                <w:szCs w:val="24"/>
              </w:rPr>
              <w:t xml:space="preserve"> </w:t>
            </w:r>
            <w:r w:rsidRPr="00547D5F">
              <w:rPr>
                <w:szCs w:val="24"/>
              </w:rPr>
              <w:t>palankesnėmis sąlygomis. Tod</w:t>
            </w:r>
            <w:r>
              <w:rPr>
                <w:szCs w:val="24"/>
              </w:rPr>
              <w:t>ė</w:t>
            </w:r>
            <w:r w:rsidRPr="00547D5F">
              <w:rPr>
                <w:szCs w:val="24"/>
              </w:rPr>
              <w:t>l didelė tikimybė, kad hipotekos ir įkeitimo sandoriuose nebus</w:t>
            </w:r>
            <w:r>
              <w:rPr>
                <w:szCs w:val="24"/>
              </w:rPr>
              <w:t xml:space="preserve"> </w:t>
            </w:r>
            <w:r w:rsidRPr="00547D5F">
              <w:rPr>
                <w:szCs w:val="24"/>
              </w:rPr>
              <w:t>užtikrinta įkaito davėjų/skolininkų teisių apsauga, bus nustatomos bankui palankios sąlygos, o</w:t>
            </w:r>
            <w:r>
              <w:rPr>
                <w:szCs w:val="24"/>
              </w:rPr>
              <w:t xml:space="preserve"> </w:t>
            </w:r>
            <w:r w:rsidRPr="00547D5F">
              <w:rPr>
                <w:szCs w:val="24"/>
              </w:rPr>
              <w:t xml:space="preserve">įkaito davėjams/ </w:t>
            </w:r>
            <w:r>
              <w:rPr>
                <w:szCs w:val="24"/>
              </w:rPr>
              <w:t>s</w:t>
            </w:r>
            <w:r w:rsidRPr="00547D5F">
              <w:rPr>
                <w:szCs w:val="24"/>
              </w:rPr>
              <w:t>kolininkams nebus paaiškint</w:t>
            </w:r>
            <w:r w:rsidR="00711921">
              <w:rPr>
                <w:szCs w:val="24"/>
              </w:rPr>
              <w:t>o</w:t>
            </w:r>
            <w:r w:rsidRPr="00547D5F">
              <w:rPr>
                <w:szCs w:val="24"/>
              </w:rPr>
              <w:t>s sudaromų sandorių pasekmės. Sudarant šiuos</w:t>
            </w:r>
            <w:r>
              <w:rPr>
                <w:szCs w:val="24"/>
              </w:rPr>
              <w:t xml:space="preserve"> </w:t>
            </w:r>
            <w:r w:rsidRPr="00547D5F">
              <w:rPr>
                <w:szCs w:val="24"/>
              </w:rPr>
              <w:t>sandorius, nebus užtikrinamas šalių lygiateisiškumas. Tam tikrais atvejais atsiras galimybė</w:t>
            </w:r>
            <w:r>
              <w:rPr>
                <w:szCs w:val="24"/>
              </w:rPr>
              <w:t xml:space="preserve"> </w:t>
            </w:r>
            <w:r w:rsidRPr="00547D5F">
              <w:rPr>
                <w:szCs w:val="24"/>
              </w:rPr>
              <w:t>kreditoriams pasinaudoti skolininkų/įkaito dav</w:t>
            </w:r>
            <w:r>
              <w:rPr>
                <w:szCs w:val="24"/>
              </w:rPr>
              <w:t>ė</w:t>
            </w:r>
            <w:r w:rsidRPr="00547D5F">
              <w:rPr>
                <w:szCs w:val="24"/>
              </w:rPr>
              <w:t>jų teisiniu ir ekonominiu neišp</w:t>
            </w:r>
            <w:r>
              <w:rPr>
                <w:szCs w:val="24"/>
              </w:rPr>
              <w:t>ru</w:t>
            </w:r>
            <w:r w:rsidRPr="00547D5F">
              <w:rPr>
                <w:szCs w:val="24"/>
              </w:rPr>
              <w:t>simu.</w:t>
            </w:r>
            <w:r w:rsidR="00711921">
              <w:rPr>
                <w:szCs w:val="24"/>
              </w:rPr>
              <w:t>“</w:t>
            </w:r>
          </w:p>
          <w:p w14:paraId="7FA8D0FD" w14:textId="77777777" w:rsidR="00547D5F" w:rsidRDefault="00711921" w:rsidP="00711921">
            <w:pPr>
              <w:pStyle w:val="Pagrindiniotekstotrauka"/>
              <w:ind w:firstLine="317"/>
              <w:rPr>
                <w:szCs w:val="24"/>
              </w:rPr>
            </w:pPr>
            <w:r>
              <w:rPr>
                <w:szCs w:val="24"/>
              </w:rPr>
              <w:t>„</w:t>
            </w:r>
            <w:r w:rsidR="00547D5F">
              <w:rPr>
                <w:szCs w:val="24"/>
              </w:rPr>
              <w:t xml:space="preserve">&lt;...&gt; </w:t>
            </w:r>
            <w:r w:rsidR="00547D5F" w:rsidRPr="00547D5F">
              <w:rPr>
                <w:szCs w:val="24"/>
              </w:rPr>
              <w:t>Vėl siūloma grįžti prie formų naudojimo, nors hipotek</w:t>
            </w:r>
            <w:r w:rsidR="00547D5F">
              <w:rPr>
                <w:szCs w:val="24"/>
              </w:rPr>
              <w:t xml:space="preserve">os ir įkeitimo sandorių lakštų – </w:t>
            </w:r>
            <w:r w:rsidR="00547D5F" w:rsidRPr="00547D5F">
              <w:rPr>
                <w:szCs w:val="24"/>
              </w:rPr>
              <w:t xml:space="preserve">taigi, tų pačių formų, </w:t>
            </w:r>
            <w:r w:rsidR="00547D5F">
              <w:rPr>
                <w:szCs w:val="24"/>
              </w:rPr>
              <w:t>–</w:t>
            </w:r>
            <w:r w:rsidR="00547D5F" w:rsidRPr="00547D5F">
              <w:rPr>
                <w:szCs w:val="24"/>
              </w:rPr>
              <w:t xml:space="preserve"> buvo atsisakyta reformuojant įkeitimo teisę 2012 metais, siekiant</w:t>
            </w:r>
            <w:r w:rsidR="00547D5F">
              <w:rPr>
                <w:szCs w:val="24"/>
              </w:rPr>
              <w:t xml:space="preserve"> užtikrinti šalių l</w:t>
            </w:r>
            <w:r w:rsidR="00547D5F" w:rsidRPr="00547D5F">
              <w:rPr>
                <w:szCs w:val="24"/>
              </w:rPr>
              <w:t>aisvės principo įgyvendinimą.</w:t>
            </w:r>
            <w:r w:rsidR="00547D5F">
              <w:rPr>
                <w:szCs w:val="24"/>
              </w:rPr>
              <w:t xml:space="preserve"> &lt;...&gt; </w:t>
            </w:r>
            <w:r w:rsidR="00547D5F" w:rsidRPr="00547D5F">
              <w:rPr>
                <w:szCs w:val="24"/>
              </w:rPr>
              <w:t>iš siūlomo reguliavimo neaišku, ar šalys gajos daryti</w:t>
            </w:r>
            <w:r w:rsidR="00547D5F">
              <w:rPr>
                <w:szCs w:val="24"/>
              </w:rPr>
              <w:t xml:space="preserve"> </w:t>
            </w:r>
            <w:r w:rsidR="00547D5F" w:rsidRPr="00547D5F">
              <w:rPr>
                <w:szCs w:val="24"/>
              </w:rPr>
              <w:t>pakeitimus formose, ar galės susitarti dėl individualių sąlygų, kai naudosis formomis.</w:t>
            </w:r>
            <w:r w:rsidR="00547D5F">
              <w:rPr>
                <w:szCs w:val="24"/>
              </w:rPr>
              <w:t>“</w:t>
            </w:r>
          </w:p>
          <w:p w14:paraId="0A6666EF" w14:textId="77777777" w:rsidR="00F30BC4" w:rsidRDefault="00F30BC4" w:rsidP="00547D5F">
            <w:pPr>
              <w:pStyle w:val="Pagrindiniotekstotrauka"/>
              <w:ind w:firstLine="0"/>
              <w:rPr>
                <w:szCs w:val="24"/>
              </w:rPr>
            </w:pPr>
          </w:p>
          <w:p w14:paraId="15879D64" w14:textId="77777777" w:rsidR="00F45946" w:rsidRDefault="00F45946" w:rsidP="00F30BC4">
            <w:pPr>
              <w:pStyle w:val="Pagrindiniotekstotrauka"/>
              <w:ind w:firstLine="0"/>
              <w:rPr>
                <w:szCs w:val="24"/>
              </w:rPr>
            </w:pPr>
          </w:p>
          <w:p w14:paraId="0EADD282" w14:textId="77777777" w:rsidR="00F45946" w:rsidRDefault="00F45946" w:rsidP="00F30BC4">
            <w:pPr>
              <w:pStyle w:val="Pagrindiniotekstotrauka"/>
              <w:ind w:firstLine="0"/>
              <w:rPr>
                <w:szCs w:val="24"/>
              </w:rPr>
            </w:pPr>
          </w:p>
          <w:p w14:paraId="3D717C26" w14:textId="77777777" w:rsidR="00F45946" w:rsidRDefault="00F45946" w:rsidP="00F45946">
            <w:pPr>
              <w:pStyle w:val="Pagrindiniotekstotrauka"/>
              <w:ind w:firstLine="176"/>
              <w:rPr>
                <w:szCs w:val="24"/>
              </w:rPr>
            </w:pPr>
          </w:p>
          <w:p w14:paraId="45B49D1D" w14:textId="77777777" w:rsidR="00F30BC4" w:rsidRDefault="00F30BC4" w:rsidP="00F45946">
            <w:pPr>
              <w:pStyle w:val="Pagrindiniotekstotrauka"/>
              <w:ind w:firstLine="176"/>
              <w:rPr>
                <w:szCs w:val="24"/>
              </w:rPr>
            </w:pPr>
            <w:r>
              <w:rPr>
                <w:szCs w:val="24"/>
              </w:rPr>
              <w:t>„&lt;...&gt;</w:t>
            </w:r>
            <w:r w:rsidRPr="00F30BC4">
              <w:rPr>
                <w:szCs w:val="24"/>
              </w:rPr>
              <w:t xml:space="preserve"> jau dabar banko imamas sutarties sudarymo mokestis paprastai</w:t>
            </w:r>
            <w:r>
              <w:rPr>
                <w:szCs w:val="24"/>
              </w:rPr>
              <w:t xml:space="preserve"> </w:t>
            </w:r>
            <w:r w:rsidRPr="00F30BC4">
              <w:rPr>
                <w:szCs w:val="24"/>
              </w:rPr>
              <w:t>yra didesnis negu notaro imamas mokestis už hipotekos (įkeitimo) sutarties patvirtinimą.</w:t>
            </w:r>
            <w:r>
              <w:rPr>
                <w:szCs w:val="24"/>
              </w:rPr>
              <w:t xml:space="preserve"> </w:t>
            </w:r>
            <w:r w:rsidRPr="00F30BC4">
              <w:rPr>
                <w:szCs w:val="24"/>
              </w:rPr>
              <w:t xml:space="preserve">Privačiam juridiniam asmeniui </w:t>
            </w:r>
            <w:r>
              <w:rPr>
                <w:szCs w:val="24"/>
              </w:rPr>
              <w:t>–</w:t>
            </w:r>
            <w:r w:rsidRPr="00F30BC4">
              <w:rPr>
                <w:szCs w:val="24"/>
              </w:rPr>
              <w:t xml:space="preserve"> bankui „turint atlikti daugiau veiksmų (pačiam rengti įkeitimo</w:t>
            </w:r>
            <w:r>
              <w:rPr>
                <w:szCs w:val="24"/>
              </w:rPr>
              <w:t xml:space="preserve"> </w:t>
            </w:r>
            <w:r w:rsidRPr="00F30BC4">
              <w:rPr>
                <w:szCs w:val="24"/>
              </w:rPr>
              <w:t>sutartį ir teikti duomenis viešam registrui), banko s</w:t>
            </w:r>
            <w:r>
              <w:rPr>
                <w:szCs w:val="24"/>
              </w:rPr>
              <w:t>ą</w:t>
            </w:r>
            <w:r w:rsidRPr="00F30BC4">
              <w:rPr>
                <w:szCs w:val="24"/>
              </w:rPr>
              <w:t>naudos padidės, o jas kompensuoti turės</w:t>
            </w:r>
            <w:r>
              <w:rPr>
                <w:szCs w:val="24"/>
              </w:rPr>
              <w:t xml:space="preserve"> </w:t>
            </w:r>
            <w:r w:rsidRPr="00F30BC4">
              <w:rPr>
                <w:szCs w:val="24"/>
              </w:rPr>
              <w:t>klientas.</w:t>
            </w:r>
            <w:r w:rsidR="00062A92">
              <w:rPr>
                <w:szCs w:val="24"/>
              </w:rPr>
              <w:t xml:space="preserve"> &lt;...&gt; sandorio šalims hipotekos (įkeitimo) išregistravimas greičiausiai pabrangs.</w:t>
            </w:r>
            <w:r>
              <w:rPr>
                <w:szCs w:val="24"/>
              </w:rPr>
              <w:t>“</w:t>
            </w:r>
          </w:p>
          <w:p w14:paraId="3CFC3D2C" w14:textId="77777777" w:rsidR="00F30BC4" w:rsidRDefault="00F30BC4" w:rsidP="00F45946">
            <w:pPr>
              <w:pStyle w:val="Pagrindiniotekstotrauka"/>
              <w:ind w:firstLine="176"/>
              <w:rPr>
                <w:szCs w:val="24"/>
              </w:rPr>
            </w:pPr>
            <w:r>
              <w:rPr>
                <w:szCs w:val="24"/>
              </w:rPr>
              <w:lastRenderedPageBreak/>
              <w:t>„</w:t>
            </w:r>
            <w:r w:rsidRPr="00F30BC4">
              <w:rPr>
                <w:szCs w:val="24"/>
              </w:rPr>
              <w:t>Remiantis Civilinio kodekso 4.262 straipsniu, įrašyti į viešą registrą duomenys laikomi</w:t>
            </w:r>
            <w:r>
              <w:rPr>
                <w:szCs w:val="24"/>
              </w:rPr>
              <w:t xml:space="preserve"> </w:t>
            </w:r>
            <w:r w:rsidRPr="00F30BC4">
              <w:rPr>
                <w:szCs w:val="24"/>
              </w:rPr>
              <w:t>teisingais ir išsamiais, kol nenuginčijami įstatymų nustatyta tvarka</w:t>
            </w:r>
            <w:r w:rsidR="0095074B">
              <w:rPr>
                <w:szCs w:val="24"/>
              </w:rPr>
              <w:t>.</w:t>
            </w:r>
            <w:r w:rsidRPr="00F30BC4">
              <w:rPr>
                <w:szCs w:val="24"/>
              </w:rPr>
              <w:t xml:space="preserve"> Todėl pateikiamų duomenų ir</w:t>
            </w:r>
            <w:r>
              <w:rPr>
                <w:szCs w:val="24"/>
              </w:rPr>
              <w:t xml:space="preserve"> </w:t>
            </w:r>
            <w:r w:rsidRPr="00F30BC4">
              <w:rPr>
                <w:szCs w:val="24"/>
              </w:rPr>
              <w:t>dokumentų teisėtumo kontrolė yra itin svarbi viešo registro duomenų patikimumui užtikrinti.</w:t>
            </w:r>
            <w:r>
              <w:rPr>
                <w:szCs w:val="24"/>
              </w:rPr>
              <w:t xml:space="preserve"> </w:t>
            </w:r>
            <w:r w:rsidR="0095074B">
              <w:rPr>
                <w:szCs w:val="24"/>
              </w:rPr>
              <w:t xml:space="preserve">&lt;...&gt; </w:t>
            </w:r>
            <w:r w:rsidRPr="00F30BC4">
              <w:rPr>
                <w:szCs w:val="24"/>
              </w:rPr>
              <w:t>Notaro pateikiami duomenys užtikrina registro</w:t>
            </w:r>
            <w:r w:rsidR="0095074B">
              <w:rPr>
                <w:szCs w:val="24"/>
              </w:rPr>
              <w:t xml:space="preserve"> </w:t>
            </w:r>
            <w:r w:rsidRPr="00F30BC4">
              <w:rPr>
                <w:szCs w:val="24"/>
              </w:rPr>
              <w:t>duomenų patikimumą, teisingumą ir skaidrumą. Tai svarbu verslo subjektams, viešajam</w:t>
            </w:r>
            <w:r w:rsidR="0095074B">
              <w:rPr>
                <w:szCs w:val="24"/>
              </w:rPr>
              <w:t xml:space="preserve"> </w:t>
            </w:r>
            <w:r w:rsidRPr="00F30BC4">
              <w:rPr>
                <w:szCs w:val="24"/>
              </w:rPr>
              <w:t>sektoriui, ypač mokesčių administratoriui.</w:t>
            </w:r>
            <w:r>
              <w:rPr>
                <w:szCs w:val="24"/>
              </w:rPr>
              <w:t>“</w:t>
            </w:r>
          </w:p>
          <w:p w14:paraId="33C3A072" w14:textId="77777777" w:rsidR="003C4CEF" w:rsidRDefault="00526B36" w:rsidP="00F45946">
            <w:pPr>
              <w:pStyle w:val="Pagrindiniotekstotrauka"/>
              <w:ind w:firstLine="176"/>
              <w:rPr>
                <w:szCs w:val="24"/>
              </w:rPr>
            </w:pPr>
            <w:r>
              <w:rPr>
                <w:szCs w:val="24"/>
              </w:rPr>
              <w:t>„</w:t>
            </w:r>
            <w:r w:rsidRPr="00526B36">
              <w:rPr>
                <w:szCs w:val="24"/>
              </w:rPr>
              <w:t>Taip pat norime atkreipti dėmesį į notaro vaidmenį užtikrinant pinigų plovimo ir</w:t>
            </w:r>
            <w:r>
              <w:rPr>
                <w:szCs w:val="24"/>
              </w:rPr>
              <w:t xml:space="preserve"> </w:t>
            </w:r>
            <w:r w:rsidRPr="00526B36">
              <w:rPr>
                <w:szCs w:val="24"/>
              </w:rPr>
              <w:t>terorizmo finansavimo prevenciją. Vadovaujantis Lietuvos Respublikos pinigų plovimo</w:t>
            </w:r>
            <w:r>
              <w:rPr>
                <w:szCs w:val="24"/>
              </w:rPr>
              <w:t xml:space="preserve"> </w:t>
            </w:r>
            <w:r w:rsidRPr="00526B36">
              <w:rPr>
                <w:szCs w:val="24"/>
              </w:rPr>
              <w:t>prevencijos įstatymu, notarai yra priskiriami prie įpareigotųjų subjektų, kuriems numatyta</w:t>
            </w:r>
            <w:r>
              <w:rPr>
                <w:szCs w:val="24"/>
              </w:rPr>
              <w:t xml:space="preserve"> </w:t>
            </w:r>
            <w:r w:rsidRPr="00526B36">
              <w:rPr>
                <w:szCs w:val="24"/>
              </w:rPr>
              <w:t>pareiga įgyvendinti šiame įstatyme numatytas pinigų plovimo prevencijos funkcijas. Remiantis</w:t>
            </w:r>
            <w:r>
              <w:rPr>
                <w:szCs w:val="24"/>
              </w:rPr>
              <w:t xml:space="preserve"> </w:t>
            </w:r>
            <w:r w:rsidRPr="00526B36">
              <w:rPr>
                <w:szCs w:val="24"/>
              </w:rPr>
              <w:t>minėtu įstatymu, notaras, atlikdamas notarinius veiksmus, yra įpareigotas taikyti deramas kliento</w:t>
            </w:r>
            <w:r>
              <w:rPr>
                <w:szCs w:val="24"/>
              </w:rPr>
              <w:t xml:space="preserve"> </w:t>
            </w:r>
            <w:r w:rsidRPr="00526B36">
              <w:rPr>
                <w:szCs w:val="24"/>
              </w:rPr>
              <w:t>tikrinimo priemones ir perduoti atitinkamą informacija apie sandorius Finansinių nusikaltimų</w:t>
            </w:r>
            <w:r>
              <w:rPr>
                <w:szCs w:val="24"/>
              </w:rPr>
              <w:t xml:space="preserve"> </w:t>
            </w:r>
            <w:r w:rsidRPr="00526B36">
              <w:rPr>
                <w:szCs w:val="24"/>
              </w:rPr>
              <w:t xml:space="preserve">tyrimo tarnybai. </w:t>
            </w:r>
            <w:r w:rsidR="00F45946">
              <w:rPr>
                <w:szCs w:val="24"/>
              </w:rPr>
              <w:t>&lt;...&gt;</w:t>
            </w:r>
            <w:r>
              <w:rPr>
                <w:szCs w:val="24"/>
              </w:rPr>
              <w:t>“</w:t>
            </w:r>
          </w:p>
        </w:tc>
        <w:tc>
          <w:tcPr>
            <w:tcW w:w="8593" w:type="dxa"/>
            <w:tcBorders>
              <w:top w:val="single" w:sz="4" w:space="0" w:color="auto"/>
              <w:bottom w:val="single" w:sz="4" w:space="0" w:color="auto"/>
            </w:tcBorders>
            <w:shd w:val="clear" w:color="auto" w:fill="auto"/>
          </w:tcPr>
          <w:p w14:paraId="72EEF89F" w14:textId="77777777" w:rsidR="00C002A8" w:rsidRDefault="00C002A8" w:rsidP="005F4F2C">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lastRenderedPageBreak/>
              <w:t>Neatsižvelgta.</w:t>
            </w:r>
          </w:p>
          <w:p w14:paraId="54C4E957" w14:textId="77777777" w:rsidR="00B41971" w:rsidRDefault="00C002A8" w:rsidP="00711921">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Kaip matyti, cituojamoje pastaboje p</w:t>
            </w:r>
            <w:r w:rsidRPr="00C002A8">
              <w:rPr>
                <w:rFonts w:ascii="Times New Roman" w:eastAsia="Calibri" w:hAnsi="Times New Roman"/>
                <w:sz w:val="24"/>
                <w:szCs w:val="24"/>
              </w:rPr>
              <w:t>rof. habil. dr. V. Mikelėnas</w:t>
            </w:r>
            <w:r>
              <w:rPr>
                <w:rFonts w:ascii="Times New Roman" w:eastAsia="Calibri" w:hAnsi="Times New Roman"/>
                <w:sz w:val="24"/>
                <w:szCs w:val="24"/>
              </w:rPr>
              <w:t xml:space="preserve"> kalba apie </w:t>
            </w:r>
            <w:r w:rsidRPr="00C002A8">
              <w:rPr>
                <w:rFonts w:ascii="Times New Roman" w:eastAsia="Calibri" w:hAnsi="Times New Roman"/>
                <w:i/>
                <w:sz w:val="24"/>
                <w:szCs w:val="24"/>
              </w:rPr>
              <w:t>hipotekos</w:t>
            </w:r>
            <w:r>
              <w:rPr>
                <w:rFonts w:ascii="Times New Roman" w:eastAsia="Calibri" w:hAnsi="Times New Roman"/>
                <w:sz w:val="24"/>
                <w:szCs w:val="24"/>
              </w:rPr>
              <w:t xml:space="preserve"> sandorių svarbą, jų vertę, sudarymo dažnumą („</w:t>
            </w:r>
            <w:r w:rsidRPr="00C002A8">
              <w:rPr>
                <w:rFonts w:ascii="Times New Roman" w:eastAsia="Calibri" w:hAnsi="Times New Roman"/>
                <w:sz w:val="24"/>
                <w:szCs w:val="24"/>
              </w:rPr>
              <w:t>tesudaro vieną kitą</w:t>
            </w:r>
            <w:r>
              <w:rPr>
                <w:rFonts w:ascii="Times New Roman" w:eastAsia="Calibri" w:hAnsi="Times New Roman"/>
                <w:sz w:val="24"/>
                <w:szCs w:val="24"/>
              </w:rPr>
              <w:t>“), t</w:t>
            </w:r>
            <w:r w:rsidR="00B41971">
              <w:rPr>
                <w:rFonts w:ascii="Times New Roman" w:eastAsia="Calibri" w:hAnsi="Times New Roman"/>
                <w:sz w:val="24"/>
                <w:szCs w:val="24"/>
              </w:rPr>
              <w:t xml:space="preserve">uo </w:t>
            </w:r>
            <w:r w:rsidR="00B41971" w:rsidRPr="002A3EB2">
              <w:rPr>
                <w:rFonts w:ascii="Times New Roman" w:eastAsia="Calibri" w:hAnsi="Times New Roman"/>
                <w:sz w:val="24"/>
                <w:szCs w:val="24"/>
              </w:rPr>
              <w:t>tarpu Lietuvos notarų rūmai V. Mikelėno arg</w:t>
            </w:r>
            <w:r w:rsidR="00324E84" w:rsidRPr="002A3EB2">
              <w:rPr>
                <w:rFonts w:ascii="Times New Roman" w:eastAsia="Calibri" w:hAnsi="Times New Roman"/>
                <w:sz w:val="24"/>
                <w:szCs w:val="24"/>
              </w:rPr>
              <w:t>u</w:t>
            </w:r>
            <w:r w:rsidR="00B41971" w:rsidRPr="002A3EB2">
              <w:rPr>
                <w:rFonts w:ascii="Times New Roman" w:eastAsia="Calibri" w:hAnsi="Times New Roman"/>
                <w:sz w:val="24"/>
                <w:szCs w:val="24"/>
              </w:rPr>
              <w:t>mentus taiko ir įkeitimo sandoriams</w:t>
            </w:r>
            <w:r w:rsidR="00711921" w:rsidRPr="002A3EB2">
              <w:rPr>
                <w:rFonts w:ascii="Times New Roman" w:eastAsia="Calibri" w:hAnsi="Times New Roman"/>
                <w:sz w:val="24"/>
                <w:szCs w:val="24"/>
              </w:rPr>
              <w:t>,</w:t>
            </w:r>
            <w:r w:rsidR="00B41971" w:rsidRPr="002A3EB2">
              <w:rPr>
                <w:rFonts w:ascii="Times New Roman" w:eastAsia="Calibri" w:hAnsi="Times New Roman"/>
                <w:sz w:val="24"/>
                <w:szCs w:val="24"/>
              </w:rPr>
              <w:t xml:space="preserve"> vadovaudamiesi vien tuo faktu, kad įkeitimas – taip pat yra daiktinė teisė, ignoruodami įkeičiamo daikto specifiką, sandorio vertę, įkeitimo sandorio pasekmes ir pan</w:t>
            </w:r>
            <w:r w:rsidR="00516049" w:rsidRPr="002A3EB2">
              <w:rPr>
                <w:rFonts w:ascii="Times New Roman" w:eastAsia="Calibri" w:hAnsi="Times New Roman"/>
                <w:sz w:val="24"/>
                <w:szCs w:val="24"/>
              </w:rPr>
              <w:t>.</w:t>
            </w:r>
          </w:p>
          <w:p w14:paraId="213898EE" w14:textId="77777777" w:rsidR="00C002A8" w:rsidRDefault="00B41971" w:rsidP="00711921">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Pažymėtina, kad kilnojamųjų daiktų pirkimo-pardavimo sutartims, nepriklausomai nuo sandorio vertės, nėra taikoma privaloma notarinė forma, nors tokie sandoriai sudaromi kasdien, ir jiems lygiai taip pat būdingi tokie pastabose nurodyti kriterijai, kaip didelė svarba sandorio šalims ir tretiesiems asmenims, didelė sandorio vertė</w:t>
            </w:r>
            <w:r w:rsidR="00516049">
              <w:rPr>
                <w:rFonts w:ascii="Times New Roman" w:eastAsia="Calibri" w:hAnsi="Times New Roman"/>
                <w:sz w:val="24"/>
                <w:szCs w:val="24"/>
              </w:rPr>
              <w:t xml:space="preserve"> ir kt.</w:t>
            </w:r>
          </w:p>
          <w:p w14:paraId="134FB2A3" w14:textId="77777777" w:rsidR="00516049" w:rsidRDefault="00516049" w:rsidP="00711921">
            <w:pPr>
              <w:pStyle w:val="Komentarotekstas"/>
              <w:tabs>
                <w:tab w:val="left" w:pos="1276"/>
              </w:tabs>
              <w:ind w:firstLine="317"/>
              <w:jc w:val="both"/>
              <w:rPr>
                <w:rFonts w:ascii="Times New Roman" w:eastAsia="Calibri" w:hAnsi="Times New Roman"/>
                <w:sz w:val="24"/>
                <w:szCs w:val="24"/>
              </w:rPr>
            </w:pPr>
            <w:r w:rsidRPr="00467BF0">
              <w:rPr>
                <w:rFonts w:ascii="Times New Roman" w:eastAsia="Calibri" w:hAnsi="Times New Roman"/>
                <w:sz w:val="24"/>
                <w:szCs w:val="24"/>
              </w:rPr>
              <w:t>Atkreiptinas dėmesys, jog ir šiame (notarinės įkeitimo sandorių formos) kontekste, Lietuvos notarų rūmai tik deklaruoja, jog „notaras, būdamas bešališkas, užtikrina abiejų sandorio šalių interesus. Notaras taip pat užtikrina pažeidžiamų asmenų teisių ir teisėtų interesų apsaugą“, tačiau niekaip nepagrindžia šių funkcijų vykdymo įkeitimo</w:t>
            </w:r>
            <w:r w:rsidR="00711921" w:rsidRPr="00467BF0">
              <w:rPr>
                <w:rFonts w:ascii="Times New Roman" w:eastAsia="Calibri" w:hAnsi="Times New Roman"/>
                <w:sz w:val="24"/>
                <w:szCs w:val="24"/>
              </w:rPr>
              <w:t xml:space="preserve"> sandorių registravimo</w:t>
            </w:r>
            <w:r w:rsidRPr="00467BF0">
              <w:rPr>
                <w:rFonts w:ascii="Times New Roman" w:eastAsia="Calibri" w:hAnsi="Times New Roman"/>
                <w:sz w:val="24"/>
                <w:szCs w:val="24"/>
              </w:rPr>
              <w:t xml:space="preserve"> procese (plačiau apie notaro funkcijas įkeitimo procese žr. prie 2 pastabos).</w:t>
            </w:r>
          </w:p>
          <w:p w14:paraId="7384D853" w14:textId="77777777" w:rsidR="00F45946" w:rsidRPr="00547D5F" w:rsidRDefault="007F75E0" w:rsidP="00F45946">
            <w:pPr>
              <w:spacing w:after="0"/>
              <w:jc w:val="both"/>
              <w:rPr>
                <w:rFonts w:ascii="Times New Roman" w:hAnsi="Times New Roman" w:cs="Times New Roman"/>
                <w:sz w:val="24"/>
                <w:szCs w:val="24"/>
              </w:rPr>
            </w:pPr>
            <w:r>
              <w:rPr>
                <w:rFonts w:ascii="Times New Roman" w:eastAsia="Calibri" w:hAnsi="Times New Roman"/>
                <w:sz w:val="24"/>
                <w:szCs w:val="24"/>
              </w:rPr>
              <w:t>Įkeitimo sandorių sudarymo ir registravimo tvarka bus detalizuota įgyvendinamaisiais teisės aktais, kuriuose bus numatyti sisteminiai reikalavimai ir „saugikliai“, užtikrinantys kitų teisės aktų re</w:t>
            </w:r>
            <w:r w:rsidR="00665E6A">
              <w:rPr>
                <w:rFonts w:ascii="Times New Roman" w:eastAsia="Calibri" w:hAnsi="Times New Roman"/>
                <w:sz w:val="24"/>
                <w:szCs w:val="24"/>
              </w:rPr>
              <w:t>ikalavimus</w:t>
            </w:r>
            <w:r w:rsidR="00136AF4">
              <w:rPr>
                <w:rFonts w:ascii="Times New Roman" w:eastAsia="Calibri" w:hAnsi="Times New Roman"/>
                <w:sz w:val="24"/>
                <w:szCs w:val="24"/>
              </w:rPr>
              <w:t xml:space="preserve"> (pvz. </w:t>
            </w:r>
            <w:r w:rsidR="00CA7330">
              <w:rPr>
                <w:rFonts w:ascii="Times New Roman" w:eastAsia="Calibri" w:hAnsi="Times New Roman"/>
                <w:sz w:val="24"/>
                <w:szCs w:val="24"/>
              </w:rPr>
              <w:t xml:space="preserve">registruojant įkeitimo sandorį </w:t>
            </w:r>
            <w:r w:rsidR="00CA7330" w:rsidRPr="00CA7330">
              <w:rPr>
                <w:rFonts w:ascii="Times New Roman" w:eastAsia="Calibri" w:hAnsi="Times New Roman"/>
                <w:sz w:val="24"/>
                <w:szCs w:val="24"/>
              </w:rPr>
              <w:t>informacinių technologijų priemonėmis,</w:t>
            </w:r>
            <w:r w:rsidR="00CA7330">
              <w:rPr>
                <w:rFonts w:ascii="Times New Roman" w:eastAsia="Calibri" w:hAnsi="Times New Roman"/>
                <w:sz w:val="24"/>
                <w:szCs w:val="24"/>
              </w:rPr>
              <w:t xml:space="preserve"> gali būti numatyti papildomi įsipareigojimai sandorio šalims, kuriuos jie patvirtina sudarydami ir pasirašydami sandorį). </w:t>
            </w:r>
            <w:r w:rsidR="00ED7BCE">
              <w:rPr>
                <w:rFonts w:ascii="Times New Roman" w:eastAsia="Calibri" w:hAnsi="Times New Roman"/>
                <w:sz w:val="24"/>
                <w:szCs w:val="24"/>
              </w:rPr>
              <w:t xml:space="preserve">Tokiais atvejais, kaip Lietuvos notarų rūmų pateiktas pavyzdys dėl valdybos pritarimo, reikalingo juridiniam asmeniui sudarant įkeitimo sandorį, </w:t>
            </w:r>
            <w:r w:rsidR="00ED7BCE" w:rsidRPr="00467BF0">
              <w:rPr>
                <w:rFonts w:ascii="Times New Roman" w:eastAsia="Calibri" w:hAnsi="Times New Roman"/>
                <w:sz w:val="24"/>
                <w:szCs w:val="24"/>
              </w:rPr>
              <w:t xml:space="preserve">kreditorius galės pasirinkit – arba pačiam įsitikinti šio reikalavimo užtikrinimu (jokia kredito įstaiga nesuteiks paskolos neįsitikinusi šio kriterijaus įvykdymu, ką </w:t>
            </w:r>
            <w:r w:rsidR="00ED7BCE" w:rsidRPr="00467BF0">
              <w:rPr>
                <w:rFonts w:ascii="Times New Roman" w:eastAsia="Calibri" w:hAnsi="Times New Roman"/>
                <w:i/>
                <w:sz w:val="24"/>
                <w:szCs w:val="24"/>
              </w:rPr>
              <w:t xml:space="preserve">de facto, </w:t>
            </w:r>
            <w:r w:rsidR="00ED7BCE" w:rsidRPr="00467BF0">
              <w:rPr>
                <w:rFonts w:ascii="Times New Roman" w:eastAsia="Calibri" w:hAnsi="Times New Roman"/>
                <w:sz w:val="24"/>
                <w:szCs w:val="24"/>
              </w:rPr>
              <w:t xml:space="preserve">ir dabar tikrina pačios kredito įstaigos, o notarai tvirtina </w:t>
            </w:r>
            <w:r w:rsidR="00ED7BCE" w:rsidRPr="00467BF0">
              <w:rPr>
                <w:rFonts w:ascii="Times New Roman" w:eastAsia="Calibri" w:hAnsi="Times New Roman"/>
                <w:i/>
                <w:sz w:val="24"/>
                <w:szCs w:val="24"/>
              </w:rPr>
              <w:t>de jure</w:t>
            </w:r>
            <w:r w:rsidR="00ED7BCE" w:rsidRPr="00467BF0">
              <w:rPr>
                <w:rFonts w:ascii="Times New Roman" w:eastAsia="Calibri" w:hAnsi="Times New Roman"/>
                <w:sz w:val="24"/>
                <w:szCs w:val="24"/>
              </w:rPr>
              <w:t>), arba kreiptis į notarą</w:t>
            </w:r>
            <w:r w:rsidR="00ED7BCE">
              <w:rPr>
                <w:rFonts w:ascii="Times New Roman" w:eastAsia="Calibri" w:hAnsi="Times New Roman"/>
                <w:sz w:val="24"/>
                <w:szCs w:val="24"/>
              </w:rPr>
              <w:t>.</w:t>
            </w:r>
            <w:r w:rsidR="00711921">
              <w:rPr>
                <w:rFonts w:ascii="Times New Roman" w:eastAsia="Calibri" w:hAnsi="Times New Roman"/>
                <w:sz w:val="24"/>
                <w:szCs w:val="24"/>
              </w:rPr>
              <w:t xml:space="preserve"> </w:t>
            </w:r>
            <w:r w:rsidR="00F45946">
              <w:rPr>
                <w:rFonts w:ascii="Times New Roman" w:hAnsi="Times New Roman" w:cs="Times New Roman"/>
                <w:sz w:val="24"/>
                <w:szCs w:val="24"/>
              </w:rPr>
              <w:t>Dėl šalių sudaromų sandorių pasekmių išaiškinimo, sandorio šalių lygiateisiškumo užtikrinimo ir „ekonominio neišprusimo“ žr. prie 2 ir 5 pastabų.</w:t>
            </w:r>
          </w:p>
          <w:p w14:paraId="4A6BE26F" w14:textId="77777777" w:rsidR="00711921" w:rsidRDefault="00711921" w:rsidP="00711921">
            <w:pPr>
              <w:spacing w:after="0"/>
              <w:ind w:firstLine="459"/>
              <w:jc w:val="both"/>
              <w:rPr>
                <w:rFonts w:ascii="Times New Roman" w:eastAsia="Calibri" w:hAnsi="Times New Roman"/>
                <w:sz w:val="24"/>
                <w:szCs w:val="24"/>
              </w:rPr>
            </w:pPr>
          </w:p>
          <w:p w14:paraId="27DAA6F3" w14:textId="77777777" w:rsidR="00711921" w:rsidRDefault="00711921" w:rsidP="00711921">
            <w:pPr>
              <w:spacing w:after="0"/>
              <w:ind w:firstLine="459"/>
              <w:jc w:val="both"/>
              <w:rPr>
                <w:rFonts w:ascii="Times New Roman" w:eastAsia="Calibri" w:hAnsi="Times New Roman"/>
                <w:sz w:val="24"/>
                <w:szCs w:val="24"/>
              </w:rPr>
            </w:pPr>
          </w:p>
          <w:p w14:paraId="0A437DF7" w14:textId="77777777" w:rsidR="00711921" w:rsidRDefault="00711921" w:rsidP="00711921">
            <w:pPr>
              <w:spacing w:after="0"/>
              <w:ind w:firstLine="459"/>
              <w:jc w:val="both"/>
              <w:rPr>
                <w:rFonts w:ascii="Times New Roman" w:eastAsia="Calibri" w:hAnsi="Times New Roman"/>
                <w:sz w:val="24"/>
                <w:szCs w:val="24"/>
              </w:rPr>
            </w:pPr>
          </w:p>
          <w:p w14:paraId="5A441D5C" w14:textId="77777777" w:rsidR="00711921" w:rsidRDefault="00711921" w:rsidP="00711921">
            <w:pPr>
              <w:spacing w:after="0"/>
              <w:ind w:firstLine="459"/>
              <w:jc w:val="both"/>
              <w:rPr>
                <w:rFonts w:ascii="Times New Roman" w:eastAsia="Calibri" w:hAnsi="Times New Roman"/>
                <w:sz w:val="24"/>
                <w:szCs w:val="24"/>
              </w:rPr>
            </w:pPr>
          </w:p>
          <w:p w14:paraId="022727D8" w14:textId="77777777" w:rsidR="00711921" w:rsidRDefault="00711921" w:rsidP="00711921">
            <w:pPr>
              <w:spacing w:after="0"/>
              <w:ind w:firstLine="459"/>
              <w:jc w:val="both"/>
              <w:rPr>
                <w:rFonts w:ascii="Times New Roman" w:eastAsia="Calibri" w:hAnsi="Times New Roman"/>
                <w:sz w:val="24"/>
                <w:szCs w:val="24"/>
              </w:rPr>
            </w:pPr>
          </w:p>
          <w:p w14:paraId="33303FA5" w14:textId="77777777" w:rsidR="00711921" w:rsidRDefault="00711921" w:rsidP="00711921">
            <w:pPr>
              <w:spacing w:after="0"/>
              <w:ind w:firstLine="459"/>
              <w:jc w:val="both"/>
              <w:rPr>
                <w:rFonts w:ascii="Times New Roman" w:eastAsia="Calibri" w:hAnsi="Times New Roman"/>
                <w:sz w:val="24"/>
                <w:szCs w:val="24"/>
              </w:rPr>
            </w:pPr>
          </w:p>
          <w:p w14:paraId="5D065CEE" w14:textId="77777777" w:rsidR="00711921" w:rsidRDefault="00711921" w:rsidP="00711921">
            <w:pPr>
              <w:spacing w:after="0"/>
              <w:ind w:firstLine="459"/>
              <w:jc w:val="both"/>
              <w:rPr>
                <w:rFonts w:ascii="Times New Roman" w:eastAsia="Calibri" w:hAnsi="Times New Roman"/>
                <w:sz w:val="24"/>
                <w:szCs w:val="24"/>
              </w:rPr>
            </w:pPr>
          </w:p>
          <w:p w14:paraId="58280BF3" w14:textId="77777777" w:rsidR="00711921" w:rsidRDefault="00711921" w:rsidP="00711921">
            <w:pPr>
              <w:spacing w:after="0"/>
              <w:ind w:firstLine="459"/>
              <w:jc w:val="both"/>
              <w:rPr>
                <w:rFonts w:ascii="Times New Roman" w:eastAsia="Calibri" w:hAnsi="Times New Roman"/>
                <w:sz w:val="24"/>
                <w:szCs w:val="24"/>
              </w:rPr>
            </w:pPr>
          </w:p>
          <w:p w14:paraId="135F3BED" w14:textId="77777777" w:rsidR="00711921" w:rsidRDefault="00711921" w:rsidP="00711921">
            <w:pPr>
              <w:spacing w:after="0"/>
              <w:ind w:firstLine="459"/>
              <w:jc w:val="both"/>
              <w:rPr>
                <w:rFonts w:ascii="Times New Roman" w:eastAsia="Calibri" w:hAnsi="Times New Roman"/>
                <w:sz w:val="24"/>
                <w:szCs w:val="24"/>
              </w:rPr>
            </w:pPr>
          </w:p>
          <w:p w14:paraId="478AB3FC" w14:textId="77777777" w:rsidR="00711921" w:rsidRDefault="00711921" w:rsidP="00711921">
            <w:pPr>
              <w:spacing w:after="0"/>
              <w:ind w:firstLine="459"/>
              <w:jc w:val="both"/>
              <w:rPr>
                <w:rFonts w:ascii="Times New Roman" w:eastAsia="Calibri" w:hAnsi="Times New Roman"/>
                <w:sz w:val="24"/>
                <w:szCs w:val="24"/>
              </w:rPr>
            </w:pPr>
          </w:p>
          <w:p w14:paraId="2F27AFED" w14:textId="77777777" w:rsidR="00711921" w:rsidRDefault="00711921" w:rsidP="00711921">
            <w:pPr>
              <w:spacing w:after="0"/>
              <w:ind w:firstLine="459"/>
              <w:jc w:val="both"/>
              <w:rPr>
                <w:rFonts w:ascii="Times New Roman" w:eastAsia="Calibri" w:hAnsi="Times New Roman"/>
                <w:sz w:val="24"/>
                <w:szCs w:val="24"/>
              </w:rPr>
            </w:pPr>
          </w:p>
          <w:p w14:paraId="2094E7B9" w14:textId="77777777" w:rsidR="00711921" w:rsidRDefault="00711921" w:rsidP="00711921">
            <w:pPr>
              <w:spacing w:after="0"/>
              <w:ind w:firstLine="459"/>
              <w:jc w:val="both"/>
              <w:rPr>
                <w:rFonts w:ascii="Times New Roman" w:eastAsia="Calibri" w:hAnsi="Times New Roman"/>
                <w:sz w:val="24"/>
                <w:szCs w:val="24"/>
              </w:rPr>
            </w:pPr>
          </w:p>
          <w:p w14:paraId="0B8A68C5" w14:textId="77777777" w:rsidR="00711921" w:rsidRDefault="00711921" w:rsidP="00711921">
            <w:pPr>
              <w:spacing w:after="0"/>
              <w:ind w:firstLine="459"/>
              <w:jc w:val="both"/>
              <w:rPr>
                <w:rFonts w:ascii="Times New Roman" w:eastAsia="Calibri" w:hAnsi="Times New Roman"/>
                <w:sz w:val="24"/>
                <w:szCs w:val="24"/>
              </w:rPr>
            </w:pPr>
          </w:p>
          <w:p w14:paraId="57E208C2" w14:textId="77777777" w:rsidR="00711921" w:rsidRDefault="00711921" w:rsidP="00711921">
            <w:pPr>
              <w:spacing w:after="0"/>
              <w:ind w:firstLine="459"/>
              <w:jc w:val="both"/>
              <w:rPr>
                <w:rFonts w:ascii="Times New Roman" w:eastAsia="Calibri" w:hAnsi="Times New Roman"/>
                <w:sz w:val="24"/>
                <w:szCs w:val="24"/>
              </w:rPr>
            </w:pPr>
          </w:p>
          <w:p w14:paraId="1576E75A" w14:textId="77777777" w:rsidR="00711921" w:rsidRDefault="00711921" w:rsidP="00711921">
            <w:pPr>
              <w:spacing w:after="0"/>
              <w:ind w:firstLine="459"/>
              <w:jc w:val="both"/>
              <w:rPr>
                <w:rFonts w:ascii="Times New Roman" w:eastAsia="Calibri" w:hAnsi="Times New Roman"/>
                <w:sz w:val="24"/>
                <w:szCs w:val="24"/>
              </w:rPr>
            </w:pPr>
          </w:p>
          <w:p w14:paraId="0D961841" w14:textId="77777777" w:rsidR="00711921" w:rsidRDefault="00711921" w:rsidP="00711921">
            <w:pPr>
              <w:spacing w:after="0"/>
              <w:ind w:firstLine="459"/>
              <w:jc w:val="both"/>
              <w:rPr>
                <w:rFonts w:ascii="Times New Roman" w:eastAsia="Calibri" w:hAnsi="Times New Roman"/>
                <w:sz w:val="24"/>
                <w:szCs w:val="24"/>
              </w:rPr>
            </w:pPr>
          </w:p>
          <w:p w14:paraId="522D1DB3" w14:textId="77777777" w:rsidR="00711921" w:rsidRDefault="00711921" w:rsidP="00711921">
            <w:pPr>
              <w:spacing w:after="0"/>
              <w:ind w:firstLine="459"/>
              <w:jc w:val="both"/>
              <w:rPr>
                <w:rFonts w:ascii="Times New Roman" w:eastAsia="Calibri" w:hAnsi="Times New Roman"/>
                <w:sz w:val="24"/>
                <w:szCs w:val="24"/>
              </w:rPr>
            </w:pPr>
          </w:p>
          <w:p w14:paraId="5985C43D" w14:textId="77777777" w:rsidR="00ED3083" w:rsidRDefault="00ED3083" w:rsidP="00F45946">
            <w:pPr>
              <w:spacing w:after="0"/>
              <w:ind w:firstLine="318"/>
              <w:jc w:val="both"/>
              <w:rPr>
                <w:rFonts w:ascii="Times New Roman" w:eastAsia="Calibri" w:hAnsi="Times New Roman"/>
                <w:sz w:val="24"/>
                <w:szCs w:val="24"/>
              </w:rPr>
            </w:pPr>
          </w:p>
          <w:p w14:paraId="7BC62D20" w14:textId="77777777" w:rsidR="00ED3083" w:rsidRDefault="00ED3083" w:rsidP="00F45946">
            <w:pPr>
              <w:spacing w:after="0"/>
              <w:ind w:firstLine="318"/>
              <w:jc w:val="both"/>
              <w:rPr>
                <w:rFonts w:ascii="Times New Roman" w:eastAsia="Calibri" w:hAnsi="Times New Roman"/>
                <w:sz w:val="24"/>
                <w:szCs w:val="24"/>
              </w:rPr>
            </w:pPr>
          </w:p>
          <w:p w14:paraId="7CBE2413" w14:textId="77777777" w:rsidR="00ED3083" w:rsidRDefault="00ED3083" w:rsidP="00F45946">
            <w:pPr>
              <w:spacing w:after="0"/>
              <w:ind w:firstLine="318"/>
              <w:jc w:val="both"/>
              <w:rPr>
                <w:rFonts w:ascii="Times New Roman" w:eastAsia="Calibri" w:hAnsi="Times New Roman"/>
                <w:sz w:val="24"/>
                <w:szCs w:val="24"/>
              </w:rPr>
            </w:pPr>
          </w:p>
          <w:p w14:paraId="27D93CB0" w14:textId="77777777" w:rsidR="00547D5F" w:rsidRPr="00547D5F" w:rsidRDefault="00547D5F" w:rsidP="00F45946">
            <w:pPr>
              <w:spacing w:after="0"/>
              <w:ind w:firstLine="318"/>
              <w:jc w:val="both"/>
              <w:rPr>
                <w:rFonts w:ascii="Times New Roman" w:eastAsia="Calibri" w:hAnsi="Times New Roman" w:cs="Times New Roman"/>
                <w:sz w:val="24"/>
                <w:szCs w:val="24"/>
              </w:rPr>
            </w:pPr>
            <w:r>
              <w:rPr>
                <w:rFonts w:ascii="Times New Roman" w:eastAsia="Calibri" w:hAnsi="Times New Roman"/>
                <w:sz w:val="24"/>
                <w:szCs w:val="24"/>
              </w:rPr>
              <w:t>Priešingai nei supranta Lietuvos notarų rūmai, projekte (</w:t>
            </w:r>
            <w:r w:rsidRPr="00547D5F">
              <w:rPr>
                <w:rFonts w:ascii="Times New Roman" w:eastAsia="Calibri" w:hAnsi="Times New Roman"/>
                <w:sz w:val="24"/>
                <w:szCs w:val="24"/>
              </w:rPr>
              <w:t>4.209 str</w:t>
            </w:r>
            <w:r>
              <w:rPr>
                <w:rFonts w:ascii="Times New Roman" w:eastAsia="Calibri" w:hAnsi="Times New Roman"/>
                <w:sz w:val="24"/>
                <w:szCs w:val="24"/>
              </w:rPr>
              <w:t xml:space="preserve">. 2 d. </w:t>
            </w:r>
            <w:r w:rsidRPr="00547D5F">
              <w:rPr>
                <w:rFonts w:ascii="Times New Roman" w:eastAsia="Calibri" w:hAnsi="Times New Roman"/>
                <w:sz w:val="24"/>
                <w:szCs w:val="24"/>
              </w:rPr>
              <w:t>pakeitimas)</w:t>
            </w:r>
            <w:r>
              <w:rPr>
                <w:rFonts w:ascii="Times New Roman" w:eastAsia="Calibri" w:hAnsi="Times New Roman"/>
                <w:sz w:val="24"/>
                <w:szCs w:val="24"/>
              </w:rPr>
              <w:t xml:space="preserve"> numatyta rašytinės formos sandorio pagrindu atsiradusio įkeitimo registravimas, o vadinami „šablonai“ yra siūloma kaip paprastesnė alternatyva </w:t>
            </w:r>
            <w:r w:rsidRPr="00547D5F">
              <w:rPr>
                <w:rFonts w:ascii="Times New Roman" w:eastAsia="Calibri" w:hAnsi="Times New Roman" w:cs="Times New Roman"/>
                <w:sz w:val="24"/>
                <w:szCs w:val="24"/>
              </w:rPr>
              <w:t>tais atvejais, kai šalims bus tinkama standartizuota forma:</w:t>
            </w:r>
          </w:p>
          <w:p w14:paraId="53F9EB8D" w14:textId="77777777" w:rsidR="00547D5F" w:rsidRDefault="00547D5F" w:rsidP="00F45946">
            <w:pPr>
              <w:spacing w:after="0"/>
              <w:ind w:firstLine="176"/>
              <w:jc w:val="both"/>
              <w:rPr>
                <w:rFonts w:ascii="Times New Roman" w:hAnsi="Times New Roman" w:cs="Times New Roman"/>
                <w:i/>
                <w:sz w:val="24"/>
                <w:szCs w:val="24"/>
              </w:rPr>
            </w:pPr>
            <w:r w:rsidRPr="00547D5F">
              <w:rPr>
                <w:rFonts w:ascii="Times New Roman" w:eastAsia="Calibri" w:hAnsi="Times New Roman" w:cs="Times New Roman"/>
                <w:sz w:val="24"/>
                <w:szCs w:val="24"/>
              </w:rPr>
              <w:t xml:space="preserve"> </w:t>
            </w:r>
            <w:r w:rsidRPr="00547D5F">
              <w:rPr>
                <w:rFonts w:ascii="Times New Roman" w:hAnsi="Times New Roman" w:cs="Times New Roman"/>
                <w:i/>
                <w:sz w:val="24"/>
                <w:szCs w:val="24"/>
              </w:rPr>
              <w:t xml:space="preserve">„2. Kai įkeitimo objektas perduodamas trečiajam asmeniui arba paliekamas įkaito davėjui, </w:t>
            </w:r>
            <w:r w:rsidRPr="00547D5F">
              <w:rPr>
                <w:rFonts w:ascii="Times New Roman" w:hAnsi="Times New Roman" w:cs="Times New Roman"/>
                <w:b/>
                <w:i/>
                <w:sz w:val="24"/>
                <w:szCs w:val="24"/>
              </w:rPr>
              <w:t>sudaromas rašytinis</w:t>
            </w:r>
            <w:r w:rsidRPr="00547D5F">
              <w:rPr>
                <w:rFonts w:ascii="Times New Roman" w:hAnsi="Times New Roman" w:cs="Times New Roman"/>
                <w:i/>
                <w:sz w:val="24"/>
                <w:szCs w:val="24"/>
              </w:rPr>
              <w:t xml:space="preserve"> įkeitimo sandor</w:t>
            </w:r>
            <w:r w:rsidRPr="00547D5F">
              <w:rPr>
                <w:rFonts w:ascii="Times New Roman" w:hAnsi="Times New Roman" w:cs="Times New Roman"/>
                <w:i/>
                <w:strike/>
                <w:sz w:val="24"/>
                <w:szCs w:val="24"/>
              </w:rPr>
              <w:t>į</w:t>
            </w:r>
            <w:r w:rsidRPr="00547D5F">
              <w:rPr>
                <w:rFonts w:ascii="Times New Roman" w:hAnsi="Times New Roman" w:cs="Times New Roman"/>
                <w:b/>
                <w:i/>
                <w:sz w:val="24"/>
                <w:szCs w:val="24"/>
              </w:rPr>
              <w:t>is</w:t>
            </w:r>
            <w:r w:rsidRPr="00547D5F">
              <w:rPr>
                <w:rFonts w:ascii="Times New Roman" w:hAnsi="Times New Roman" w:cs="Times New Roman"/>
                <w:i/>
                <w:sz w:val="24"/>
                <w:szCs w:val="24"/>
              </w:rPr>
              <w:t xml:space="preserve"> ir įkeitimo objekto savininko </w:t>
            </w:r>
            <w:r w:rsidRPr="00547D5F">
              <w:rPr>
                <w:rFonts w:ascii="Times New Roman" w:hAnsi="Times New Roman" w:cs="Times New Roman"/>
                <w:b/>
                <w:i/>
                <w:sz w:val="24"/>
                <w:szCs w:val="24"/>
              </w:rPr>
              <w:t>rašytinis</w:t>
            </w:r>
            <w:r w:rsidRPr="00547D5F">
              <w:rPr>
                <w:rFonts w:ascii="Times New Roman" w:hAnsi="Times New Roman" w:cs="Times New Roman"/>
                <w:i/>
                <w:sz w:val="24"/>
                <w:szCs w:val="24"/>
              </w:rPr>
              <w:t xml:space="preserve"> vienašal</w:t>
            </w:r>
            <w:r w:rsidRPr="00547D5F">
              <w:rPr>
                <w:rFonts w:ascii="Times New Roman" w:hAnsi="Times New Roman" w:cs="Times New Roman"/>
                <w:i/>
                <w:strike/>
                <w:sz w:val="24"/>
                <w:szCs w:val="24"/>
              </w:rPr>
              <w:t>į</w:t>
            </w:r>
            <w:r w:rsidRPr="00547D5F">
              <w:rPr>
                <w:rFonts w:ascii="Times New Roman" w:hAnsi="Times New Roman" w:cs="Times New Roman"/>
                <w:b/>
                <w:i/>
                <w:sz w:val="24"/>
                <w:szCs w:val="24"/>
              </w:rPr>
              <w:t>is</w:t>
            </w:r>
            <w:r w:rsidRPr="00547D5F">
              <w:rPr>
                <w:rFonts w:ascii="Times New Roman" w:hAnsi="Times New Roman" w:cs="Times New Roman"/>
                <w:i/>
                <w:sz w:val="24"/>
                <w:szCs w:val="24"/>
              </w:rPr>
              <w:t xml:space="preserve"> pareiškim</w:t>
            </w:r>
            <w:r w:rsidRPr="00547D5F">
              <w:rPr>
                <w:rFonts w:ascii="Times New Roman" w:hAnsi="Times New Roman" w:cs="Times New Roman"/>
                <w:i/>
                <w:strike/>
                <w:sz w:val="24"/>
                <w:szCs w:val="24"/>
              </w:rPr>
              <w:t>ą</w:t>
            </w:r>
            <w:r w:rsidRPr="00547D5F">
              <w:rPr>
                <w:rFonts w:ascii="Times New Roman" w:hAnsi="Times New Roman" w:cs="Times New Roman"/>
                <w:b/>
                <w:i/>
                <w:sz w:val="24"/>
                <w:szCs w:val="24"/>
              </w:rPr>
              <w:t>as</w:t>
            </w:r>
            <w:r w:rsidRPr="00547D5F">
              <w:rPr>
                <w:rFonts w:ascii="Times New Roman" w:hAnsi="Times New Roman" w:cs="Times New Roman"/>
                <w:i/>
                <w:sz w:val="24"/>
                <w:szCs w:val="24"/>
              </w:rPr>
              <w:t xml:space="preserve"> įkeisti daiktus ar turtines teises, </w:t>
            </w:r>
            <w:r w:rsidRPr="00547D5F">
              <w:rPr>
                <w:rFonts w:ascii="Times New Roman" w:hAnsi="Times New Roman" w:cs="Times New Roman"/>
                <w:i/>
                <w:strike/>
                <w:sz w:val="24"/>
                <w:szCs w:val="24"/>
              </w:rPr>
              <w:t>tvirtina notaras ir jie registruojami</w:t>
            </w:r>
            <w:r w:rsidRPr="00547D5F">
              <w:rPr>
                <w:rFonts w:ascii="Times New Roman" w:hAnsi="Times New Roman" w:cs="Times New Roman"/>
                <w:i/>
                <w:sz w:val="24"/>
                <w:szCs w:val="24"/>
              </w:rPr>
              <w:t xml:space="preserve"> </w:t>
            </w:r>
            <w:r w:rsidRPr="00547D5F">
              <w:rPr>
                <w:rFonts w:ascii="Times New Roman" w:hAnsi="Times New Roman" w:cs="Times New Roman"/>
                <w:i/>
                <w:strike/>
                <w:sz w:val="24"/>
                <w:szCs w:val="24"/>
              </w:rPr>
              <w:t>Hipotekos</w:t>
            </w:r>
            <w:r w:rsidRPr="00547D5F">
              <w:rPr>
                <w:rFonts w:ascii="Times New Roman" w:hAnsi="Times New Roman" w:cs="Times New Roman"/>
                <w:i/>
                <w:sz w:val="24"/>
                <w:szCs w:val="24"/>
              </w:rPr>
              <w:t xml:space="preserve"> </w:t>
            </w:r>
            <w:r w:rsidRPr="00547D5F">
              <w:rPr>
                <w:rFonts w:ascii="Times New Roman" w:hAnsi="Times New Roman" w:cs="Times New Roman"/>
                <w:b/>
                <w:i/>
                <w:sz w:val="24"/>
                <w:szCs w:val="24"/>
              </w:rPr>
              <w:t>kurių pagrindu atsiradęs įkeitimas</w:t>
            </w:r>
            <w:r w:rsidRPr="00547D5F">
              <w:rPr>
                <w:rFonts w:ascii="Times New Roman" w:hAnsi="Times New Roman" w:cs="Times New Roman"/>
                <w:i/>
                <w:sz w:val="24"/>
                <w:szCs w:val="24"/>
              </w:rPr>
              <w:t xml:space="preserve"> </w:t>
            </w:r>
            <w:r w:rsidRPr="00547D5F">
              <w:rPr>
                <w:rFonts w:ascii="Times New Roman" w:hAnsi="Times New Roman" w:cs="Times New Roman"/>
                <w:b/>
                <w:i/>
                <w:sz w:val="24"/>
                <w:szCs w:val="24"/>
              </w:rPr>
              <w:t>registruojamas</w:t>
            </w:r>
            <w:r w:rsidRPr="00547D5F">
              <w:rPr>
                <w:rFonts w:ascii="Times New Roman" w:hAnsi="Times New Roman" w:cs="Times New Roman"/>
                <w:i/>
                <w:sz w:val="24"/>
                <w:szCs w:val="24"/>
              </w:rPr>
              <w:t xml:space="preserve"> </w:t>
            </w:r>
            <w:r w:rsidRPr="00547D5F">
              <w:rPr>
                <w:rFonts w:ascii="Times New Roman" w:hAnsi="Times New Roman" w:cs="Times New Roman"/>
                <w:b/>
                <w:i/>
                <w:sz w:val="24"/>
                <w:szCs w:val="24"/>
              </w:rPr>
              <w:t xml:space="preserve">viešame </w:t>
            </w:r>
            <w:r w:rsidRPr="00547D5F">
              <w:rPr>
                <w:rFonts w:ascii="Times New Roman" w:hAnsi="Times New Roman" w:cs="Times New Roman"/>
                <w:i/>
                <w:sz w:val="24"/>
                <w:szCs w:val="24"/>
              </w:rPr>
              <w:t xml:space="preserve">registre. </w:t>
            </w:r>
            <w:r w:rsidRPr="00547D5F">
              <w:rPr>
                <w:rFonts w:ascii="Times New Roman" w:hAnsi="Times New Roman" w:cs="Times New Roman"/>
                <w:b/>
                <w:i/>
                <w:sz w:val="24"/>
                <w:szCs w:val="24"/>
              </w:rPr>
              <w:t>Įkeitimo sandoris</w:t>
            </w:r>
            <w:r w:rsidRPr="00547D5F">
              <w:rPr>
                <w:rFonts w:ascii="Times New Roman" w:hAnsi="Times New Roman" w:cs="Times New Roman"/>
                <w:i/>
                <w:sz w:val="24"/>
                <w:szCs w:val="24"/>
              </w:rPr>
              <w:t xml:space="preserve"> </w:t>
            </w:r>
            <w:r w:rsidRPr="00547D5F">
              <w:rPr>
                <w:rFonts w:ascii="Times New Roman" w:hAnsi="Times New Roman" w:cs="Times New Roman"/>
                <w:b/>
                <w:i/>
                <w:sz w:val="24"/>
                <w:szCs w:val="24"/>
              </w:rPr>
              <w:t>ir įkeitimo objekto savininko vienašalis pareiškimas įkeisti daiktus ar turtines teises gali būti sudaromi informacinių technologijų priemonėmis, įregistruojant įkeitimą viešame registre šio registro nuostatų nustatyta tvarka.</w:t>
            </w:r>
            <w:r w:rsidRPr="00547D5F">
              <w:rPr>
                <w:rFonts w:ascii="Times New Roman" w:hAnsi="Times New Roman" w:cs="Times New Roman"/>
                <w:i/>
                <w:sz w:val="24"/>
                <w:szCs w:val="24"/>
              </w:rPr>
              <w:t>“</w:t>
            </w:r>
          </w:p>
          <w:p w14:paraId="35CE623B" w14:textId="77777777" w:rsidR="00547D5F" w:rsidRDefault="00547D5F" w:rsidP="00ED7BCE">
            <w:pPr>
              <w:pStyle w:val="Komentarotekstas"/>
              <w:tabs>
                <w:tab w:val="left" w:pos="1276"/>
              </w:tabs>
              <w:jc w:val="both"/>
              <w:rPr>
                <w:rFonts w:ascii="Times New Roman" w:eastAsia="Calibri" w:hAnsi="Times New Roman"/>
                <w:sz w:val="24"/>
                <w:szCs w:val="24"/>
              </w:rPr>
            </w:pPr>
          </w:p>
          <w:p w14:paraId="499B3B63" w14:textId="77777777" w:rsidR="00F30BC4" w:rsidRDefault="00F30BC4" w:rsidP="00F45946">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Visų pirma, Lietuvos notarų rūmai remiasi tik prielaidomis, kad bankai už įkeitimo sutarties parengimą (dažnu atveju bankai sutartis rengia šablonines)</w:t>
            </w:r>
            <w:r w:rsidR="00062A92">
              <w:rPr>
                <w:rFonts w:ascii="Times New Roman" w:eastAsia="Calibri" w:hAnsi="Times New Roman"/>
                <w:sz w:val="24"/>
                <w:szCs w:val="24"/>
              </w:rPr>
              <w:t xml:space="preserve">, </w:t>
            </w:r>
            <w:r>
              <w:rPr>
                <w:rFonts w:ascii="Times New Roman" w:eastAsia="Calibri" w:hAnsi="Times New Roman"/>
                <w:sz w:val="24"/>
                <w:szCs w:val="24"/>
              </w:rPr>
              <w:t xml:space="preserve">įkeitimo įregistravimą </w:t>
            </w:r>
            <w:r w:rsidR="00062A92">
              <w:rPr>
                <w:rFonts w:ascii="Times New Roman" w:eastAsia="Calibri" w:hAnsi="Times New Roman"/>
                <w:sz w:val="24"/>
                <w:szCs w:val="24"/>
              </w:rPr>
              <w:t xml:space="preserve">ir hipotekos (įkeitimo) išregistravimą </w:t>
            </w:r>
            <w:r>
              <w:rPr>
                <w:rFonts w:ascii="Times New Roman" w:eastAsia="Calibri" w:hAnsi="Times New Roman"/>
                <w:sz w:val="24"/>
                <w:szCs w:val="24"/>
              </w:rPr>
              <w:t>imtų didesnį įkainį, nei šiuo metu mokama notarams. Šie argumentai atmestini jau vien todėl, kad veikiant konkurencijai, klientas visada galėtų pasirinkti pigesnį variantą.</w:t>
            </w:r>
          </w:p>
          <w:p w14:paraId="63422984" w14:textId="77777777" w:rsidR="0095074B" w:rsidRDefault="0095074B" w:rsidP="00F30BC4">
            <w:pPr>
              <w:pStyle w:val="Komentarotekstas"/>
              <w:tabs>
                <w:tab w:val="left" w:pos="1276"/>
              </w:tabs>
              <w:jc w:val="both"/>
              <w:rPr>
                <w:rFonts w:ascii="Times New Roman" w:eastAsia="Calibri" w:hAnsi="Times New Roman"/>
                <w:sz w:val="24"/>
                <w:szCs w:val="24"/>
              </w:rPr>
            </w:pPr>
          </w:p>
          <w:p w14:paraId="7C3FA403" w14:textId="77777777" w:rsidR="0095074B" w:rsidRDefault="0095074B" w:rsidP="00F30BC4">
            <w:pPr>
              <w:pStyle w:val="Komentarotekstas"/>
              <w:tabs>
                <w:tab w:val="left" w:pos="1276"/>
              </w:tabs>
              <w:jc w:val="both"/>
              <w:rPr>
                <w:rFonts w:ascii="Times New Roman" w:eastAsia="Calibri" w:hAnsi="Times New Roman"/>
                <w:sz w:val="24"/>
                <w:szCs w:val="24"/>
              </w:rPr>
            </w:pPr>
          </w:p>
          <w:p w14:paraId="3083F8FB" w14:textId="77777777" w:rsidR="0095074B" w:rsidRDefault="0095074B" w:rsidP="00F30BC4">
            <w:pPr>
              <w:pStyle w:val="Komentarotekstas"/>
              <w:tabs>
                <w:tab w:val="left" w:pos="1276"/>
              </w:tabs>
              <w:jc w:val="both"/>
              <w:rPr>
                <w:rFonts w:ascii="Times New Roman" w:eastAsia="Calibri" w:hAnsi="Times New Roman"/>
                <w:sz w:val="24"/>
                <w:szCs w:val="24"/>
              </w:rPr>
            </w:pPr>
          </w:p>
          <w:p w14:paraId="51F3929E" w14:textId="77777777" w:rsidR="00F45946" w:rsidRDefault="00F45946" w:rsidP="0095074B">
            <w:pPr>
              <w:pStyle w:val="Komentarotekstas"/>
              <w:tabs>
                <w:tab w:val="left" w:pos="1276"/>
              </w:tabs>
              <w:jc w:val="both"/>
              <w:rPr>
                <w:rFonts w:ascii="Times New Roman" w:eastAsia="Calibri" w:hAnsi="Times New Roman"/>
                <w:sz w:val="24"/>
                <w:szCs w:val="24"/>
              </w:rPr>
            </w:pPr>
          </w:p>
          <w:p w14:paraId="084CA4A6" w14:textId="77777777" w:rsidR="00F45946" w:rsidRDefault="00F45946" w:rsidP="0095074B">
            <w:pPr>
              <w:pStyle w:val="Komentarotekstas"/>
              <w:tabs>
                <w:tab w:val="left" w:pos="1276"/>
              </w:tabs>
              <w:jc w:val="both"/>
              <w:rPr>
                <w:rFonts w:ascii="Times New Roman" w:eastAsia="Calibri" w:hAnsi="Times New Roman"/>
                <w:sz w:val="24"/>
                <w:szCs w:val="24"/>
              </w:rPr>
            </w:pPr>
          </w:p>
          <w:p w14:paraId="7F552155" w14:textId="77777777" w:rsidR="0095074B" w:rsidRDefault="0095074B" w:rsidP="00F45946">
            <w:pPr>
              <w:pStyle w:val="Komentarotekstas"/>
              <w:tabs>
                <w:tab w:val="left" w:pos="1276"/>
              </w:tabs>
              <w:ind w:firstLine="318"/>
              <w:jc w:val="both"/>
              <w:rPr>
                <w:rFonts w:ascii="Times New Roman" w:eastAsia="Calibri" w:hAnsi="Times New Roman"/>
                <w:sz w:val="24"/>
                <w:szCs w:val="24"/>
              </w:rPr>
            </w:pPr>
            <w:r w:rsidRPr="00467BF0">
              <w:rPr>
                <w:rFonts w:ascii="Times New Roman" w:eastAsia="Calibri" w:hAnsi="Times New Roman"/>
                <w:sz w:val="24"/>
                <w:szCs w:val="24"/>
              </w:rPr>
              <w:lastRenderedPageBreak/>
              <w:t xml:space="preserve">Lietuvos notarų rūmai teigia užtikrinantys registro duomenų patikimumą, teisingumą ir skaidrumą, tačiau vėlgi, nepagrindžia </w:t>
            </w:r>
            <w:r w:rsidR="00F45946" w:rsidRPr="00467BF0">
              <w:rPr>
                <w:rFonts w:ascii="Times New Roman" w:eastAsia="Calibri" w:hAnsi="Times New Roman"/>
                <w:sz w:val="24"/>
                <w:szCs w:val="24"/>
              </w:rPr>
              <w:t xml:space="preserve">realaus jų </w:t>
            </w:r>
            <w:r w:rsidRPr="00467BF0">
              <w:rPr>
                <w:rFonts w:ascii="Times New Roman" w:eastAsia="Calibri" w:hAnsi="Times New Roman"/>
                <w:sz w:val="24"/>
                <w:szCs w:val="24"/>
              </w:rPr>
              <w:t>vaidmens įkeitimo sandorių sudarymo procese (plačiau žr. prie 2 pastabos).</w:t>
            </w:r>
          </w:p>
          <w:p w14:paraId="7FECC072"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389FDE4F"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68205124"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3AD5C71E"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36449919"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00B22DB3"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4E8FE8CB" w14:textId="77777777" w:rsidR="00526B36" w:rsidRDefault="00526B36" w:rsidP="00F45946">
            <w:pPr>
              <w:pStyle w:val="Komentarotekstas"/>
              <w:tabs>
                <w:tab w:val="left" w:pos="1276"/>
              </w:tabs>
              <w:ind w:firstLine="318"/>
              <w:jc w:val="both"/>
              <w:rPr>
                <w:rFonts w:ascii="Times New Roman" w:eastAsia="Calibri" w:hAnsi="Times New Roman"/>
                <w:sz w:val="24"/>
                <w:szCs w:val="24"/>
              </w:rPr>
            </w:pPr>
          </w:p>
          <w:p w14:paraId="01E29981" w14:textId="77777777" w:rsidR="00F45946" w:rsidRDefault="00F45946" w:rsidP="00F45946">
            <w:pPr>
              <w:pStyle w:val="Komentarotekstas"/>
              <w:tabs>
                <w:tab w:val="left" w:pos="1276"/>
              </w:tabs>
              <w:ind w:firstLine="318"/>
              <w:jc w:val="both"/>
              <w:rPr>
                <w:rFonts w:ascii="Times New Roman" w:eastAsia="Calibri" w:hAnsi="Times New Roman"/>
                <w:sz w:val="24"/>
                <w:szCs w:val="24"/>
              </w:rPr>
            </w:pPr>
          </w:p>
          <w:p w14:paraId="6D279C10" w14:textId="51498E5B" w:rsidR="00526B36" w:rsidRPr="00ED7BCE" w:rsidRDefault="007C3373" w:rsidP="0036515A">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 xml:space="preserve">Pažymėtina, kad visoms, </w:t>
            </w:r>
            <w:r w:rsidRPr="007C3373">
              <w:rPr>
                <w:rFonts w:ascii="Times New Roman" w:eastAsia="Calibri" w:hAnsi="Times New Roman"/>
                <w:sz w:val="24"/>
                <w:szCs w:val="24"/>
              </w:rPr>
              <w:t>Lietuvos Respublikos pinigų plovimo ir teroristų finansavimo prevencijos įstatymas</w:t>
            </w:r>
            <w:r>
              <w:rPr>
                <w:rFonts w:ascii="Times New Roman" w:eastAsia="Calibri" w:hAnsi="Times New Roman"/>
                <w:sz w:val="24"/>
                <w:szCs w:val="24"/>
              </w:rPr>
              <w:t xml:space="preserve"> </w:t>
            </w:r>
            <w:r w:rsidR="00526B36" w:rsidRPr="00526B36">
              <w:rPr>
                <w:rFonts w:ascii="Times New Roman" w:eastAsia="Calibri" w:hAnsi="Times New Roman"/>
                <w:sz w:val="24"/>
                <w:szCs w:val="24"/>
              </w:rPr>
              <w:t>3 straipsn</w:t>
            </w:r>
            <w:r>
              <w:rPr>
                <w:rFonts w:ascii="Times New Roman" w:eastAsia="Calibri" w:hAnsi="Times New Roman"/>
                <w:sz w:val="24"/>
                <w:szCs w:val="24"/>
              </w:rPr>
              <w:t>yje nurodytoms, u</w:t>
            </w:r>
            <w:r w:rsidR="00526B36" w:rsidRPr="00526B36">
              <w:rPr>
                <w:rFonts w:ascii="Times New Roman" w:eastAsia="Calibri" w:hAnsi="Times New Roman"/>
                <w:sz w:val="24"/>
                <w:szCs w:val="24"/>
              </w:rPr>
              <w:t xml:space="preserve">ž pinigų plovimo ir (ar) teroristų finansavimo </w:t>
            </w:r>
            <w:r w:rsidR="00526B36" w:rsidRPr="00467BF0">
              <w:rPr>
                <w:rFonts w:ascii="Times New Roman" w:eastAsia="Calibri" w:hAnsi="Times New Roman"/>
                <w:sz w:val="24"/>
                <w:szCs w:val="24"/>
              </w:rPr>
              <w:t>prevenciją atsakingo</w:t>
            </w:r>
            <w:r w:rsidRPr="00467BF0">
              <w:rPr>
                <w:rFonts w:ascii="Times New Roman" w:eastAsia="Calibri" w:hAnsi="Times New Roman"/>
                <w:sz w:val="24"/>
                <w:szCs w:val="24"/>
              </w:rPr>
              <w:t>m</w:t>
            </w:r>
            <w:r w:rsidR="00526B36" w:rsidRPr="00467BF0">
              <w:rPr>
                <w:rFonts w:ascii="Times New Roman" w:eastAsia="Calibri" w:hAnsi="Times New Roman"/>
                <w:sz w:val="24"/>
                <w:szCs w:val="24"/>
              </w:rPr>
              <w:t>s institucijo</w:t>
            </w:r>
            <w:r w:rsidRPr="00467BF0">
              <w:rPr>
                <w:rFonts w:ascii="Times New Roman" w:eastAsia="Calibri" w:hAnsi="Times New Roman"/>
                <w:sz w:val="24"/>
                <w:szCs w:val="24"/>
              </w:rPr>
              <w:t>m</w:t>
            </w:r>
            <w:r w:rsidR="00526B36" w:rsidRPr="00467BF0">
              <w:rPr>
                <w:rFonts w:ascii="Times New Roman" w:eastAsia="Calibri" w:hAnsi="Times New Roman"/>
                <w:sz w:val="24"/>
                <w:szCs w:val="24"/>
              </w:rPr>
              <w:t>s</w:t>
            </w:r>
            <w:r>
              <w:rPr>
                <w:rFonts w:ascii="Times New Roman" w:eastAsia="Calibri" w:hAnsi="Times New Roman"/>
                <w:sz w:val="24"/>
                <w:szCs w:val="24"/>
              </w:rPr>
              <w:t xml:space="preserve"> valstybės registrų duomenys yra prieinami. Be to, įgyvendinant projekto ir P</w:t>
            </w:r>
            <w:r w:rsidRPr="007C3373">
              <w:rPr>
                <w:rFonts w:ascii="Times New Roman" w:eastAsia="Calibri" w:hAnsi="Times New Roman"/>
                <w:sz w:val="24"/>
                <w:szCs w:val="24"/>
              </w:rPr>
              <w:t>inigų plovimo ir teroristų finansavimo prevencijos įstatym</w:t>
            </w:r>
            <w:r>
              <w:rPr>
                <w:rFonts w:ascii="Times New Roman" w:eastAsia="Calibri" w:hAnsi="Times New Roman"/>
                <w:sz w:val="24"/>
                <w:szCs w:val="24"/>
              </w:rPr>
              <w:t xml:space="preserve">o nuostatas, prireikus galima nustatyti ir atlikti sisteminius pakeitimus, automatiškai identifikuojančius kai kuriuos </w:t>
            </w:r>
            <w:r w:rsidRPr="007C3373">
              <w:rPr>
                <w:rFonts w:ascii="Times New Roman" w:eastAsia="Calibri" w:hAnsi="Times New Roman"/>
                <w:sz w:val="24"/>
                <w:szCs w:val="24"/>
              </w:rPr>
              <w:t>pinigų plovimo ir teroristų finansavimo</w:t>
            </w:r>
            <w:r>
              <w:rPr>
                <w:rFonts w:ascii="Times New Roman" w:eastAsia="Calibri" w:hAnsi="Times New Roman"/>
                <w:sz w:val="24"/>
                <w:szCs w:val="24"/>
              </w:rPr>
              <w:t xml:space="preserve"> rizikos kriterijus (pvz. didelę sandorio vertę, atsiskaitymas didele grynųjų pinigų suma, sandorio šalių specifika (pvz. Lengvatinio apmokestinimo bendrovė) ir pan.)</w:t>
            </w:r>
            <w:r w:rsidR="00F45946">
              <w:rPr>
                <w:rFonts w:ascii="Times New Roman" w:eastAsia="Calibri" w:hAnsi="Times New Roman"/>
                <w:sz w:val="24"/>
                <w:szCs w:val="24"/>
              </w:rPr>
              <w:t xml:space="preserve">, </w:t>
            </w:r>
            <w:r w:rsidR="001E38A0">
              <w:rPr>
                <w:rFonts w:ascii="Times New Roman" w:eastAsia="Calibri" w:hAnsi="Times New Roman"/>
                <w:sz w:val="24"/>
                <w:szCs w:val="24"/>
              </w:rPr>
              <w:t xml:space="preserve">pagal kuriuos atrinktus duomenis </w:t>
            </w:r>
            <w:r w:rsidR="00F45946">
              <w:rPr>
                <w:rFonts w:ascii="Times New Roman" w:eastAsia="Calibri" w:hAnsi="Times New Roman"/>
                <w:sz w:val="24"/>
                <w:szCs w:val="24"/>
              </w:rPr>
              <w:t>Finansinių nusikaltimų tyrimo tarnyb</w:t>
            </w:r>
            <w:r w:rsidR="001E38A0">
              <w:rPr>
                <w:rFonts w:ascii="Times New Roman" w:eastAsia="Calibri" w:hAnsi="Times New Roman"/>
                <w:sz w:val="24"/>
                <w:szCs w:val="24"/>
              </w:rPr>
              <w:t>ai galėtų teikti</w:t>
            </w:r>
            <w:r w:rsidR="00F45946">
              <w:rPr>
                <w:rFonts w:ascii="Times New Roman" w:eastAsia="Calibri" w:hAnsi="Times New Roman"/>
                <w:sz w:val="24"/>
                <w:szCs w:val="24"/>
              </w:rPr>
              <w:t xml:space="preserve"> valstybės įmonė Registrų centras, arba šiuos duomenis </w:t>
            </w:r>
            <w:r w:rsidR="001E38A0">
              <w:rPr>
                <w:rFonts w:ascii="Times New Roman" w:eastAsia="Calibri" w:hAnsi="Times New Roman"/>
                <w:sz w:val="24"/>
                <w:szCs w:val="24"/>
              </w:rPr>
              <w:t xml:space="preserve">tarnyba </w:t>
            </w:r>
            <w:r w:rsidR="00F45946">
              <w:rPr>
                <w:rFonts w:ascii="Times New Roman" w:eastAsia="Calibri" w:hAnsi="Times New Roman"/>
                <w:sz w:val="24"/>
                <w:szCs w:val="24"/>
              </w:rPr>
              <w:t>gaut</w:t>
            </w:r>
            <w:r w:rsidR="001E38A0">
              <w:rPr>
                <w:rFonts w:ascii="Times New Roman" w:eastAsia="Calibri" w:hAnsi="Times New Roman"/>
                <w:sz w:val="24"/>
                <w:szCs w:val="24"/>
              </w:rPr>
              <w:t>ų</w:t>
            </w:r>
            <w:r w:rsidR="00F45946">
              <w:rPr>
                <w:rFonts w:ascii="Times New Roman" w:eastAsia="Calibri" w:hAnsi="Times New Roman"/>
                <w:sz w:val="24"/>
                <w:szCs w:val="24"/>
              </w:rPr>
              <w:t xml:space="preserve"> tiesiai iš </w:t>
            </w:r>
            <w:r w:rsidR="0036515A">
              <w:rPr>
                <w:rFonts w:ascii="Times New Roman" w:eastAsia="Calibri" w:hAnsi="Times New Roman"/>
                <w:sz w:val="24"/>
                <w:szCs w:val="24"/>
              </w:rPr>
              <w:t>registro</w:t>
            </w:r>
            <w:r w:rsidR="00F45946">
              <w:rPr>
                <w:rFonts w:ascii="Times New Roman" w:eastAsia="Calibri" w:hAnsi="Times New Roman"/>
                <w:sz w:val="24"/>
                <w:szCs w:val="24"/>
              </w:rPr>
              <w:t>.</w:t>
            </w:r>
          </w:p>
        </w:tc>
      </w:tr>
      <w:tr w:rsidR="003C4CEF" w:rsidRPr="000479E4" w14:paraId="671EF8E3" w14:textId="77777777" w:rsidTr="00ED3083">
        <w:trPr>
          <w:cantSplit/>
          <w:trHeight w:val="3349"/>
        </w:trPr>
        <w:tc>
          <w:tcPr>
            <w:tcW w:w="1586" w:type="dxa"/>
            <w:gridSpan w:val="3"/>
            <w:shd w:val="clear" w:color="auto" w:fill="auto"/>
          </w:tcPr>
          <w:p w14:paraId="0D54600C" w14:textId="77777777" w:rsidR="003C4CEF" w:rsidRDefault="003C4CEF"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78F56B25" w14:textId="77777777" w:rsidR="003C4CEF" w:rsidRDefault="003C4CEF" w:rsidP="00BF77DE">
            <w:pPr>
              <w:pStyle w:val="Pagrindiniotekstotrauka"/>
              <w:ind w:firstLine="317"/>
              <w:rPr>
                <w:szCs w:val="24"/>
              </w:rPr>
            </w:pPr>
            <w:r>
              <w:rPr>
                <w:szCs w:val="24"/>
              </w:rPr>
              <w:t>9. „</w:t>
            </w:r>
            <w:r w:rsidR="007C5C73" w:rsidRPr="007C5C73">
              <w:rPr>
                <w:szCs w:val="24"/>
              </w:rPr>
              <w:t>Projekto 10 straipsniu siūloma nustatyti, kad įkeitimo sandoriui pakanka rašytinės</w:t>
            </w:r>
            <w:r w:rsidR="007C5C73">
              <w:rPr>
                <w:szCs w:val="24"/>
              </w:rPr>
              <w:t xml:space="preserve"> </w:t>
            </w:r>
            <w:r w:rsidR="007C5C73" w:rsidRPr="007C5C73">
              <w:rPr>
                <w:szCs w:val="24"/>
              </w:rPr>
              <w:t>formos ir tais atvejais, kai įkeitimo objektas perduodamas trečiajam asmeniui arba paliekamas</w:t>
            </w:r>
            <w:r w:rsidR="007C5C73">
              <w:rPr>
                <w:szCs w:val="24"/>
              </w:rPr>
              <w:t xml:space="preserve"> </w:t>
            </w:r>
            <w:r w:rsidR="007C5C73" w:rsidRPr="007C5C73">
              <w:rPr>
                <w:szCs w:val="24"/>
              </w:rPr>
              <w:t>įkaito davėjui. Šis klausimas buvo išsamiai išanalizuotas atliekant hipotekos ir įkeitimo teisės</w:t>
            </w:r>
            <w:r w:rsidR="007C5C73">
              <w:rPr>
                <w:szCs w:val="24"/>
              </w:rPr>
              <w:t xml:space="preserve"> </w:t>
            </w:r>
            <w:r w:rsidR="007C5C73" w:rsidRPr="007C5C73">
              <w:rPr>
                <w:szCs w:val="24"/>
              </w:rPr>
              <w:t>reform</w:t>
            </w:r>
            <w:r w:rsidR="00BF77DE">
              <w:rPr>
                <w:szCs w:val="24"/>
              </w:rPr>
              <w:t>ą</w:t>
            </w:r>
            <w:r w:rsidR="007C5C73" w:rsidRPr="007C5C73">
              <w:rPr>
                <w:szCs w:val="24"/>
              </w:rPr>
              <w:t>, įsigaliojusią 2012 m., ir buvo nutarta likti prie notarinės įkeitimo sandorio formos.</w:t>
            </w:r>
            <w:r w:rsidR="007C5C73">
              <w:rPr>
                <w:szCs w:val="24"/>
              </w:rPr>
              <w:t xml:space="preserve"> </w:t>
            </w:r>
            <w:r w:rsidR="007C5C73" w:rsidRPr="007C5C73">
              <w:rPr>
                <w:szCs w:val="24"/>
              </w:rPr>
              <w:t>Įkeitimo sandoriai būna sudėtingi, įkeičiami turtiniai kompleksai, įvairios turtinės teisės,</w:t>
            </w:r>
            <w:r w:rsidR="007C5C73">
              <w:rPr>
                <w:szCs w:val="24"/>
              </w:rPr>
              <w:t xml:space="preserve"> </w:t>
            </w:r>
            <w:r w:rsidR="007C5C73" w:rsidRPr="007C5C73">
              <w:rPr>
                <w:szCs w:val="24"/>
              </w:rPr>
              <w:t>aptariama išieškojimo tvarka. Be to, ir įkeičiamas kilnojamasis turtas gali būti didelės vertės ir</w:t>
            </w:r>
            <w:r w:rsidR="007C5C73">
              <w:rPr>
                <w:szCs w:val="24"/>
              </w:rPr>
              <w:t xml:space="preserve"> </w:t>
            </w:r>
            <w:r w:rsidR="007C5C73" w:rsidRPr="007C5C73">
              <w:rPr>
                <w:szCs w:val="24"/>
              </w:rPr>
              <w:t>reikšmingas įkaito davėjui. Sudarant įkeitimo sandorius svarbi pažeidžiamų asmenų ir abiejų</w:t>
            </w:r>
            <w:r w:rsidR="007C5C73">
              <w:rPr>
                <w:szCs w:val="24"/>
              </w:rPr>
              <w:t xml:space="preserve"> </w:t>
            </w:r>
            <w:r w:rsidR="007C5C73" w:rsidRPr="007C5C73">
              <w:rPr>
                <w:szCs w:val="24"/>
              </w:rPr>
              <w:t>šalių interesų apsauga bei kiti anksčiau šiame rašte nurodyti motyvai dėl notarinės formos. Yra</w:t>
            </w:r>
            <w:r w:rsidR="007C5C73">
              <w:rPr>
                <w:szCs w:val="24"/>
              </w:rPr>
              <w:t xml:space="preserve"> </w:t>
            </w:r>
            <w:r w:rsidR="007C5C73" w:rsidRPr="007C5C73">
              <w:rPr>
                <w:szCs w:val="24"/>
              </w:rPr>
              <w:t>užsienio valstybių, kuriose nereikalaujama įkeitimo sandorio tvirtinti notariškai, o įkeitimo teisę</w:t>
            </w:r>
            <w:r w:rsidR="007C5C73">
              <w:rPr>
                <w:szCs w:val="24"/>
              </w:rPr>
              <w:t xml:space="preserve"> </w:t>
            </w:r>
            <w:r w:rsidR="007C5C73" w:rsidRPr="007C5C73">
              <w:rPr>
                <w:szCs w:val="24"/>
              </w:rPr>
              <w:t>viešame registre registruoti gali pačios šalys. Tačiau tai yra bendrosios teisės tradicijos valstybės,</w:t>
            </w:r>
            <w:r w:rsidR="007C5C73">
              <w:rPr>
                <w:szCs w:val="24"/>
              </w:rPr>
              <w:t xml:space="preserve"> </w:t>
            </w:r>
            <w:r w:rsidR="007C5C73" w:rsidRPr="007C5C73">
              <w:rPr>
                <w:szCs w:val="24"/>
              </w:rPr>
              <w:t>kurios apskritai neturi lotyniškojo notariato modelio ir, svarbiausia, tokia registracija turi kitokią</w:t>
            </w:r>
            <w:r w:rsidR="007C5C73">
              <w:rPr>
                <w:szCs w:val="24"/>
              </w:rPr>
              <w:t xml:space="preserve"> </w:t>
            </w:r>
            <w:r w:rsidR="007C5C73" w:rsidRPr="007C5C73">
              <w:rPr>
                <w:szCs w:val="24"/>
              </w:rPr>
              <w:t>teisinę reikšmę negu Lietuvoje. Tokiai registracijai, vadinamai „pranešimo registracija“ (angl.</w:t>
            </w:r>
            <w:r w:rsidR="007C5C73">
              <w:rPr>
                <w:szCs w:val="24"/>
              </w:rPr>
              <w:t xml:space="preserve"> </w:t>
            </w:r>
            <w:r w:rsidR="007C5C73" w:rsidRPr="007C5C73">
              <w:rPr>
                <w:i/>
                <w:szCs w:val="24"/>
              </w:rPr>
              <w:t>notice filing</w:t>
            </w:r>
            <w:r w:rsidR="007C5C73" w:rsidRPr="007C5C73">
              <w:rPr>
                <w:szCs w:val="24"/>
              </w:rPr>
              <w:t>) netaikoma duomenų teisingumo prezumpcija. Registracijos faktas tik įspėja</w:t>
            </w:r>
            <w:r w:rsidR="007C5C73">
              <w:rPr>
                <w:szCs w:val="24"/>
              </w:rPr>
              <w:t xml:space="preserve"> </w:t>
            </w:r>
            <w:r w:rsidR="007C5C73" w:rsidRPr="007C5C73">
              <w:rPr>
                <w:szCs w:val="24"/>
              </w:rPr>
              <w:t>trečiuosius asmenis, kad turtas gali būti įkeistas (bet nebūtinai yra), o teisinį tyrim</w:t>
            </w:r>
            <w:r w:rsidR="007C5C73">
              <w:rPr>
                <w:szCs w:val="24"/>
              </w:rPr>
              <w:t>ą</w:t>
            </w:r>
            <w:r w:rsidR="007C5C73" w:rsidRPr="007C5C73">
              <w:rPr>
                <w:szCs w:val="24"/>
              </w:rPr>
              <w:t xml:space="preserve"> atlikti turi</w:t>
            </w:r>
            <w:r w:rsidR="007C5C73">
              <w:rPr>
                <w:szCs w:val="24"/>
              </w:rPr>
              <w:t xml:space="preserve"> </w:t>
            </w:r>
            <w:r w:rsidR="007C5C73" w:rsidRPr="007C5C73">
              <w:rPr>
                <w:szCs w:val="24"/>
              </w:rPr>
              <w:t>pats tretysis asmuo. Siūlomas įkeitimo reguliavimas atveria keli</w:t>
            </w:r>
            <w:r w:rsidR="007C5C73">
              <w:rPr>
                <w:szCs w:val="24"/>
              </w:rPr>
              <w:t>ą</w:t>
            </w:r>
            <w:r w:rsidR="007C5C73" w:rsidRPr="007C5C73">
              <w:rPr>
                <w:szCs w:val="24"/>
              </w:rPr>
              <w:t xml:space="preserve"> piktnaudžiavimui. Atsiranda</w:t>
            </w:r>
            <w:r w:rsidR="007C5C73">
              <w:rPr>
                <w:szCs w:val="24"/>
              </w:rPr>
              <w:t xml:space="preserve"> </w:t>
            </w:r>
            <w:r w:rsidR="007C5C73" w:rsidRPr="007C5C73">
              <w:rPr>
                <w:szCs w:val="24"/>
              </w:rPr>
              <w:t>reali rizika, kad įkeitimas bus pradėtas naudoti siekiant apsaugoti skolininko turt</w:t>
            </w:r>
            <w:r w:rsidR="007C5C73">
              <w:rPr>
                <w:szCs w:val="24"/>
              </w:rPr>
              <w:t>ą</w:t>
            </w:r>
            <w:r w:rsidR="007C5C73" w:rsidRPr="007C5C73">
              <w:rPr>
                <w:szCs w:val="24"/>
              </w:rPr>
              <w:t xml:space="preserve"> nuo sąžiningų</w:t>
            </w:r>
            <w:r w:rsidR="007C5C73">
              <w:rPr>
                <w:szCs w:val="24"/>
              </w:rPr>
              <w:t xml:space="preserve"> kreditorių reikalavimų. Skol</w:t>
            </w:r>
            <w:r w:rsidR="007C5C73" w:rsidRPr="007C5C73">
              <w:rPr>
                <w:szCs w:val="24"/>
              </w:rPr>
              <w:t>ininkas, sutaręs su bet kokiu susijusiu asmeniu, galės įkeitimu</w:t>
            </w:r>
            <w:r w:rsidR="007C5C73">
              <w:rPr>
                <w:szCs w:val="24"/>
              </w:rPr>
              <w:t xml:space="preserve"> </w:t>
            </w:r>
            <w:r w:rsidR="007C5C73" w:rsidRPr="007C5C73">
              <w:rPr>
                <w:szCs w:val="24"/>
              </w:rPr>
              <w:lastRenderedPageBreak/>
              <w:t>apsunkinti visą savo kilnojamąjį turtą ir apsimestinis kreditorius įgis absoliutų prioritetą prieš</w:t>
            </w:r>
            <w:r w:rsidR="007C5C73">
              <w:rPr>
                <w:szCs w:val="24"/>
              </w:rPr>
              <w:t xml:space="preserve"> </w:t>
            </w:r>
            <w:r w:rsidR="007C5C73" w:rsidRPr="007C5C73">
              <w:rPr>
                <w:szCs w:val="24"/>
              </w:rPr>
              <w:t>visus kitus skolininko kreditorius. Tokių nesąžiningų skolininkų atsiras ir socialiai jautriose</w:t>
            </w:r>
            <w:r w:rsidR="007C5C73">
              <w:rPr>
                <w:szCs w:val="24"/>
              </w:rPr>
              <w:t xml:space="preserve"> </w:t>
            </w:r>
            <w:r w:rsidR="007C5C73" w:rsidRPr="007C5C73">
              <w:rPr>
                <w:szCs w:val="24"/>
              </w:rPr>
              <w:t>srityse. Pavyzdžiui, asmuo, turintis mokėti išlaikymą nepilnamečiam vaikui, įkeis savo turtą</w:t>
            </w:r>
            <w:r w:rsidR="007C5C73">
              <w:rPr>
                <w:szCs w:val="24"/>
              </w:rPr>
              <w:t xml:space="preserve"> </w:t>
            </w:r>
            <w:r w:rsidR="007C5C73" w:rsidRPr="007C5C73">
              <w:rPr>
                <w:szCs w:val="24"/>
              </w:rPr>
              <w:t>(įskaitant ir pinigines lėšas) pagal menamas prievoles, ir į jo turt</w:t>
            </w:r>
            <w:r w:rsidR="007C5C73">
              <w:rPr>
                <w:szCs w:val="24"/>
              </w:rPr>
              <w:t>ą</w:t>
            </w:r>
            <w:r w:rsidR="007C5C73" w:rsidRPr="007C5C73">
              <w:rPr>
                <w:szCs w:val="24"/>
              </w:rPr>
              <w:t xml:space="preserve"> (taip pat ir lėšas) išieškojimas</w:t>
            </w:r>
            <w:r w:rsidR="007C5C73">
              <w:rPr>
                <w:szCs w:val="24"/>
              </w:rPr>
              <w:t xml:space="preserve"> </w:t>
            </w:r>
            <w:r w:rsidR="007C5C73" w:rsidRPr="007C5C73">
              <w:rPr>
                <w:szCs w:val="24"/>
              </w:rPr>
              <w:t>galės būti nukreiptas tik po labai ilgo proceso. Toks piktnaudžiavimas teise sukompromi</w:t>
            </w:r>
            <w:r w:rsidR="007C5C73">
              <w:rPr>
                <w:szCs w:val="24"/>
              </w:rPr>
              <w:t>tu</w:t>
            </w:r>
            <w:r w:rsidR="007C5C73" w:rsidRPr="007C5C73">
              <w:rPr>
                <w:szCs w:val="24"/>
              </w:rPr>
              <w:t>os visą</w:t>
            </w:r>
            <w:r w:rsidR="007C5C73">
              <w:rPr>
                <w:szCs w:val="24"/>
              </w:rPr>
              <w:t xml:space="preserve"> </w:t>
            </w:r>
            <w:r w:rsidR="007C5C73" w:rsidRPr="007C5C73">
              <w:rPr>
                <w:szCs w:val="24"/>
              </w:rPr>
              <w:t>įkeitimo teisinį reguliavimą, registro duomenų patikimumą bei sukels visuomenės pasipiktinimą.</w:t>
            </w:r>
            <w:r>
              <w:rPr>
                <w:szCs w:val="24"/>
              </w:rPr>
              <w:t>“</w:t>
            </w:r>
          </w:p>
        </w:tc>
        <w:tc>
          <w:tcPr>
            <w:tcW w:w="8593" w:type="dxa"/>
            <w:tcBorders>
              <w:top w:val="single" w:sz="4" w:space="0" w:color="auto"/>
              <w:bottom w:val="single" w:sz="4" w:space="0" w:color="auto"/>
            </w:tcBorders>
            <w:shd w:val="clear" w:color="auto" w:fill="auto"/>
          </w:tcPr>
          <w:p w14:paraId="7A1C72E2" w14:textId="77777777" w:rsidR="003C4CEF" w:rsidRDefault="003C4CEF" w:rsidP="00BF77DE">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lastRenderedPageBreak/>
              <w:t>Neatsižvelgta.</w:t>
            </w:r>
          </w:p>
          <w:p w14:paraId="30703F77" w14:textId="77777777" w:rsidR="00A75B36" w:rsidRDefault="007C5C73" w:rsidP="00BF77DE">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Lietuvos notarų rūmai dar kartą kelią klausimą dėl įkeitimo sandorio duomenų patikimumo, tačiau i</w:t>
            </w:r>
            <w:r w:rsidR="00BF77DE">
              <w:rPr>
                <w:rFonts w:ascii="Times New Roman" w:eastAsia="Calibri" w:hAnsi="Times New Roman"/>
                <w:sz w:val="24"/>
                <w:szCs w:val="24"/>
              </w:rPr>
              <w:t>r</w:t>
            </w:r>
            <w:r>
              <w:rPr>
                <w:rFonts w:ascii="Times New Roman" w:eastAsia="Calibri" w:hAnsi="Times New Roman"/>
                <w:sz w:val="24"/>
                <w:szCs w:val="24"/>
              </w:rPr>
              <w:t xml:space="preserve"> šiame kontekste nepateikia atsakymo, kaip duomenų patikimumą kilnojamųjų daiktų įkeitimo atveju užtikrina notaras. Įvardijami galimai fiktyvūs sandoriai įmanomi ir esant dabartiniam reguliavimui, nes</w:t>
            </w:r>
            <w:r w:rsidR="009641A9">
              <w:rPr>
                <w:rFonts w:ascii="Times New Roman" w:eastAsia="Calibri" w:hAnsi="Times New Roman"/>
                <w:sz w:val="24"/>
                <w:szCs w:val="24"/>
              </w:rPr>
              <w:t>,</w:t>
            </w:r>
            <w:r>
              <w:rPr>
                <w:rFonts w:ascii="Times New Roman" w:eastAsia="Calibri" w:hAnsi="Times New Roman"/>
                <w:sz w:val="24"/>
                <w:szCs w:val="24"/>
              </w:rPr>
              <w:t xml:space="preserve"> kaip jau minėta, notarų galimybės </w:t>
            </w:r>
            <w:r w:rsidR="00BF77DE">
              <w:rPr>
                <w:rFonts w:ascii="Times New Roman" w:eastAsia="Calibri" w:hAnsi="Times New Roman"/>
                <w:sz w:val="24"/>
                <w:szCs w:val="24"/>
              </w:rPr>
              <w:t xml:space="preserve">užkirsti kelią fiktyviems sandoriams </w:t>
            </w:r>
            <w:r>
              <w:rPr>
                <w:rFonts w:ascii="Times New Roman" w:eastAsia="Calibri" w:hAnsi="Times New Roman"/>
                <w:sz w:val="24"/>
                <w:szCs w:val="24"/>
              </w:rPr>
              <w:t xml:space="preserve">taip pat </w:t>
            </w:r>
            <w:r w:rsidRPr="00467BF0">
              <w:rPr>
                <w:rFonts w:ascii="Times New Roman" w:eastAsia="Calibri" w:hAnsi="Times New Roman"/>
                <w:sz w:val="24"/>
                <w:szCs w:val="24"/>
              </w:rPr>
              <w:t xml:space="preserve">yra </w:t>
            </w:r>
            <w:r w:rsidR="000011AB" w:rsidRPr="00467BF0">
              <w:rPr>
                <w:rFonts w:ascii="Times New Roman" w:eastAsia="Calibri" w:hAnsi="Times New Roman"/>
                <w:sz w:val="24"/>
                <w:szCs w:val="24"/>
              </w:rPr>
              <w:t>apribotos dėl įkeičiamo turto specifikos (kilnojamų daiktų nuosavybės teisių nustatymo), tuo</w:t>
            </w:r>
            <w:r w:rsidR="000011AB">
              <w:rPr>
                <w:rFonts w:ascii="Times New Roman" w:eastAsia="Calibri" w:hAnsi="Times New Roman"/>
                <w:sz w:val="24"/>
                <w:szCs w:val="24"/>
              </w:rPr>
              <w:t xml:space="preserve"> tarpu vis pakartotinai </w:t>
            </w:r>
            <w:r w:rsidR="000011AB" w:rsidRPr="007E66CF">
              <w:rPr>
                <w:rFonts w:ascii="Times New Roman" w:eastAsia="Calibri" w:hAnsi="Times New Roman"/>
                <w:sz w:val="24"/>
                <w:szCs w:val="24"/>
              </w:rPr>
              <w:t>deklaruojamas notarų atliekamas „sandorio pasekmių išaiškinimas“ neužtikrina įkeitimo sandorio patikimumo</w:t>
            </w:r>
            <w:r w:rsidR="000011AB">
              <w:rPr>
                <w:rFonts w:ascii="Times New Roman" w:eastAsia="Calibri" w:hAnsi="Times New Roman"/>
                <w:sz w:val="24"/>
                <w:szCs w:val="24"/>
              </w:rPr>
              <w:t xml:space="preserve">. Manytina, kad priešingai, nei baiminasi notarų atstovai, galimybė sandorio šalims prisiimti atsakomybę, paskatins sandorio šalis atidžiau pasidomėti jų sudaromo sandorio prasme ir pasekmėmis, nei tiesiog pasikliauti notaro tvirtinimu, kuris, kaip minėta, ne visuomet turi galimybes užtikrinti šimtaprocentinį sandorio patikimumą. </w:t>
            </w:r>
            <w:r w:rsidR="00A75B36">
              <w:rPr>
                <w:rFonts w:ascii="Times New Roman" w:eastAsia="Calibri" w:hAnsi="Times New Roman"/>
                <w:sz w:val="24"/>
                <w:szCs w:val="24"/>
              </w:rPr>
              <w:t>Daugiau apie tai žr. prie 2 pastabos.</w:t>
            </w:r>
          </w:p>
          <w:p w14:paraId="5D3F7957" w14:textId="77777777" w:rsidR="003C4CEF" w:rsidRPr="007C5C73" w:rsidRDefault="00E064E2" w:rsidP="00D964A5">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 xml:space="preserve">Taip pat </w:t>
            </w:r>
            <w:r w:rsidR="00A75B36">
              <w:rPr>
                <w:rFonts w:ascii="Times New Roman" w:eastAsia="Calibri" w:hAnsi="Times New Roman"/>
                <w:sz w:val="24"/>
                <w:szCs w:val="24"/>
              </w:rPr>
              <w:t>primename</w:t>
            </w:r>
            <w:r>
              <w:rPr>
                <w:rFonts w:ascii="Times New Roman" w:eastAsia="Calibri" w:hAnsi="Times New Roman"/>
                <w:sz w:val="24"/>
                <w:szCs w:val="24"/>
              </w:rPr>
              <w:t xml:space="preserve">, kad sandorio šalių ir sąžiningų trečiųjų asmenų interesų apsaugą reglamentuoja tiek Civilinis kodeksas (pvz. </w:t>
            </w:r>
            <w:r w:rsidR="00D964A5">
              <w:rPr>
                <w:rFonts w:ascii="Times New Roman" w:eastAsia="Calibri" w:hAnsi="Times New Roman"/>
                <w:sz w:val="24"/>
                <w:szCs w:val="24"/>
              </w:rPr>
              <w:t xml:space="preserve">4 knygos </w:t>
            </w:r>
            <w:r w:rsidRPr="00E064E2">
              <w:rPr>
                <w:rFonts w:ascii="Times New Roman" w:eastAsia="Calibri" w:hAnsi="Times New Roman"/>
                <w:sz w:val="24"/>
                <w:szCs w:val="24"/>
              </w:rPr>
              <w:t>XII skyrius</w:t>
            </w:r>
            <w:r>
              <w:rPr>
                <w:rFonts w:ascii="Times New Roman" w:eastAsia="Calibri" w:hAnsi="Times New Roman"/>
                <w:sz w:val="24"/>
                <w:szCs w:val="24"/>
              </w:rPr>
              <w:t xml:space="preserve">, reglamentuojantis įkeitimo procesą (įkeitimo pirmumą ir pan.), </w:t>
            </w:r>
            <w:r w:rsidRPr="00E064E2">
              <w:rPr>
                <w:rFonts w:ascii="Times New Roman" w:eastAsia="Calibri" w:hAnsi="Times New Roman"/>
                <w:sz w:val="24"/>
                <w:szCs w:val="24"/>
              </w:rPr>
              <w:t>IV</w:t>
            </w:r>
            <w:r>
              <w:rPr>
                <w:rFonts w:ascii="Times New Roman" w:eastAsia="Calibri" w:hAnsi="Times New Roman"/>
                <w:sz w:val="24"/>
                <w:szCs w:val="24"/>
              </w:rPr>
              <w:t> </w:t>
            </w:r>
            <w:r w:rsidRPr="00E064E2">
              <w:rPr>
                <w:rFonts w:ascii="Times New Roman" w:eastAsia="Calibri" w:hAnsi="Times New Roman"/>
                <w:sz w:val="24"/>
                <w:szCs w:val="24"/>
              </w:rPr>
              <w:t>skyrius</w:t>
            </w:r>
            <w:r>
              <w:rPr>
                <w:rFonts w:ascii="Times New Roman" w:eastAsia="Calibri" w:hAnsi="Times New Roman"/>
                <w:sz w:val="24"/>
                <w:szCs w:val="24"/>
              </w:rPr>
              <w:t xml:space="preserve">, reglamentuojantis </w:t>
            </w:r>
            <w:r w:rsidRPr="00E064E2">
              <w:rPr>
                <w:rFonts w:ascii="Times New Roman" w:eastAsia="Calibri" w:hAnsi="Times New Roman"/>
                <w:sz w:val="24"/>
                <w:szCs w:val="24"/>
              </w:rPr>
              <w:t>negaliojan</w:t>
            </w:r>
            <w:r>
              <w:rPr>
                <w:rFonts w:ascii="Times New Roman" w:eastAsia="Calibri" w:hAnsi="Times New Roman"/>
                <w:sz w:val="24"/>
                <w:szCs w:val="24"/>
              </w:rPr>
              <w:t>čius</w:t>
            </w:r>
            <w:r w:rsidRPr="00E064E2">
              <w:rPr>
                <w:rFonts w:ascii="Times New Roman" w:eastAsia="Calibri" w:hAnsi="Times New Roman"/>
                <w:sz w:val="24"/>
                <w:szCs w:val="24"/>
              </w:rPr>
              <w:t xml:space="preserve"> </w:t>
            </w:r>
            <w:r w:rsidR="00A75B36">
              <w:rPr>
                <w:rFonts w:ascii="Times New Roman" w:eastAsia="Calibri" w:hAnsi="Times New Roman"/>
                <w:sz w:val="24"/>
                <w:szCs w:val="24"/>
              </w:rPr>
              <w:t>(t</w:t>
            </w:r>
            <w:r w:rsidR="00A75B36" w:rsidRPr="00A75B36">
              <w:rPr>
                <w:rFonts w:ascii="Times New Roman" w:eastAsia="Calibri" w:hAnsi="Times New Roman"/>
                <w:sz w:val="24"/>
                <w:szCs w:val="24"/>
              </w:rPr>
              <w:t>ariam</w:t>
            </w:r>
            <w:r w:rsidR="00A75B36">
              <w:rPr>
                <w:rFonts w:ascii="Times New Roman" w:eastAsia="Calibri" w:hAnsi="Times New Roman"/>
                <w:sz w:val="24"/>
                <w:szCs w:val="24"/>
              </w:rPr>
              <w:t>us</w:t>
            </w:r>
            <w:r w:rsidR="00A75B36" w:rsidRPr="00A75B36">
              <w:rPr>
                <w:rFonts w:ascii="Times New Roman" w:eastAsia="Calibri" w:hAnsi="Times New Roman"/>
                <w:sz w:val="24"/>
                <w:szCs w:val="24"/>
              </w:rPr>
              <w:t xml:space="preserve"> ir apsimestini</w:t>
            </w:r>
            <w:r w:rsidR="00A75B36">
              <w:rPr>
                <w:rFonts w:ascii="Times New Roman" w:eastAsia="Calibri" w:hAnsi="Times New Roman"/>
                <w:sz w:val="24"/>
                <w:szCs w:val="24"/>
              </w:rPr>
              <w:t xml:space="preserve">us) </w:t>
            </w:r>
            <w:r w:rsidRPr="00E064E2">
              <w:rPr>
                <w:rFonts w:ascii="Times New Roman" w:eastAsia="Calibri" w:hAnsi="Times New Roman"/>
                <w:sz w:val="24"/>
                <w:szCs w:val="24"/>
              </w:rPr>
              <w:t>sandori</w:t>
            </w:r>
            <w:r>
              <w:rPr>
                <w:rFonts w:ascii="Times New Roman" w:eastAsia="Calibri" w:hAnsi="Times New Roman"/>
                <w:sz w:val="24"/>
                <w:szCs w:val="24"/>
              </w:rPr>
              <w:t>us</w:t>
            </w:r>
            <w:r w:rsidR="00A75B36">
              <w:rPr>
                <w:rFonts w:ascii="Times New Roman" w:eastAsia="Calibri" w:hAnsi="Times New Roman"/>
                <w:sz w:val="24"/>
                <w:szCs w:val="24"/>
              </w:rPr>
              <w:t xml:space="preserve"> ir atsakomybę už jų sudarymą</w:t>
            </w:r>
            <w:r w:rsidR="00D964A5">
              <w:rPr>
                <w:rFonts w:ascii="Times New Roman" w:eastAsia="Calibri" w:hAnsi="Times New Roman"/>
                <w:sz w:val="24"/>
                <w:szCs w:val="24"/>
              </w:rPr>
              <w:t xml:space="preserve">, taip pat </w:t>
            </w:r>
            <w:r w:rsidR="00D964A5" w:rsidRPr="00D964A5">
              <w:rPr>
                <w:rFonts w:ascii="Times New Roman" w:eastAsia="Calibri" w:hAnsi="Times New Roman"/>
                <w:sz w:val="24"/>
                <w:szCs w:val="24"/>
              </w:rPr>
              <w:t>6.66</w:t>
            </w:r>
            <w:r w:rsidR="00D964A5">
              <w:rPr>
                <w:rFonts w:ascii="Times New Roman" w:eastAsia="Calibri" w:hAnsi="Times New Roman"/>
                <w:sz w:val="24"/>
                <w:szCs w:val="24"/>
              </w:rPr>
              <w:t xml:space="preserve"> straipsnis – </w:t>
            </w:r>
            <w:r w:rsidR="00D964A5" w:rsidRPr="00D964A5">
              <w:rPr>
                <w:rFonts w:ascii="Times New Roman" w:eastAsia="Calibri" w:hAnsi="Times New Roman"/>
                <w:i/>
                <w:sz w:val="24"/>
                <w:szCs w:val="24"/>
              </w:rPr>
              <w:t>actio Pauliana</w:t>
            </w:r>
            <w:r w:rsidR="00D964A5">
              <w:rPr>
                <w:rFonts w:ascii="Times New Roman" w:eastAsia="Calibri" w:hAnsi="Times New Roman"/>
                <w:sz w:val="24"/>
                <w:szCs w:val="24"/>
              </w:rPr>
              <w:t xml:space="preserve"> ir kt.</w:t>
            </w:r>
            <w:r w:rsidR="00A75B36">
              <w:rPr>
                <w:rFonts w:ascii="Times New Roman" w:eastAsia="Calibri" w:hAnsi="Times New Roman"/>
                <w:sz w:val="24"/>
                <w:szCs w:val="24"/>
              </w:rPr>
              <w:t>)</w:t>
            </w:r>
            <w:r>
              <w:rPr>
                <w:rFonts w:ascii="Times New Roman" w:eastAsia="Calibri" w:hAnsi="Times New Roman"/>
                <w:sz w:val="24"/>
                <w:szCs w:val="24"/>
              </w:rPr>
              <w:t xml:space="preserve">, </w:t>
            </w:r>
            <w:r w:rsidR="00A75B36">
              <w:rPr>
                <w:rFonts w:ascii="Times New Roman" w:eastAsia="Calibri" w:hAnsi="Times New Roman"/>
                <w:sz w:val="24"/>
                <w:szCs w:val="24"/>
              </w:rPr>
              <w:t>tiek ir</w:t>
            </w:r>
            <w:r>
              <w:rPr>
                <w:rFonts w:ascii="Times New Roman" w:eastAsia="Calibri" w:hAnsi="Times New Roman"/>
                <w:sz w:val="24"/>
                <w:szCs w:val="24"/>
              </w:rPr>
              <w:t xml:space="preserve"> Civilini</w:t>
            </w:r>
            <w:r w:rsidR="00A75B36">
              <w:rPr>
                <w:rFonts w:ascii="Times New Roman" w:eastAsia="Calibri" w:hAnsi="Times New Roman"/>
                <w:sz w:val="24"/>
                <w:szCs w:val="24"/>
              </w:rPr>
              <w:t>o</w:t>
            </w:r>
            <w:r>
              <w:rPr>
                <w:rFonts w:ascii="Times New Roman" w:eastAsia="Calibri" w:hAnsi="Times New Roman"/>
                <w:sz w:val="24"/>
                <w:szCs w:val="24"/>
              </w:rPr>
              <w:t xml:space="preserve"> </w:t>
            </w:r>
            <w:r w:rsidR="00A75B36">
              <w:rPr>
                <w:rFonts w:ascii="Times New Roman" w:eastAsia="Calibri" w:hAnsi="Times New Roman"/>
                <w:sz w:val="24"/>
                <w:szCs w:val="24"/>
              </w:rPr>
              <w:t xml:space="preserve">proceso </w:t>
            </w:r>
            <w:r>
              <w:rPr>
                <w:rFonts w:ascii="Times New Roman" w:eastAsia="Calibri" w:hAnsi="Times New Roman"/>
                <w:sz w:val="24"/>
                <w:szCs w:val="24"/>
              </w:rPr>
              <w:t>kodeksas</w:t>
            </w:r>
            <w:r w:rsidR="00A75B36">
              <w:rPr>
                <w:rFonts w:ascii="Times New Roman" w:eastAsia="Calibri" w:hAnsi="Times New Roman"/>
                <w:sz w:val="24"/>
                <w:szCs w:val="24"/>
              </w:rPr>
              <w:t xml:space="preserve">, reglamentuojantis išieškojimo procesą (vykdomuosius įrašus, </w:t>
            </w:r>
            <w:r w:rsidR="00A5026E">
              <w:rPr>
                <w:rFonts w:ascii="Times New Roman" w:eastAsia="Calibri" w:hAnsi="Times New Roman"/>
                <w:sz w:val="24"/>
                <w:szCs w:val="24"/>
              </w:rPr>
              <w:t xml:space="preserve">kreditorių reikalavimų </w:t>
            </w:r>
            <w:r w:rsidR="00A75B36">
              <w:rPr>
                <w:rFonts w:ascii="Times New Roman" w:eastAsia="Calibri" w:hAnsi="Times New Roman"/>
                <w:sz w:val="24"/>
                <w:szCs w:val="24"/>
              </w:rPr>
              <w:t>eiliškumą ir pan.)</w:t>
            </w:r>
            <w:r>
              <w:rPr>
                <w:rFonts w:ascii="Times New Roman" w:eastAsia="Calibri" w:hAnsi="Times New Roman"/>
                <w:sz w:val="24"/>
                <w:szCs w:val="24"/>
              </w:rPr>
              <w:t>.</w:t>
            </w:r>
          </w:p>
        </w:tc>
      </w:tr>
      <w:tr w:rsidR="001E32F5" w:rsidRPr="000479E4" w14:paraId="4705CE42" w14:textId="77777777" w:rsidTr="00ED3083">
        <w:trPr>
          <w:cantSplit/>
          <w:trHeight w:val="3349"/>
        </w:trPr>
        <w:tc>
          <w:tcPr>
            <w:tcW w:w="1586" w:type="dxa"/>
            <w:gridSpan w:val="3"/>
            <w:vMerge w:val="restart"/>
            <w:shd w:val="clear" w:color="auto" w:fill="auto"/>
          </w:tcPr>
          <w:p w14:paraId="2A3F0717" w14:textId="77777777" w:rsidR="001E32F5"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4EFFC30A" w14:textId="77777777" w:rsidR="001E32F5" w:rsidRDefault="001E32F5" w:rsidP="00A5026E">
            <w:pPr>
              <w:pStyle w:val="Pagrindiniotekstotrauka"/>
              <w:ind w:firstLine="317"/>
              <w:rPr>
                <w:szCs w:val="24"/>
              </w:rPr>
            </w:pPr>
            <w:r>
              <w:rPr>
                <w:szCs w:val="24"/>
              </w:rPr>
              <w:t>10. „Proj</w:t>
            </w:r>
            <w:r w:rsidRPr="00B47EC3">
              <w:rPr>
                <w:szCs w:val="24"/>
              </w:rPr>
              <w:t>ekto 10 straipsnyje siūloma keisti galiojantį reguliavimą dėl įkeitimo sandorių, kai</w:t>
            </w:r>
            <w:r>
              <w:rPr>
                <w:szCs w:val="24"/>
              </w:rPr>
              <w:t xml:space="preserve"> </w:t>
            </w:r>
            <w:r w:rsidRPr="00B47EC3">
              <w:rPr>
                <w:szCs w:val="24"/>
              </w:rPr>
              <w:t>įkeitimo objektas perduodamas kreditoriui. Jiems išlieka rašytinė forma bei numatoma, kad toks</w:t>
            </w:r>
            <w:r>
              <w:rPr>
                <w:szCs w:val="24"/>
              </w:rPr>
              <w:t xml:space="preserve"> </w:t>
            </w:r>
            <w:r w:rsidRPr="00B47EC3">
              <w:rPr>
                <w:szCs w:val="24"/>
              </w:rPr>
              <w:t>įkeitimas gali būti registruojamas viešame registre. Neaišku, koks tokio pakeitimo tikslas</w:t>
            </w:r>
            <w:r>
              <w:rPr>
                <w:szCs w:val="24"/>
              </w:rPr>
              <w:t xml:space="preserve"> – </w:t>
            </w:r>
            <w:r w:rsidRPr="00B47EC3">
              <w:rPr>
                <w:szCs w:val="24"/>
              </w:rPr>
              <w:t>kreditoriui perdavus įkeista daiktą, jo interesai yra visiškai apsaugoti ir įkeitimo išviešini</w:t>
            </w:r>
            <w:r>
              <w:rPr>
                <w:szCs w:val="24"/>
              </w:rPr>
              <w:t>m</w:t>
            </w:r>
            <w:r w:rsidRPr="00B47EC3">
              <w:rPr>
                <w:szCs w:val="24"/>
              </w:rPr>
              <w:t>as</w:t>
            </w:r>
            <w:r>
              <w:rPr>
                <w:szCs w:val="24"/>
              </w:rPr>
              <w:t xml:space="preserve"> </w:t>
            </w:r>
            <w:r w:rsidRPr="00B47EC3">
              <w:rPr>
                <w:szCs w:val="24"/>
              </w:rPr>
              <w:t>viešame registre nėra reikalingas. Be to, neaišku, kokios tokio įkeitimo įregistravimo pasekmės.</w:t>
            </w:r>
            <w:r>
              <w:rPr>
                <w:szCs w:val="24"/>
              </w:rPr>
              <w:t xml:space="preserve"> </w:t>
            </w:r>
            <w:r w:rsidRPr="00B47EC3">
              <w:rPr>
                <w:szCs w:val="24"/>
              </w:rPr>
              <w:t>Nes įkeitimo sandorio, kai įkeitimo objektas perduodamas trečiajam asmeniui arba</w:t>
            </w:r>
            <w:r>
              <w:rPr>
                <w:szCs w:val="24"/>
              </w:rPr>
              <w:t xml:space="preserve"> </w:t>
            </w:r>
            <w:r w:rsidRPr="00B47EC3">
              <w:rPr>
                <w:szCs w:val="24"/>
              </w:rPr>
              <w:t>paliekamas</w:t>
            </w:r>
            <w:r>
              <w:rPr>
                <w:szCs w:val="24"/>
              </w:rPr>
              <w:t xml:space="preserve"> </w:t>
            </w:r>
            <w:r w:rsidRPr="00B47EC3">
              <w:rPr>
                <w:szCs w:val="24"/>
              </w:rPr>
              <w:t xml:space="preserve">įkaito davėjui, pasekmės yra nurodytos Civilinio kodekso 4.213 straipsnyje. </w:t>
            </w:r>
            <w:r>
              <w:rPr>
                <w:szCs w:val="24"/>
              </w:rPr>
              <w:t>Š</w:t>
            </w:r>
            <w:r w:rsidRPr="00B47EC3">
              <w:rPr>
                <w:szCs w:val="24"/>
              </w:rPr>
              <w:t>iuo atveju</w:t>
            </w:r>
            <w:r>
              <w:rPr>
                <w:szCs w:val="24"/>
              </w:rPr>
              <w:t xml:space="preserve"> </w:t>
            </w:r>
            <w:r w:rsidRPr="00B47EC3">
              <w:rPr>
                <w:szCs w:val="24"/>
              </w:rPr>
              <w:t>registravimas neprivalomas ir jo pasekmės nėra nustatytos. Be to, Civilinio kodekso 4.224</w:t>
            </w:r>
            <w:r>
              <w:rPr>
                <w:szCs w:val="24"/>
              </w:rPr>
              <w:t xml:space="preserve"> </w:t>
            </w:r>
            <w:r w:rsidRPr="00B47EC3">
              <w:rPr>
                <w:szCs w:val="24"/>
              </w:rPr>
              <w:t>straipsnyje reglamentuojant pasibaigusio įkeitimo išregistravimą, nustatyta tik įkeitimo, kai</w:t>
            </w:r>
            <w:r>
              <w:rPr>
                <w:szCs w:val="24"/>
              </w:rPr>
              <w:t xml:space="preserve"> </w:t>
            </w:r>
            <w:r w:rsidRPr="00B47EC3">
              <w:rPr>
                <w:szCs w:val="24"/>
              </w:rPr>
              <w:t>įkeitimo objektas perduodamas trečiajam asmeniui arba paliekamas įkaito davėjui,</w:t>
            </w:r>
            <w:r>
              <w:rPr>
                <w:szCs w:val="24"/>
              </w:rPr>
              <w:t xml:space="preserve"> išregistravimo tvarka, o</w:t>
            </w:r>
            <w:r w:rsidRPr="00B47EC3">
              <w:rPr>
                <w:szCs w:val="24"/>
              </w:rPr>
              <w:t xml:space="preserve"> įregistruoto įkeitimo, kai įkeitimo objektas perduodamas kreditoriui,</w:t>
            </w:r>
            <w:r>
              <w:rPr>
                <w:szCs w:val="24"/>
              </w:rPr>
              <w:t xml:space="preserve"> </w:t>
            </w:r>
            <w:r w:rsidRPr="00B47EC3">
              <w:rPr>
                <w:szCs w:val="24"/>
              </w:rPr>
              <w:t>tvarka nereg</w:t>
            </w:r>
            <w:r>
              <w:rPr>
                <w:szCs w:val="24"/>
              </w:rPr>
              <w:t>l</w:t>
            </w:r>
            <w:r w:rsidRPr="00B47EC3">
              <w:rPr>
                <w:szCs w:val="24"/>
              </w:rPr>
              <w:t>amentuota.</w:t>
            </w:r>
            <w:r>
              <w:rPr>
                <w:szCs w:val="24"/>
              </w:rPr>
              <w:t>“</w:t>
            </w:r>
          </w:p>
        </w:tc>
        <w:tc>
          <w:tcPr>
            <w:tcW w:w="8593" w:type="dxa"/>
            <w:tcBorders>
              <w:top w:val="single" w:sz="4" w:space="0" w:color="auto"/>
              <w:bottom w:val="single" w:sz="4" w:space="0" w:color="auto"/>
            </w:tcBorders>
            <w:shd w:val="clear" w:color="auto" w:fill="auto"/>
          </w:tcPr>
          <w:p w14:paraId="44EA2DA0" w14:textId="77777777" w:rsidR="001E32F5" w:rsidRDefault="001E32F5" w:rsidP="00A5026E">
            <w:pPr>
              <w:pStyle w:val="Komentarotekstas"/>
              <w:tabs>
                <w:tab w:val="left" w:pos="1276"/>
              </w:tabs>
              <w:ind w:firstLine="318"/>
              <w:jc w:val="both"/>
              <w:rPr>
                <w:rFonts w:ascii="Times New Roman" w:eastAsia="Calibri" w:hAnsi="Times New Roman"/>
                <w:b/>
                <w:sz w:val="24"/>
                <w:szCs w:val="24"/>
              </w:rPr>
            </w:pPr>
            <w:r>
              <w:rPr>
                <w:rFonts w:ascii="Times New Roman" w:eastAsia="Calibri" w:hAnsi="Times New Roman"/>
                <w:b/>
                <w:sz w:val="24"/>
                <w:szCs w:val="24"/>
              </w:rPr>
              <w:t>Atsižvelgta iš dalies.</w:t>
            </w:r>
          </w:p>
          <w:p w14:paraId="66E5288B" w14:textId="77777777" w:rsidR="001E32F5" w:rsidRDefault="001E32F5" w:rsidP="00A5026E">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 xml:space="preserve">Paaiškiname, kad siūlomu pakeitimu, numatančiu galimybę įregistruoti ir posesorinį įkeitimą, siekiama keleto tikslų: sudaryti sandorio šalims galimybes sandorį sudaryti </w:t>
            </w:r>
            <w:r w:rsidRPr="00B47EC3">
              <w:rPr>
                <w:rFonts w:ascii="Times New Roman" w:eastAsia="Calibri" w:hAnsi="Times New Roman"/>
                <w:sz w:val="24"/>
                <w:szCs w:val="24"/>
              </w:rPr>
              <w:t>informacinių technologijų priemonėmis</w:t>
            </w:r>
            <w:r>
              <w:rPr>
                <w:rFonts w:ascii="Times New Roman" w:eastAsia="Calibri" w:hAnsi="Times New Roman"/>
                <w:sz w:val="24"/>
                <w:szCs w:val="24"/>
              </w:rPr>
              <w:t xml:space="preserve">, palengvinti ir užtikrinti įkeitimų pirmumo nustatymą (vadovaujantis Civilinio kodekso </w:t>
            </w:r>
            <w:r w:rsidRPr="00B47EC3">
              <w:rPr>
                <w:rFonts w:ascii="Times New Roman" w:eastAsia="Calibri" w:hAnsi="Times New Roman"/>
                <w:sz w:val="24"/>
                <w:szCs w:val="24"/>
              </w:rPr>
              <w:t>4.212</w:t>
            </w:r>
            <w:r>
              <w:rPr>
                <w:rFonts w:ascii="Times New Roman" w:eastAsia="Calibri" w:hAnsi="Times New Roman"/>
                <w:sz w:val="24"/>
                <w:szCs w:val="24"/>
              </w:rPr>
              <w:t xml:space="preserve"> str.), suteikti šalims galimybę paviešinti įkeitimo sandorį trečiosioms šalims bei užsitikrinti papildomą interesų apsaugą (nepritariame Lietuvos notarų rūmų pastabai, jog „</w:t>
            </w:r>
            <w:r w:rsidRPr="00B47EC3">
              <w:rPr>
                <w:rFonts w:ascii="Times New Roman" w:eastAsia="Calibri" w:hAnsi="Times New Roman"/>
                <w:sz w:val="24"/>
                <w:szCs w:val="24"/>
              </w:rPr>
              <w:t>kreditoriui perdavus įkeista daiktą, jo interesai yra visiškai apsaugot</w:t>
            </w:r>
            <w:r>
              <w:rPr>
                <w:rFonts w:ascii="Times New Roman" w:eastAsia="Calibri" w:hAnsi="Times New Roman"/>
                <w:sz w:val="24"/>
                <w:szCs w:val="24"/>
              </w:rPr>
              <w:t>i“, nes kaip jau minėta (žr. argumentus prie 2 pastabos), kilnojamojo daikto nuosavybės teisės įrodymo klausimas yra itin sudėtingas, todėl kreditorius, net ir perėmęs įkeičiamą daiktą, nėra visiškai apsaugotas, nuo to, kad jo sudarytas įkeitimo sandoris gali būti nuginčytas).</w:t>
            </w:r>
          </w:p>
          <w:p w14:paraId="00513909" w14:textId="77777777" w:rsidR="001E32F5" w:rsidRPr="003669B7" w:rsidRDefault="001E32F5" w:rsidP="00A5026E">
            <w:pPr>
              <w:pStyle w:val="Komentarotekstas"/>
              <w:tabs>
                <w:tab w:val="left" w:pos="1276"/>
              </w:tabs>
              <w:ind w:firstLine="318"/>
              <w:jc w:val="both"/>
              <w:rPr>
                <w:rFonts w:ascii="Times New Roman" w:eastAsia="Calibri" w:hAnsi="Times New Roman"/>
                <w:sz w:val="24"/>
                <w:szCs w:val="24"/>
              </w:rPr>
            </w:pPr>
            <w:r>
              <w:rPr>
                <w:rFonts w:ascii="Times New Roman" w:eastAsia="Calibri" w:hAnsi="Times New Roman"/>
                <w:sz w:val="24"/>
                <w:szCs w:val="24"/>
              </w:rPr>
              <w:t>Atsižvelgiant į pastabos dalį dėl išregistravimo proceso taikymo taip pat ir posesoriniam įkeitimui, patikslinta keičiama</w:t>
            </w:r>
            <w:r w:rsidRPr="00D9486D">
              <w:rPr>
                <w:rFonts w:ascii="Times New Roman" w:eastAsia="Calibri" w:hAnsi="Times New Roman"/>
                <w:sz w:val="24"/>
                <w:szCs w:val="24"/>
              </w:rPr>
              <w:t xml:space="preserve"> </w:t>
            </w:r>
            <w:r>
              <w:rPr>
                <w:rFonts w:ascii="Times New Roman" w:eastAsia="Calibri" w:hAnsi="Times New Roman"/>
                <w:sz w:val="24"/>
                <w:szCs w:val="24"/>
              </w:rPr>
              <w:t xml:space="preserve">Civilinio kodekso </w:t>
            </w:r>
            <w:r w:rsidRPr="00D9486D">
              <w:rPr>
                <w:rFonts w:ascii="Times New Roman" w:eastAsia="Calibri" w:hAnsi="Times New Roman"/>
                <w:sz w:val="24"/>
                <w:szCs w:val="24"/>
              </w:rPr>
              <w:t>4.224 straipsnio 3 dal</w:t>
            </w:r>
            <w:r>
              <w:rPr>
                <w:rFonts w:ascii="Times New Roman" w:eastAsia="Calibri" w:hAnsi="Times New Roman"/>
                <w:sz w:val="24"/>
                <w:szCs w:val="24"/>
              </w:rPr>
              <w:t>is, išbraukiant žodžius „</w:t>
            </w:r>
            <w:r w:rsidRPr="00D9486D">
              <w:rPr>
                <w:rFonts w:ascii="Times New Roman" w:eastAsia="Calibri" w:hAnsi="Times New Roman"/>
                <w:sz w:val="24"/>
                <w:szCs w:val="24"/>
              </w:rPr>
              <w:t>kai įkeitimo objektas perduodamas trečiajam asmeniui arba paliekamas</w:t>
            </w:r>
            <w:r w:rsidRPr="00D9486D">
              <w:rPr>
                <w:rFonts w:ascii="Times New Roman" w:eastAsia="Calibri" w:hAnsi="Times New Roman"/>
                <w:i/>
                <w:iCs/>
                <w:sz w:val="24"/>
                <w:szCs w:val="24"/>
              </w:rPr>
              <w:t xml:space="preserve"> </w:t>
            </w:r>
            <w:r w:rsidRPr="00D9486D">
              <w:rPr>
                <w:rFonts w:ascii="Times New Roman" w:eastAsia="Calibri" w:hAnsi="Times New Roman"/>
                <w:sz w:val="24"/>
                <w:szCs w:val="24"/>
              </w:rPr>
              <w:t>įkaito davėjui</w:t>
            </w:r>
            <w:r>
              <w:rPr>
                <w:rFonts w:ascii="Times New Roman" w:eastAsia="Calibri" w:hAnsi="Times New Roman"/>
                <w:sz w:val="24"/>
                <w:szCs w:val="24"/>
              </w:rPr>
              <w:t>“.</w:t>
            </w:r>
          </w:p>
        </w:tc>
      </w:tr>
      <w:tr w:rsidR="001E32F5" w:rsidRPr="000479E4" w14:paraId="3ABC6323" w14:textId="77777777" w:rsidTr="00ED3083">
        <w:trPr>
          <w:cantSplit/>
          <w:trHeight w:val="3349"/>
        </w:trPr>
        <w:tc>
          <w:tcPr>
            <w:tcW w:w="1586" w:type="dxa"/>
            <w:gridSpan w:val="3"/>
            <w:vMerge/>
            <w:shd w:val="clear" w:color="auto" w:fill="auto"/>
          </w:tcPr>
          <w:p w14:paraId="44C69876" w14:textId="77777777" w:rsidR="001E32F5"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11D3D0F8" w14:textId="77777777" w:rsidR="001E32F5" w:rsidRDefault="001E32F5" w:rsidP="00A5026E">
            <w:pPr>
              <w:pStyle w:val="Pagrindiniotekstotrauka"/>
              <w:ind w:firstLine="176"/>
              <w:rPr>
                <w:szCs w:val="24"/>
              </w:rPr>
            </w:pPr>
            <w:r>
              <w:rPr>
                <w:szCs w:val="24"/>
              </w:rPr>
              <w:t>11. „</w:t>
            </w:r>
            <w:r w:rsidRPr="00D9486D">
              <w:rPr>
                <w:szCs w:val="24"/>
              </w:rPr>
              <w:t>Projekto 15 straipsniu siūloma nustatyti, kad prašymas dėl įkeitimo pabaigos</w:t>
            </w:r>
            <w:r>
              <w:rPr>
                <w:szCs w:val="24"/>
              </w:rPr>
              <w:t xml:space="preserve"> </w:t>
            </w:r>
            <w:r w:rsidRPr="00D9486D">
              <w:rPr>
                <w:szCs w:val="24"/>
              </w:rPr>
              <w:t>pateikiamas viešam registrui. Šiame procese nedalyvaujant notarui, dėl įkeitimo išregistravimo</w:t>
            </w:r>
            <w:r>
              <w:rPr>
                <w:szCs w:val="24"/>
              </w:rPr>
              <w:t xml:space="preserve"> </w:t>
            </w:r>
            <w:r w:rsidRPr="00D9486D">
              <w:rPr>
                <w:szCs w:val="24"/>
              </w:rPr>
              <w:t>teisėtumo turėtų spręsti viešo registro tvarkytojas. Tačiau viešo registro tvarkytojas atlieka tik</w:t>
            </w:r>
            <w:r>
              <w:rPr>
                <w:szCs w:val="24"/>
              </w:rPr>
              <w:t xml:space="preserve"> </w:t>
            </w:r>
            <w:r w:rsidRPr="00D9486D">
              <w:rPr>
                <w:szCs w:val="24"/>
              </w:rPr>
              <w:t>formalųjį tyrim</w:t>
            </w:r>
            <w:r>
              <w:rPr>
                <w:szCs w:val="24"/>
              </w:rPr>
              <w:t>ą</w:t>
            </w:r>
            <w:r w:rsidRPr="00D9486D">
              <w:rPr>
                <w:szCs w:val="24"/>
              </w:rPr>
              <w:t>, bet ne teisinį. Ab</w:t>
            </w:r>
            <w:r>
              <w:rPr>
                <w:szCs w:val="24"/>
              </w:rPr>
              <w:t>e</w:t>
            </w:r>
            <w:r w:rsidRPr="00D9486D">
              <w:rPr>
                <w:szCs w:val="24"/>
              </w:rPr>
              <w:t>jotina, kad viešo registro tvarkytojas galėtų įvertinti visų</w:t>
            </w:r>
            <w:r>
              <w:rPr>
                <w:szCs w:val="24"/>
              </w:rPr>
              <w:t xml:space="preserve"> </w:t>
            </w:r>
            <w:r w:rsidRPr="00D9486D">
              <w:rPr>
                <w:szCs w:val="24"/>
              </w:rPr>
              <w:t>Civilinio kodekso 4.224 straipsnyje nurodytų įkeitimo teisės pabaigos pagrindų pagrįstum</w:t>
            </w:r>
            <w:r>
              <w:rPr>
                <w:szCs w:val="24"/>
              </w:rPr>
              <w:t>ą</w:t>
            </w:r>
            <w:r w:rsidRPr="00D9486D">
              <w:rPr>
                <w:szCs w:val="24"/>
              </w:rPr>
              <w:t xml:space="preserve"> ir</w:t>
            </w:r>
            <w:r>
              <w:rPr>
                <w:szCs w:val="24"/>
              </w:rPr>
              <w:t xml:space="preserve"> </w:t>
            </w:r>
            <w:r w:rsidRPr="00D9486D">
              <w:rPr>
                <w:szCs w:val="24"/>
              </w:rPr>
              <w:t>prisiimti atsakomybę dėl daiktinės teisės pabaigos ir išregistravimo.</w:t>
            </w:r>
            <w:r>
              <w:rPr>
                <w:szCs w:val="24"/>
              </w:rPr>
              <w:t>“</w:t>
            </w:r>
          </w:p>
        </w:tc>
        <w:tc>
          <w:tcPr>
            <w:tcW w:w="8593" w:type="dxa"/>
            <w:tcBorders>
              <w:top w:val="single" w:sz="4" w:space="0" w:color="auto"/>
              <w:bottom w:val="single" w:sz="4" w:space="0" w:color="auto"/>
            </w:tcBorders>
            <w:shd w:val="clear" w:color="auto" w:fill="auto"/>
          </w:tcPr>
          <w:p w14:paraId="0604755E" w14:textId="77777777" w:rsidR="001E32F5" w:rsidRDefault="001E32F5" w:rsidP="00A5026E">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74173E42" w14:textId="58855270" w:rsidR="001E32F5" w:rsidRPr="00C10BF8" w:rsidRDefault="001E32F5" w:rsidP="0036515A">
            <w:pPr>
              <w:pStyle w:val="Komentarotekstas"/>
              <w:tabs>
                <w:tab w:val="left" w:pos="1276"/>
              </w:tabs>
              <w:ind w:firstLine="317"/>
              <w:jc w:val="both"/>
              <w:rPr>
                <w:rFonts w:ascii="Times New Roman" w:eastAsia="Calibri" w:hAnsi="Times New Roman"/>
                <w:sz w:val="24"/>
                <w:szCs w:val="24"/>
              </w:rPr>
            </w:pPr>
            <w:r w:rsidRPr="00D9486D">
              <w:rPr>
                <w:rFonts w:ascii="Times New Roman" w:eastAsia="Calibri" w:hAnsi="Times New Roman"/>
                <w:sz w:val="24"/>
                <w:szCs w:val="24"/>
              </w:rPr>
              <w:t xml:space="preserve">Projektu </w:t>
            </w:r>
            <w:r>
              <w:rPr>
                <w:rFonts w:ascii="Times New Roman" w:eastAsia="Calibri" w:hAnsi="Times New Roman"/>
                <w:sz w:val="24"/>
                <w:szCs w:val="24"/>
              </w:rPr>
              <w:t xml:space="preserve">neketinama įkeitimo pabaigos teisinio vertinimo pavesti viešo registro tvarkytojui. </w:t>
            </w:r>
            <w:r w:rsidR="0036515A">
              <w:rPr>
                <w:rFonts w:ascii="Times New Roman" w:eastAsia="Calibri" w:hAnsi="Times New Roman"/>
                <w:sz w:val="24"/>
                <w:szCs w:val="24"/>
              </w:rPr>
              <w:t xml:space="preserve">Įvertinti, ar </w:t>
            </w:r>
            <w:r w:rsidR="0036515A" w:rsidRPr="0036515A">
              <w:rPr>
                <w:rFonts w:ascii="Times New Roman" w:eastAsia="Calibri" w:hAnsi="Times New Roman"/>
                <w:sz w:val="24"/>
                <w:szCs w:val="24"/>
              </w:rPr>
              <w:t>sandoris tinkamai įvykdytas ir jų teisėti interesai patenkinti</w:t>
            </w:r>
            <w:r w:rsidR="0036515A">
              <w:rPr>
                <w:rFonts w:ascii="Times New Roman" w:eastAsia="Calibri" w:hAnsi="Times New Roman"/>
                <w:sz w:val="24"/>
                <w:szCs w:val="24"/>
              </w:rPr>
              <w:t xml:space="preserve"> pilna apimtimi,</w:t>
            </w:r>
            <w:r w:rsidRPr="00C10BF8">
              <w:rPr>
                <w:rFonts w:ascii="Times New Roman" w:eastAsia="Calibri" w:hAnsi="Times New Roman"/>
                <w:sz w:val="24"/>
                <w:szCs w:val="24"/>
              </w:rPr>
              <w:t xml:space="preserve"> turės </w:t>
            </w:r>
            <w:r w:rsidR="0036515A">
              <w:rPr>
                <w:rFonts w:ascii="Times New Roman" w:eastAsia="Calibri" w:hAnsi="Times New Roman"/>
                <w:sz w:val="24"/>
                <w:szCs w:val="24"/>
              </w:rPr>
              <w:t>pačios</w:t>
            </w:r>
            <w:r w:rsidR="0036515A" w:rsidRPr="00C10BF8">
              <w:rPr>
                <w:rFonts w:ascii="Times New Roman" w:eastAsia="Calibri" w:hAnsi="Times New Roman"/>
                <w:sz w:val="24"/>
                <w:szCs w:val="24"/>
              </w:rPr>
              <w:t xml:space="preserve"> </w:t>
            </w:r>
            <w:r>
              <w:rPr>
                <w:rFonts w:ascii="Times New Roman" w:eastAsia="Calibri" w:hAnsi="Times New Roman"/>
                <w:sz w:val="24"/>
                <w:szCs w:val="24"/>
              </w:rPr>
              <w:t>sandorio šalys</w:t>
            </w:r>
            <w:r w:rsidR="0036515A">
              <w:rPr>
                <w:rFonts w:ascii="Times New Roman" w:eastAsia="Calibri" w:hAnsi="Times New Roman"/>
                <w:sz w:val="24"/>
                <w:szCs w:val="24"/>
              </w:rPr>
              <w:t>. Tuo tikslu, Projekte numatytas privalomas</w:t>
            </w:r>
            <w:r>
              <w:rPr>
                <w:rFonts w:ascii="Times New Roman" w:eastAsia="Calibri" w:hAnsi="Times New Roman"/>
                <w:sz w:val="24"/>
                <w:szCs w:val="24"/>
              </w:rPr>
              <w:t xml:space="preserve"> </w:t>
            </w:r>
            <w:r w:rsidRPr="00C10BF8">
              <w:rPr>
                <w:rFonts w:ascii="Times New Roman" w:eastAsia="Calibri" w:hAnsi="Times New Roman"/>
                <w:sz w:val="24"/>
                <w:szCs w:val="24"/>
              </w:rPr>
              <w:t>kreditori</w:t>
            </w:r>
            <w:r w:rsidR="0036515A">
              <w:rPr>
                <w:rFonts w:ascii="Times New Roman" w:eastAsia="Calibri" w:hAnsi="Times New Roman"/>
                <w:sz w:val="24"/>
                <w:szCs w:val="24"/>
              </w:rPr>
              <w:t>a</w:t>
            </w:r>
            <w:r w:rsidRPr="00C10BF8">
              <w:rPr>
                <w:rFonts w:ascii="Times New Roman" w:eastAsia="Calibri" w:hAnsi="Times New Roman"/>
                <w:sz w:val="24"/>
                <w:szCs w:val="24"/>
              </w:rPr>
              <w:t xml:space="preserve">us </w:t>
            </w:r>
            <w:r w:rsidR="0036515A">
              <w:rPr>
                <w:rFonts w:ascii="Times New Roman" w:eastAsia="Calibri" w:hAnsi="Times New Roman"/>
                <w:sz w:val="24"/>
                <w:szCs w:val="24"/>
              </w:rPr>
              <w:t xml:space="preserve">patvirtinimas </w:t>
            </w:r>
            <w:r w:rsidRPr="00C10BF8">
              <w:rPr>
                <w:rFonts w:ascii="Times New Roman" w:eastAsia="Calibri" w:hAnsi="Times New Roman"/>
                <w:sz w:val="24"/>
                <w:szCs w:val="24"/>
              </w:rPr>
              <w:t>(</w:t>
            </w:r>
            <w:r w:rsidRPr="00C10BF8">
              <w:rPr>
                <w:rFonts w:ascii="Times New Roman" w:hAnsi="Times New Roman"/>
                <w:i/>
                <w:sz w:val="24"/>
                <w:szCs w:val="24"/>
              </w:rPr>
              <w:t>Kreditoriaus, skolininko arba turto savininko prašymas dėl hipotekos ar įkeitimo pabaigos pateikiamas viešam registrui (kai prašymą teikia skolininkas arba turto savininkas, turi būti gautas kreditoriaus patvirtinimas) 4.197 str. 7 d. ir 4.224 str</w:t>
            </w:r>
            <w:r w:rsidRPr="00467BF0">
              <w:rPr>
                <w:rFonts w:ascii="Times New Roman" w:hAnsi="Times New Roman"/>
                <w:i/>
                <w:sz w:val="24"/>
                <w:szCs w:val="24"/>
              </w:rPr>
              <w:t>. 3 d.)</w:t>
            </w:r>
            <w:r>
              <w:rPr>
                <w:rFonts w:ascii="Times New Roman" w:hAnsi="Times New Roman"/>
                <w:i/>
                <w:sz w:val="24"/>
                <w:szCs w:val="24"/>
              </w:rPr>
              <w:t>.</w:t>
            </w:r>
          </w:p>
        </w:tc>
      </w:tr>
      <w:tr w:rsidR="001E32F5" w:rsidRPr="000479E4" w14:paraId="307C5690" w14:textId="77777777" w:rsidTr="00ED3083">
        <w:trPr>
          <w:cantSplit/>
          <w:trHeight w:val="3349"/>
        </w:trPr>
        <w:tc>
          <w:tcPr>
            <w:tcW w:w="1586" w:type="dxa"/>
            <w:gridSpan w:val="3"/>
            <w:vMerge/>
            <w:shd w:val="clear" w:color="auto" w:fill="auto"/>
          </w:tcPr>
          <w:p w14:paraId="6834049D" w14:textId="77777777" w:rsidR="001E32F5"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2EA1DF24" w14:textId="77777777" w:rsidR="001E32F5" w:rsidRDefault="001E32F5" w:rsidP="00A5026E">
            <w:pPr>
              <w:pStyle w:val="Pagrindiniotekstotrauka"/>
              <w:ind w:firstLine="176"/>
              <w:rPr>
                <w:szCs w:val="24"/>
              </w:rPr>
            </w:pPr>
            <w:r>
              <w:rPr>
                <w:szCs w:val="24"/>
              </w:rPr>
              <w:t>12. „Panaikinant notarin</w:t>
            </w:r>
            <w:r w:rsidRPr="00344C13">
              <w:rPr>
                <w:szCs w:val="24"/>
              </w:rPr>
              <w:t>ę forma įkeitimo sandoriams, vis tik norima naudotis išieškojimo</w:t>
            </w:r>
            <w:r>
              <w:rPr>
                <w:szCs w:val="24"/>
              </w:rPr>
              <w:t xml:space="preserve"> </w:t>
            </w:r>
            <w:r w:rsidRPr="00344C13">
              <w:rPr>
                <w:szCs w:val="24"/>
              </w:rPr>
              <w:t>supaprastinta tvarka privalumais. Kaip nurodyta anksčiau šiame rašte, abejotina, ar notaras</w:t>
            </w:r>
            <w:r>
              <w:rPr>
                <w:szCs w:val="24"/>
              </w:rPr>
              <w:t xml:space="preserve"> </w:t>
            </w:r>
            <w:r w:rsidRPr="00344C13">
              <w:rPr>
                <w:szCs w:val="24"/>
              </w:rPr>
              <w:t>galėtų atlikti vykdomąjį įraš</w:t>
            </w:r>
            <w:r>
              <w:rPr>
                <w:szCs w:val="24"/>
              </w:rPr>
              <w:t>ą</w:t>
            </w:r>
            <w:r w:rsidRPr="00344C13">
              <w:rPr>
                <w:szCs w:val="24"/>
              </w:rPr>
              <w:t>, kai sandorio, paga</w:t>
            </w:r>
            <w:r>
              <w:rPr>
                <w:szCs w:val="24"/>
              </w:rPr>
              <w:t>l</w:t>
            </w:r>
            <w:r w:rsidRPr="00344C13">
              <w:rPr>
                <w:szCs w:val="24"/>
              </w:rPr>
              <w:t xml:space="preserve"> kurį jis turi būti atliekamas, preventyvi</w:t>
            </w:r>
            <w:r>
              <w:rPr>
                <w:szCs w:val="24"/>
              </w:rPr>
              <w:t xml:space="preserve"> </w:t>
            </w:r>
            <w:r w:rsidRPr="00344C13">
              <w:rPr>
                <w:szCs w:val="24"/>
              </w:rPr>
              <w:t>teisė</w:t>
            </w:r>
            <w:r>
              <w:rPr>
                <w:szCs w:val="24"/>
              </w:rPr>
              <w:t>tu</w:t>
            </w:r>
            <w:r w:rsidRPr="00344C13">
              <w:rPr>
                <w:szCs w:val="24"/>
              </w:rPr>
              <w:t>mo kontrolė nebuvo daroma.</w:t>
            </w:r>
            <w:r>
              <w:rPr>
                <w:szCs w:val="24"/>
              </w:rPr>
              <w:t>“</w:t>
            </w:r>
          </w:p>
        </w:tc>
        <w:tc>
          <w:tcPr>
            <w:tcW w:w="8593" w:type="dxa"/>
            <w:tcBorders>
              <w:top w:val="single" w:sz="4" w:space="0" w:color="auto"/>
              <w:bottom w:val="single" w:sz="4" w:space="0" w:color="auto"/>
            </w:tcBorders>
            <w:shd w:val="clear" w:color="auto" w:fill="auto"/>
          </w:tcPr>
          <w:p w14:paraId="12FA3555" w14:textId="77777777" w:rsidR="001E32F5" w:rsidRDefault="001E32F5" w:rsidP="00A5026E">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23DCBBC6" w14:textId="77777777" w:rsidR="001E32F5" w:rsidRDefault="001E32F5" w:rsidP="00A5026E">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 xml:space="preserve">Svarbu pabrėžti, kad įkeitimo sandorio sudarymas jokiu būdu nereiškia, kad jo sąlygos nebus vykdomos ir prireiks pradėti išieškojimo procesą. Todėl manome, kad tai dar vienas teikiamo Projekto privalumas, kai notarai, atlikdami vykdomojo įrašo išdavimo funkciją, </w:t>
            </w:r>
            <w:r w:rsidRPr="00F93D73">
              <w:rPr>
                <w:rFonts w:ascii="Times New Roman" w:eastAsia="Calibri" w:hAnsi="Times New Roman"/>
                <w:sz w:val="24"/>
                <w:szCs w:val="24"/>
              </w:rPr>
              <w:t>turės tikrinti ne visus sudaromus įkeitimo sandorius, o tik tuos, kuriems prašoma išduoti vykdomąjį įrašą.</w:t>
            </w:r>
            <w:r>
              <w:rPr>
                <w:rFonts w:ascii="Times New Roman" w:eastAsia="Calibri" w:hAnsi="Times New Roman"/>
                <w:sz w:val="24"/>
                <w:szCs w:val="24"/>
              </w:rPr>
              <w:t xml:space="preserve"> </w:t>
            </w:r>
          </w:p>
          <w:p w14:paraId="661C4FC1" w14:textId="77777777" w:rsidR="001E32F5" w:rsidRDefault="001E32F5" w:rsidP="00A5026E">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 xml:space="preserve">Taip pat atkreiptinas dėmesys į tai, kad notarai atlieka vykdomuosius įrašus vekseliuose, kuriems ne visais atvejais privaloma notarinė forma (žr. Civilinio kodekso </w:t>
            </w:r>
            <w:r w:rsidRPr="008F34B6">
              <w:rPr>
                <w:rFonts w:ascii="Times New Roman" w:eastAsia="Calibri" w:hAnsi="Times New Roman"/>
                <w:sz w:val="24"/>
                <w:szCs w:val="24"/>
              </w:rPr>
              <w:t>1.105 str</w:t>
            </w:r>
            <w:r>
              <w:rPr>
                <w:rFonts w:ascii="Times New Roman" w:eastAsia="Calibri" w:hAnsi="Times New Roman"/>
                <w:sz w:val="24"/>
                <w:szCs w:val="24"/>
              </w:rPr>
              <w:t>. 5 d.), bei vykdomuosius įrašus čekiuose.</w:t>
            </w:r>
          </w:p>
          <w:p w14:paraId="672C7B20" w14:textId="77777777" w:rsidR="001E32F5" w:rsidRPr="00344C13" w:rsidRDefault="001E32F5" w:rsidP="00A5026E">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Taip pat žr. argumentus prie 17 pastabos.</w:t>
            </w:r>
          </w:p>
        </w:tc>
      </w:tr>
      <w:tr w:rsidR="001E32F5" w:rsidRPr="000479E4" w14:paraId="18B2DC11" w14:textId="77777777" w:rsidTr="00ED3083">
        <w:trPr>
          <w:cantSplit/>
          <w:trHeight w:val="3349"/>
        </w:trPr>
        <w:tc>
          <w:tcPr>
            <w:tcW w:w="1586" w:type="dxa"/>
            <w:gridSpan w:val="3"/>
            <w:vMerge/>
            <w:shd w:val="clear" w:color="auto" w:fill="auto"/>
          </w:tcPr>
          <w:p w14:paraId="2D11A748" w14:textId="77777777" w:rsidR="001E32F5"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194B4E40" w14:textId="77777777" w:rsidR="001E32F5" w:rsidRDefault="001E32F5" w:rsidP="003C1405">
            <w:pPr>
              <w:pStyle w:val="Pagrindiniotekstotrauka"/>
              <w:ind w:firstLine="176"/>
              <w:rPr>
                <w:szCs w:val="24"/>
              </w:rPr>
            </w:pPr>
            <w:r>
              <w:rPr>
                <w:szCs w:val="24"/>
              </w:rPr>
              <w:t>13. „</w:t>
            </w:r>
            <w:r w:rsidRPr="00CA2F08">
              <w:rPr>
                <w:szCs w:val="24"/>
              </w:rPr>
              <w:t>Iš pateiktų Įstatymų projektų nėra aišku, kokios apimties duomenys apie hipotek</w:t>
            </w:r>
            <w:r>
              <w:rPr>
                <w:szCs w:val="24"/>
              </w:rPr>
              <w:t>ą</w:t>
            </w:r>
            <w:r w:rsidRPr="00CA2F08">
              <w:rPr>
                <w:szCs w:val="24"/>
              </w:rPr>
              <w:t xml:space="preserve"> bus</w:t>
            </w:r>
            <w:r>
              <w:rPr>
                <w:szCs w:val="24"/>
              </w:rPr>
              <w:t xml:space="preserve"> registruojami Nekilnojamoj</w:t>
            </w:r>
            <w:r w:rsidRPr="00CA2F08">
              <w:rPr>
                <w:szCs w:val="24"/>
              </w:rPr>
              <w:t>o turto registre.</w:t>
            </w:r>
            <w:r>
              <w:rPr>
                <w:szCs w:val="24"/>
              </w:rPr>
              <w:t>“</w:t>
            </w:r>
          </w:p>
        </w:tc>
        <w:tc>
          <w:tcPr>
            <w:tcW w:w="8593" w:type="dxa"/>
            <w:tcBorders>
              <w:top w:val="single" w:sz="4" w:space="0" w:color="auto"/>
              <w:bottom w:val="single" w:sz="4" w:space="0" w:color="auto"/>
            </w:tcBorders>
            <w:shd w:val="clear" w:color="auto" w:fill="auto"/>
          </w:tcPr>
          <w:p w14:paraId="79059F99" w14:textId="77777777" w:rsidR="001E32F5" w:rsidRDefault="001E32F5" w:rsidP="00A5026E">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Atsižvelgta iš dalies.</w:t>
            </w:r>
          </w:p>
          <w:p w14:paraId="67C8B32E" w14:textId="77777777" w:rsidR="001E32F5" w:rsidRPr="00807BF9" w:rsidRDefault="001E32F5" w:rsidP="00A5026E">
            <w:pPr>
              <w:spacing w:after="0" w:line="240" w:lineRule="auto"/>
              <w:ind w:firstLine="317"/>
              <w:jc w:val="both"/>
              <w:rPr>
                <w:rFonts w:ascii="Times New Roman" w:eastAsia="Times New Roman" w:hAnsi="Times New Roman"/>
                <w:color w:val="000000"/>
                <w:sz w:val="24"/>
                <w:szCs w:val="24"/>
                <w:lang w:eastAsia="lt-LT"/>
              </w:rPr>
            </w:pPr>
            <w:r w:rsidRPr="00807BF9">
              <w:rPr>
                <w:rFonts w:ascii="Times New Roman" w:eastAsia="Calibri" w:hAnsi="Times New Roman"/>
                <w:sz w:val="24"/>
                <w:szCs w:val="24"/>
              </w:rPr>
              <w:t>Patikslinta</w:t>
            </w:r>
            <w:r>
              <w:rPr>
                <w:rFonts w:ascii="Times New Roman" w:eastAsia="Calibri" w:hAnsi="Times New Roman"/>
                <w:sz w:val="24"/>
                <w:szCs w:val="24"/>
              </w:rPr>
              <w:t>s</w:t>
            </w:r>
            <w:r w:rsidRPr="00807BF9">
              <w:rPr>
                <w:rFonts w:ascii="Times New Roman" w:eastAsia="Calibri" w:hAnsi="Times New Roman"/>
                <w:sz w:val="24"/>
                <w:szCs w:val="24"/>
              </w:rPr>
              <w:t xml:space="preserve"> </w:t>
            </w:r>
            <w:r>
              <w:rPr>
                <w:rFonts w:ascii="Times New Roman" w:eastAsia="Calibri" w:hAnsi="Times New Roman"/>
                <w:sz w:val="24"/>
                <w:szCs w:val="24"/>
              </w:rPr>
              <w:t xml:space="preserve">keičiamas </w:t>
            </w:r>
            <w:r w:rsidRPr="00807BF9">
              <w:rPr>
                <w:rFonts w:ascii="Times New Roman" w:eastAsia="Calibri" w:hAnsi="Times New Roman"/>
                <w:sz w:val="24"/>
                <w:szCs w:val="24"/>
              </w:rPr>
              <w:t>N</w:t>
            </w:r>
            <w:r w:rsidRPr="00807BF9">
              <w:rPr>
                <w:rFonts w:ascii="Times New Roman" w:eastAsia="Times New Roman" w:hAnsi="Times New Roman"/>
                <w:bCs/>
                <w:sz w:val="24"/>
                <w:szCs w:val="24"/>
                <w:lang w:val="pt-BR" w:eastAsia="lt-LT"/>
              </w:rPr>
              <w:t>ekilnojamojo turto registro</w:t>
            </w:r>
            <w:r w:rsidRPr="00807BF9">
              <w:rPr>
                <w:rFonts w:ascii="Times New Roman" w:eastAsia="Times New Roman" w:hAnsi="Times New Roman"/>
                <w:bCs/>
                <w:sz w:val="24"/>
                <w:szCs w:val="24"/>
                <w:lang w:eastAsia="lt-LT"/>
              </w:rPr>
              <w:t xml:space="preserve"> įstatymo </w:t>
            </w:r>
            <w:r w:rsidRPr="00807BF9">
              <w:rPr>
                <w:rFonts w:ascii="Times New Roman" w:eastAsia="Times New Roman" w:hAnsi="Times New Roman"/>
                <w:sz w:val="24"/>
                <w:szCs w:val="24"/>
                <w:lang w:eastAsia="lt-LT"/>
              </w:rPr>
              <w:t xml:space="preserve">11 straipsnio </w:t>
            </w:r>
            <w:r w:rsidRPr="00807BF9">
              <w:rPr>
                <w:rFonts w:ascii="Times New Roman" w:eastAsia="Times New Roman" w:hAnsi="Times New Roman"/>
                <w:bCs/>
                <w:iCs/>
                <w:sz w:val="24"/>
                <w:szCs w:val="24"/>
                <w:lang w:eastAsia="lt-LT"/>
              </w:rPr>
              <w:t>1 dalies 8 punktas, nurodant, kad Nekilnojamojo turto registre registruojamos hipotekos</w:t>
            </w:r>
            <w:r w:rsidRPr="00807BF9">
              <w:rPr>
                <w:rFonts w:ascii="Times New Roman" w:eastAsia="Calibri" w:hAnsi="Times New Roman"/>
                <w:sz w:val="24"/>
                <w:szCs w:val="24"/>
              </w:rPr>
              <w:t xml:space="preserve"> „</w:t>
            </w:r>
            <w:r w:rsidRPr="00807BF9">
              <w:rPr>
                <w:rFonts w:ascii="Times New Roman" w:eastAsia="Times New Roman" w:hAnsi="Times New Roman"/>
                <w:i/>
                <w:color w:val="000000"/>
                <w:sz w:val="24"/>
                <w:szCs w:val="24"/>
                <w:lang w:eastAsia="lt-LT"/>
              </w:rPr>
              <w:t>išskyrus Sandorių ir teisių suvaržymų registre registruojamas Lietuvos Respublikos civilinio kodekso 1.98 straipsnio 3 dalyje ir 4.177 straipsnyje nurodyto turto hipotekas, taip pat 4.184 straipsnyje nurodytas sąlygines hipotekas</w:t>
            </w:r>
            <w:r w:rsidRPr="00807BF9">
              <w:rPr>
                <w:rFonts w:ascii="Times New Roman" w:eastAsia="Times New Roman" w:hAnsi="Times New Roman"/>
                <w:color w:val="000000"/>
                <w:sz w:val="24"/>
                <w:szCs w:val="24"/>
                <w:lang w:eastAsia="lt-LT"/>
              </w:rPr>
              <w:t>“.</w:t>
            </w:r>
          </w:p>
          <w:p w14:paraId="198EDCA1" w14:textId="77777777" w:rsidR="001E32F5" w:rsidRPr="0070618E" w:rsidRDefault="001E32F5" w:rsidP="003C1405">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Detaliau hipotekos, kaip Nekilnojamojo turto registro objekto, registruojami duomenys bus reglamentuoti įgyvendinamuosiuose teisės aktuose – šio registro nuostatuose.</w:t>
            </w:r>
          </w:p>
        </w:tc>
      </w:tr>
      <w:tr w:rsidR="001E32F5" w:rsidRPr="000479E4" w14:paraId="3E7F1297" w14:textId="77777777" w:rsidTr="00ED3083">
        <w:trPr>
          <w:cantSplit/>
          <w:trHeight w:val="3349"/>
        </w:trPr>
        <w:tc>
          <w:tcPr>
            <w:tcW w:w="1586" w:type="dxa"/>
            <w:gridSpan w:val="3"/>
            <w:vMerge/>
            <w:shd w:val="clear" w:color="auto" w:fill="auto"/>
          </w:tcPr>
          <w:p w14:paraId="20B127E8" w14:textId="77777777" w:rsidR="001E32F5"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4754BDCE" w14:textId="77777777" w:rsidR="001E32F5" w:rsidRDefault="001E32F5" w:rsidP="001E32F5">
            <w:pPr>
              <w:pStyle w:val="Pagrindiniotekstotrauka"/>
              <w:ind w:firstLine="176"/>
              <w:rPr>
                <w:szCs w:val="24"/>
              </w:rPr>
            </w:pPr>
            <w:r>
              <w:rPr>
                <w:szCs w:val="24"/>
              </w:rPr>
              <w:t>14. „</w:t>
            </w:r>
            <w:r w:rsidRPr="0061104C">
              <w:rPr>
                <w:szCs w:val="24"/>
              </w:rPr>
              <w:t>Projekto 2 straipsnyje siūloma keisti Civilinio kodekso 4.177 straipsnio 4 dalį,</w:t>
            </w:r>
            <w:r>
              <w:rPr>
                <w:szCs w:val="24"/>
              </w:rPr>
              <w:t xml:space="preserve"> </w:t>
            </w:r>
            <w:r w:rsidRPr="0061104C">
              <w:rPr>
                <w:szCs w:val="24"/>
              </w:rPr>
              <w:t>nustatant, kad įmonės hipoteka registruojama viešame registre. Iki šiol įmonės hipoteka yra</w:t>
            </w:r>
            <w:r>
              <w:rPr>
                <w:szCs w:val="24"/>
              </w:rPr>
              <w:t xml:space="preserve"> </w:t>
            </w:r>
            <w:r w:rsidRPr="0061104C">
              <w:rPr>
                <w:szCs w:val="24"/>
              </w:rPr>
              <w:t>registruojama Hipotekos, Juridinių asmenų ir Nekilnojamojo turto registruose. Sutarčių registro</w:t>
            </w:r>
            <w:r>
              <w:rPr>
                <w:szCs w:val="24"/>
              </w:rPr>
              <w:t xml:space="preserve"> </w:t>
            </w:r>
            <w:r w:rsidRPr="0061104C">
              <w:rPr>
                <w:szCs w:val="24"/>
              </w:rPr>
              <w:t>įstatymo pakeitimo įstatymo projekte nurodyta, kad įmonės hipoteka būtų registruojama</w:t>
            </w:r>
            <w:r>
              <w:rPr>
                <w:szCs w:val="24"/>
              </w:rPr>
              <w:t xml:space="preserve"> </w:t>
            </w:r>
            <w:r w:rsidRPr="0061104C">
              <w:rPr>
                <w:szCs w:val="24"/>
              </w:rPr>
              <w:t>Sandorių ir teisių suvar</w:t>
            </w:r>
            <w:r>
              <w:rPr>
                <w:szCs w:val="24"/>
              </w:rPr>
              <w:t>ž</w:t>
            </w:r>
            <w:r w:rsidRPr="0061104C">
              <w:rPr>
                <w:szCs w:val="24"/>
              </w:rPr>
              <w:t>ymų registre. Bet informacija apie įmonės hipotekos sandorį svarbi ir</w:t>
            </w:r>
            <w:r>
              <w:rPr>
                <w:szCs w:val="24"/>
              </w:rPr>
              <w:t xml:space="preserve"> </w:t>
            </w:r>
            <w:r w:rsidRPr="0061104C">
              <w:rPr>
                <w:szCs w:val="24"/>
              </w:rPr>
              <w:t>Juridinių asmenų registre.</w:t>
            </w:r>
            <w:r>
              <w:rPr>
                <w:szCs w:val="24"/>
              </w:rPr>
              <w:t>“</w:t>
            </w:r>
          </w:p>
        </w:tc>
        <w:tc>
          <w:tcPr>
            <w:tcW w:w="8593" w:type="dxa"/>
            <w:tcBorders>
              <w:top w:val="single" w:sz="4" w:space="0" w:color="auto"/>
              <w:bottom w:val="single" w:sz="4" w:space="0" w:color="auto"/>
            </w:tcBorders>
            <w:shd w:val="clear" w:color="auto" w:fill="auto"/>
          </w:tcPr>
          <w:p w14:paraId="19026F77" w14:textId="77777777" w:rsidR="001E32F5" w:rsidRDefault="001E32F5" w:rsidP="001E32F5">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0D7AE3BA" w14:textId="77777777" w:rsidR="001E32F5" w:rsidRPr="0061104C" w:rsidRDefault="001E32F5" w:rsidP="001E32F5">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 xml:space="preserve">Pažymėtina, kad vadovaujantis </w:t>
            </w:r>
            <w:r w:rsidRPr="0061104C">
              <w:rPr>
                <w:rFonts w:ascii="Times New Roman" w:eastAsia="Calibri" w:hAnsi="Times New Roman"/>
                <w:sz w:val="24"/>
                <w:szCs w:val="24"/>
              </w:rPr>
              <w:t>Juridinių asmenų registro nuostatų</w:t>
            </w:r>
            <w:r>
              <w:rPr>
                <w:rFonts w:ascii="Times New Roman" w:eastAsia="Calibri" w:hAnsi="Times New Roman"/>
                <w:sz w:val="24"/>
                <w:szCs w:val="24"/>
              </w:rPr>
              <w:t>, patvirtintų</w:t>
            </w:r>
            <w:r w:rsidRPr="0061104C">
              <w:rPr>
                <w:rFonts w:ascii="Times New Roman" w:eastAsia="Calibri" w:hAnsi="Times New Roman"/>
                <w:sz w:val="24"/>
                <w:szCs w:val="24"/>
              </w:rPr>
              <w:t xml:space="preserve"> Lietuvos Respublikos Vyriausybės 2003 m. lapkričio 12 d. nutarim</w:t>
            </w:r>
            <w:r>
              <w:rPr>
                <w:rFonts w:ascii="Times New Roman" w:eastAsia="Calibri" w:hAnsi="Times New Roman"/>
                <w:sz w:val="24"/>
                <w:szCs w:val="24"/>
              </w:rPr>
              <w:t>u Nr. 1407, 18.17 papunkčiu,</w:t>
            </w:r>
            <w:r w:rsidRPr="0061104C">
              <w:rPr>
                <w:rFonts w:ascii="Times New Roman" w:eastAsia="Calibri" w:hAnsi="Times New Roman"/>
                <w:sz w:val="24"/>
                <w:szCs w:val="24"/>
              </w:rPr>
              <w:t xml:space="preserve"> </w:t>
            </w:r>
            <w:r>
              <w:rPr>
                <w:rFonts w:ascii="Times New Roman" w:eastAsia="Calibri" w:hAnsi="Times New Roman"/>
                <w:sz w:val="24"/>
                <w:szCs w:val="24"/>
              </w:rPr>
              <w:t>Juridinių asmenų r</w:t>
            </w:r>
            <w:r w:rsidRPr="0061104C">
              <w:rPr>
                <w:rFonts w:ascii="Times New Roman" w:eastAsia="Calibri" w:hAnsi="Times New Roman"/>
                <w:sz w:val="24"/>
                <w:szCs w:val="24"/>
              </w:rPr>
              <w:t>egistre registruojam</w:t>
            </w:r>
            <w:r>
              <w:rPr>
                <w:rFonts w:ascii="Times New Roman" w:eastAsia="Calibri" w:hAnsi="Times New Roman"/>
                <w:sz w:val="24"/>
                <w:szCs w:val="24"/>
              </w:rPr>
              <w:t>a ne pati įmonės hipoteka, o</w:t>
            </w:r>
            <w:r w:rsidRPr="0061104C">
              <w:rPr>
                <w:rFonts w:ascii="Times New Roman" w:eastAsia="Calibri" w:hAnsi="Times New Roman"/>
                <w:sz w:val="24"/>
                <w:szCs w:val="24"/>
              </w:rPr>
              <w:t xml:space="preserve"> </w:t>
            </w:r>
            <w:r>
              <w:rPr>
                <w:rFonts w:ascii="Times New Roman" w:eastAsia="Calibri" w:hAnsi="Times New Roman"/>
                <w:sz w:val="24"/>
                <w:szCs w:val="24"/>
              </w:rPr>
              <w:t>„</w:t>
            </w:r>
            <w:r w:rsidRPr="0061104C">
              <w:rPr>
                <w:rFonts w:ascii="Times New Roman" w:eastAsia="Calibri" w:hAnsi="Times New Roman"/>
                <w:i/>
                <w:sz w:val="24"/>
                <w:szCs w:val="24"/>
              </w:rPr>
              <w:t>juridinis faktas, kad juridinio asmens turtas įkeistas pagal įmonės hipotekos taisykles, įmonės įkeitimo ir įmonės įkeitimo panaikinimo datos</w:t>
            </w:r>
            <w:r>
              <w:rPr>
                <w:rFonts w:ascii="Times New Roman" w:eastAsia="Calibri" w:hAnsi="Times New Roman"/>
                <w:sz w:val="24"/>
                <w:szCs w:val="24"/>
              </w:rPr>
              <w:t>“. Pagal Projektu siūlomą tvarką numatoma, kad Juridinių asmenų registre tokio juridinio fakto registracija išliks.</w:t>
            </w:r>
          </w:p>
        </w:tc>
      </w:tr>
      <w:tr w:rsidR="001E32F5" w:rsidRPr="000479E4" w14:paraId="220ADD73" w14:textId="77777777" w:rsidTr="00ED3083">
        <w:trPr>
          <w:cantSplit/>
          <w:trHeight w:val="3349"/>
        </w:trPr>
        <w:tc>
          <w:tcPr>
            <w:tcW w:w="1586" w:type="dxa"/>
            <w:gridSpan w:val="3"/>
            <w:vMerge/>
            <w:shd w:val="clear" w:color="auto" w:fill="auto"/>
          </w:tcPr>
          <w:p w14:paraId="2BF8F14A" w14:textId="77777777" w:rsidR="001E32F5"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084D73D6" w14:textId="77777777" w:rsidR="001E32F5" w:rsidRDefault="001E32F5" w:rsidP="001E32F5">
            <w:pPr>
              <w:pStyle w:val="Pagrindiniotekstotrauka"/>
              <w:ind w:firstLine="176"/>
              <w:rPr>
                <w:szCs w:val="24"/>
              </w:rPr>
            </w:pPr>
            <w:r>
              <w:rPr>
                <w:szCs w:val="24"/>
              </w:rPr>
              <w:t>15. „</w:t>
            </w:r>
            <w:r w:rsidRPr="000328B6">
              <w:rPr>
                <w:szCs w:val="24"/>
              </w:rPr>
              <w:t>N</w:t>
            </w:r>
            <w:r>
              <w:rPr>
                <w:szCs w:val="24"/>
              </w:rPr>
              <w:t>e</w:t>
            </w:r>
            <w:r w:rsidRPr="000328B6">
              <w:rPr>
                <w:szCs w:val="24"/>
              </w:rPr>
              <w:t>supranta</w:t>
            </w:r>
            <w:r>
              <w:rPr>
                <w:szCs w:val="24"/>
              </w:rPr>
              <w:t>ma, kodėl sąlyginės hipoteko</w:t>
            </w:r>
            <w:r w:rsidRPr="000328B6">
              <w:rPr>
                <w:szCs w:val="24"/>
              </w:rPr>
              <w:t>s</w:t>
            </w:r>
            <w:r>
              <w:rPr>
                <w:szCs w:val="24"/>
              </w:rPr>
              <w:t>,</w:t>
            </w:r>
            <w:r w:rsidRPr="000328B6">
              <w:rPr>
                <w:szCs w:val="24"/>
              </w:rPr>
              <w:t xml:space="preserve"> kuriomis įkeičiamas egzistuojantis ir</w:t>
            </w:r>
            <w:r>
              <w:rPr>
                <w:szCs w:val="24"/>
              </w:rPr>
              <w:t xml:space="preserve"> </w:t>
            </w:r>
            <w:r w:rsidRPr="000328B6">
              <w:rPr>
                <w:szCs w:val="24"/>
              </w:rPr>
              <w:t>Nekilnojamojo turto registre įregistruotas nekilnojamasis daiktas, siūloma registruoti Sandorių ir</w:t>
            </w:r>
            <w:r>
              <w:rPr>
                <w:szCs w:val="24"/>
              </w:rPr>
              <w:t xml:space="preserve"> </w:t>
            </w:r>
            <w:r w:rsidRPr="000328B6">
              <w:rPr>
                <w:szCs w:val="24"/>
              </w:rPr>
              <w:t>teisių suvaržymų registre. Nustačius, kad hipotekos registruojamos</w:t>
            </w:r>
            <w:r>
              <w:rPr>
                <w:szCs w:val="24"/>
              </w:rPr>
              <w:t xml:space="preserve"> Nekilnojamojo turto registre, </w:t>
            </w:r>
            <w:r w:rsidRPr="000328B6">
              <w:rPr>
                <w:szCs w:val="24"/>
              </w:rPr>
              <w:t>būtų tiks</w:t>
            </w:r>
            <w:r>
              <w:rPr>
                <w:szCs w:val="24"/>
              </w:rPr>
              <w:t>l</w:t>
            </w:r>
            <w:r w:rsidRPr="000328B6">
              <w:rPr>
                <w:szCs w:val="24"/>
              </w:rPr>
              <w:t>inga visas su įregistruotais nekilnojamaisiais daiktais susijusias hipotekas</w:t>
            </w:r>
            <w:r>
              <w:rPr>
                <w:szCs w:val="24"/>
              </w:rPr>
              <w:t xml:space="preserve"> </w:t>
            </w:r>
            <w:r w:rsidRPr="000328B6">
              <w:rPr>
                <w:szCs w:val="24"/>
              </w:rPr>
              <w:t>(nepriklausomai nuo rūšies) registruoti šiame registre.</w:t>
            </w:r>
            <w:r>
              <w:rPr>
                <w:szCs w:val="24"/>
              </w:rPr>
              <w:t>“</w:t>
            </w:r>
          </w:p>
        </w:tc>
        <w:tc>
          <w:tcPr>
            <w:tcW w:w="8593" w:type="dxa"/>
            <w:tcBorders>
              <w:top w:val="single" w:sz="4" w:space="0" w:color="auto"/>
              <w:bottom w:val="single" w:sz="4" w:space="0" w:color="auto"/>
            </w:tcBorders>
            <w:shd w:val="clear" w:color="auto" w:fill="auto"/>
          </w:tcPr>
          <w:p w14:paraId="1E6184F4" w14:textId="77777777" w:rsidR="001E32F5" w:rsidRDefault="001E32F5" w:rsidP="001E32F5">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1E363E90" w14:textId="77777777" w:rsidR="001E32F5" w:rsidRPr="000328B6" w:rsidRDefault="001E32F5" w:rsidP="001E32F5">
            <w:pPr>
              <w:pStyle w:val="Komentarotekstas"/>
              <w:tabs>
                <w:tab w:val="left" w:pos="1276"/>
              </w:tabs>
              <w:ind w:firstLine="317"/>
              <w:jc w:val="both"/>
              <w:rPr>
                <w:rFonts w:ascii="Times New Roman" w:eastAsia="Calibri" w:hAnsi="Times New Roman"/>
                <w:sz w:val="24"/>
                <w:szCs w:val="24"/>
              </w:rPr>
            </w:pPr>
            <w:r w:rsidRPr="000328B6">
              <w:rPr>
                <w:rFonts w:ascii="Times New Roman" w:eastAsia="Calibri" w:hAnsi="Times New Roman"/>
                <w:sz w:val="24"/>
                <w:szCs w:val="24"/>
              </w:rPr>
              <w:t>Žr. argumentus prie 4 pastabos.</w:t>
            </w:r>
          </w:p>
        </w:tc>
      </w:tr>
      <w:tr w:rsidR="001E32F5" w:rsidRPr="000479E4" w14:paraId="23F82141" w14:textId="77777777" w:rsidTr="00ED3083">
        <w:trPr>
          <w:cantSplit/>
          <w:trHeight w:val="3349"/>
        </w:trPr>
        <w:tc>
          <w:tcPr>
            <w:tcW w:w="1586" w:type="dxa"/>
            <w:gridSpan w:val="3"/>
            <w:vMerge/>
            <w:shd w:val="clear" w:color="auto" w:fill="auto"/>
          </w:tcPr>
          <w:p w14:paraId="15DE5507" w14:textId="77777777" w:rsidR="001E32F5"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0D70B5A1" w14:textId="77777777" w:rsidR="001E32F5" w:rsidRDefault="001E32F5" w:rsidP="001E32F5">
            <w:pPr>
              <w:pStyle w:val="Pagrindiniotekstotrauka"/>
              <w:ind w:firstLine="176"/>
              <w:rPr>
                <w:szCs w:val="24"/>
              </w:rPr>
            </w:pPr>
            <w:r>
              <w:rPr>
                <w:szCs w:val="24"/>
              </w:rPr>
              <w:t>16. „</w:t>
            </w:r>
            <w:r w:rsidRPr="006A67FC">
              <w:rPr>
                <w:szCs w:val="24"/>
              </w:rPr>
              <w:t>Gavę Įstatymų projektus 2018 m. lapkričio 12 d., Lietuvos notarų rūmai kreipėsi į teisės</w:t>
            </w:r>
            <w:r>
              <w:rPr>
                <w:szCs w:val="24"/>
              </w:rPr>
              <w:t xml:space="preserve"> </w:t>
            </w:r>
            <w:r w:rsidRPr="006A67FC">
              <w:rPr>
                <w:szCs w:val="24"/>
              </w:rPr>
              <w:t>mokslininkus, kurių mokslinių interesų sritis yra daiktinė teisė, dėl išvadų pateikimo. Išvados</w:t>
            </w:r>
            <w:r>
              <w:rPr>
                <w:szCs w:val="24"/>
              </w:rPr>
              <w:t xml:space="preserve"> </w:t>
            </w:r>
            <w:r w:rsidRPr="006A67FC">
              <w:rPr>
                <w:szCs w:val="24"/>
              </w:rPr>
              <w:t>buvo teiktos tuo metu pateiktiems Įstatymų projektams, tačiau, kaip minėta, dabar pateikti</w:t>
            </w:r>
            <w:r>
              <w:rPr>
                <w:szCs w:val="24"/>
              </w:rPr>
              <w:t xml:space="preserve"> </w:t>
            </w:r>
            <w:r w:rsidRPr="006A67FC">
              <w:rPr>
                <w:szCs w:val="24"/>
              </w:rPr>
              <w:t>Įstatymų projektai iš esmės yra nepasikeit</w:t>
            </w:r>
            <w:r>
              <w:rPr>
                <w:szCs w:val="24"/>
              </w:rPr>
              <w:t>ę</w:t>
            </w:r>
            <w:r w:rsidRPr="006A67FC">
              <w:rPr>
                <w:szCs w:val="24"/>
              </w:rPr>
              <w:t>. Todėl gautas išvadas pridedame prie šio rašto ir</w:t>
            </w:r>
            <w:r>
              <w:rPr>
                <w:szCs w:val="24"/>
              </w:rPr>
              <w:t xml:space="preserve"> </w:t>
            </w:r>
            <w:r w:rsidRPr="006A67FC">
              <w:rPr>
                <w:szCs w:val="24"/>
              </w:rPr>
              <w:t>prašome įvertinti visas jose nurodytas pastabas ir</w:t>
            </w:r>
            <w:r>
              <w:rPr>
                <w:szCs w:val="24"/>
              </w:rPr>
              <w:t xml:space="preserve"> pasiūlymus (Įstatymų projektų </w:t>
            </w:r>
            <w:r w:rsidRPr="006A67FC">
              <w:rPr>
                <w:szCs w:val="24"/>
              </w:rPr>
              <w:t>derinimo</w:t>
            </w:r>
            <w:r>
              <w:rPr>
                <w:szCs w:val="24"/>
              </w:rPr>
              <w:t xml:space="preserve"> </w:t>
            </w:r>
            <w:r w:rsidRPr="006A67FC">
              <w:rPr>
                <w:szCs w:val="24"/>
              </w:rPr>
              <w:t>pažym</w:t>
            </w:r>
            <w:r>
              <w:rPr>
                <w:szCs w:val="24"/>
              </w:rPr>
              <w:t>o</w:t>
            </w:r>
            <w:r w:rsidRPr="006A67FC">
              <w:rPr>
                <w:szCs w:val="24"/>
              </w:rPr>
              <w:t>je)</w:t>
            </w:r>
            <w:r>
              <w:rPr>
                <w:szCs w:val="24"/>
              </w:rPr>
              <w:t>.“</w:t>
            </w:r>
          </w:p>
        </w:tc>
        <w:tc>
          <w:tcPr>
            <w:tcW w:w="8593" w:type="dxa"/>
            <w:tcBorders>
              <w:top w:val="single" w:sz="4" w:space="0" w:color="auto"/>
              <w:bottom w:val="single" w:sz="4" w:space="0" w:color="auto"/>
            </w:tcBorders>
            <w:shd w:val="clear" w:color="auto" w:fill="auto"/>
          </w:tcPr>
          <w:p w14:paraId="37F48AED" w14:textId="77777777" w:rsidR="001E32F5" w:rsidRDefault="001E32F5" w:rsidP="001E32F5">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Atsižvelgta iš dalies.</w:t>
            </w:r>
          </w:p>
          <w:p w14:paraId="3B826ABC" w14:textId="77777777" w:rsidR="001E32F5" w:rsidRDefault="001E32F5" w:rsidP="001E32F5">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Teisingumo ministerija nesutinka su argumentais, jog projektas iš esmės nepasikeitė lyginant su ankstesniu projektu. Argumentai pateikti prie 1 pastabos.</w:t>
            </w:r>
          </w:p>
          <w:p w14:paraId="15457076" w14:textId="77777777" w:rsidR="001E32F5" w:rsidRPr="006A67FC" w:rsidRDefault="001E32F5" w:rsidP="001E32F5">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Atsižvelgdama į tai, kad dalis Lietuvos notarų rūmų persiųstų teisės mokslininkų pastabų yra susijusios su ankstesniu projektu ir nėra aktualios teikiamam Projektui, bei į tai, kad kita dalis pastabų savo turiniu yra analogiškos Lietuvos notarų rūmų 2019-03-25 rašte Nr. S-175 nurodytoms pastaboms, į kurias jau atsakyta šioje derinimo pažymoje, Teisingumo ministerija dėl jų pasisakys tik tiek, kiek jos susijusios su šiuo metu teikiamu Projektu ir neaptartos derinimo pažymos 1–15 punktuose.</w:t>
            </w:r>
          </w:p>
        </w:tc>
      </w:tr>
      <w:tr w:rsidR="001E32F5" w:rsidRPr="000479E4" w14:paraId="70835F11" w14:textId="77777777" w:rsidTr="00ED3083">
        <w:trPr>
          <w:cantSplit/>
          <w:trHeight w:val="1543"/>
        </w:trPr>
        <w:tc>
          <w:tcPr>
            <w:tcW w:w="1586" w:type="dxa"/>
            <w:gridSpan w:val="3"/>
            <w:vMerge w:val="restart"/>
            <w:shd w:val="clear" w:color="auto" w:fill="auto"/>
          </w:tcPr>
          <w:p w14:paraId="012091E9" w14:textId="77777777" w:rsidR="001E32F5"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598A3C35" w14:textId="77777777" w:rsidR="001E32F5" w:rsidRDefault="001E32F5" w:rsidP="001E32F5">
            <w:pPr>
              <w:pStyle w:val="Pagrindiniotekstotrauka"/>
              <w:ind w:firstLine="176"/>
              <w:rPr>
                <w:szCs w:val="24"/>
              </w:rPr>
            </w:pPr>
            <w:r>
              <w:rPr>
                <w:szCs w:val="24"/>
              </w:rPr>
              <w:t xml:space="preserve">17. „&lt;...&gt; </w:t>
            </w:r>
            <w:r w:rsidRPr="005B53D8">
              <w:rPr>
                <w:szCs w:val="24"/>
              </w:rPr>
              <w:t>vykdomasis įrašas gali būti atliekamas tik pagal</w:t>
            </w:r>
            <w:r>
              <w:rPr>
                <w:szCs w:val="24"/>
              </w:rPr>
              <w:t xml:space="preserve"> </w:t>
            </w:r>
            <w:r w:rsidRPr="005B53D8">
              <w:rPr>
                <w:szCs w:val="24"/>
              </w:rPr>
              <w:t xml:space="preserve">notariškai patvirtintą sandorį, kuris yra </w:t>
            </w:r>
            <w:r w:rsidRPr="005B53D8">
              <w:rPr>
                <w:i/>
                <w:szCs w:val="24"/>
              </w:rPr>
              <w:t>acte authentique</w:t>
            </w:r>
            <w:r w:rsidRPr="005B53D8">
              <w:rPr>
                <w:szCs w:val="24"/>
              </w:rPr>
              <w:t>, o visais kitais atvejais</w:t>
            </w:r>
            <w:r>
              <w:rPr>
                <w:szCs w:val="24"/>
              </w:rPr>
              <w:t xml:space="preserve"> </w:t>
            </w:r>
            <w:r w:rsidRPr="005B53D8">
              <w:rPr>
                <w:szCs w:val="24"/>
              </w:rPr>
              <w:t>kreditorius turėtų kreiptis į teismą bendra tvarka.</w:t>
            </w:r>
            <w:r>
              <w:rPr>
                <w:szCs w:val="24"/>
              </w:rPr>
              <w:t>“</w:t>
            </w:r>
          </w:p>
        </w:tc>
        <w:tc>
          <w:tcPr>
            <w:tcW w:w="8593" w:type="dxa"/>
            <w:tcBorders>
              <w:top w:val="single" w:sz="4" w:space="0" w:color="auto"/>
              <w:bottom w:val="single" w:sz="4" w:space="0" w:color="auto"/>
            </w:tcBorders>
            <w:shd w:val="clear" w:color="auto" w:fill="auto"/>
          </w:tcPr>
          <w:p w14:paraId="2734AFAC" w14:textId="77777777" w:rsidR="001E32F5" w:rsidRDefault="001E32F5" w:rsidP="001E32F5">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Neatsižvelgta.</w:t>
            </w:r>
          </w:p>
          <w:p w14:paraId="2B442670" w14:textId="77777777" w:rsidR="001E32F5" w:rsidRPr="005B53D8" w:rsidRDefault="001E32F5" w:rsidP="001E32F5">
            <w:pPr>
              <w:pStyle w:val="Komentarotekstas"/>
              <w:tabs>
                <w:tab w:val="left" w:pos="1276"/>
              </w:tabs>
              <w:ind w:firstLine="317"/>
              <w:jc w:val="both"/>
              <w:rPr>
                <w:rFonts w:ascii="Times New Roman" w:eastAsia="Calibri" w:hAnsi="Times New Roman"/>
                <w:sz w:val="24"/>
                <w:szCs w:val="24"/>
              </w:rPr>
            </w:pPr>
            <w:r w:rsidRPr="007E66CF">
              <w:rPr>
                <w:rFonts w:ascii="Times New Roman" w:eastAsia="Calibri" w:hAnsi="Times New Roman"/>
                <w:sz w:val="24"/>
                <w:szCs w:val="24"/>
              </w:rPr>
              <w:t>Vadovaujantis Lietuvos Respublikos notariato įstatymo 26 straipsnio 15 punktu, vykdomajam įrašui dėl priverstinio skolos išieškojimo pagal hipotekos (įkeitimo) kreditoriaus prašymą atlikti nėra reikalaujama notarinės formos. Taip pat žr. argumentus prie 12 pastabos.</w:t>
            </w:r>
          </w:p>
        </w:tc>
      </w:tr>
      <w:tr w:rsidR="001E32F5" w:rsidRPr="000479E4" w14:paraId="2D242504" w14:textId="77777777" w:rsidTr="00ED3083">
        <w:trPr>
          <w:cantSplit/>
          <w:trHeight w:val="1543"/>
        </w:trPr>
        <w:tc>
          <w:tcPr>
            <w:tcW w:w="1586" w:type="dxa"/>
            <w:gridSpan w:val="3"/>
            <w:vMerge/>
            <w:shd w:val="clear" w:color="auto" w:fill="auto"/>
          </w:tcPr>
          <w:p w14:paraId="7AE2FAD8" w14:textId="77777777" w:rsidR="001E32F5"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14:paraId="70BE316B" w14:textId="77777777" w:rsidR="001E32F5" w:rsidRDefault="001E32F5" w:rsidP="001E32F5">
            <w:pPr>
              <w:pStyle w:val="Pagrindiniotekstotrauka"/>
              <w:ind w:firstLine="176"/>
              <w:rPr>
                <w:szCs w:val="24"/>
              </w:rPr>
            </w:pPr>
            <w:r>
              <w:rPr>
                <w:szCs w:val="24"/>
              </w:rPr>
              <w:t>18. Dėl d</w:t>
            </w:r>
            <w:r w:rsidRPr="00B72A25">
              <w:rPr>
                <w:szCs w:val="24"/>
              </w:rPr>
              <w:t>isponavim</w:t>
            </w:r>
            <w:r>
              <w:rPr>
                <w:szCs w:val="24"/>
              </w:rPr>
              <w:t>o</w:t>
            </w:r>
            <w:r w:rsidRPr="00B72A25">
              <w:rPr>
                <w:szCs w:val="24"/>
              </w:rPr>
              <w:t xml:space="preserve"> turtinio komplekso objektais. </w:t>
            </w:r>
            <w:r>
              <w:rPr>
                <w:szCs w:val="24"/>
              </w:rPr>
              <w:t>„&lt;...&gt;</w:t>
            </w:r>
            <w:r w:rsidRPr="00B72A25">
              <w:rPr>
                <w:szCs w:val="24"/>
              </w:rPr>
              <w:t xml:space="preserve"> vykdydamas įprastą komercinę veiklą, įkaito davėjas</w:t>
            </w:r>
            <w:r>
              <w:rPr>
                <w:szCs w:val="24"/>
              </w:rPr>
              <w:t xml:space="preserve"> </w:t>
            </w:r>
            <w:r w:rsidRPr="00B72A25">
              <w:rPr>
                <w:szCs w:val="24"/>
              </w:rPr>
              <w:t>turi teisę disponuoti įkeist</w:t>
            </w:r>
            <w:r>
              <w:rPr>
                <w:szCs w:val="24"/>
              </w:rPr>
              <w:t>ą</w:t>
            </w:r>
            <w:r w:rsidRPr="00B72A25">
              <w:rPr>
                <w:szCs w:val="24"/>
              </w:rPr>
              <w:t xml:space="preserve"> turtinį kompleksą sudarančiais objektais, tik jeigu nemažėja</w:t>
            </w:r>
            <w:r>
              <w:rPr>
                <w:szCs w:val="24"/>
              </w:rPr>
              <w:t xml:space="preserve"> </w:t>
            </w:r>
            <w:r w:rsidRPr="00B72A25">
              <w:rPr>
                <w:szCs w:val="24"/>
              </w:rPr>
              <w:t>bendra šio įkeisto turto vertė, išskyrus atvejus, kai sandorio šalys susitaria kitaip.</w:t>
            </w:r>
            <w:r>
              <w:rPr>
                <w:szCs w:val="24"/>
              </w:rPr>
              <w:t xml:space="preserve"> &lt;...&gt;</w:t>
            </w:r>
            <w:r w:rsidRPr="00B72A25">
              <w:rPr>
                <w:szCs w:val="24"/>
              </w:rPr>
              <w:t xml:space="preserve"> </w:t>
            </w:r>
            <w:r w:rsidRPr="00CB021A">
              <w:rPr>
                <w:szCs w:val="24"/>
              </w:rPr>
              <w:t xml:space="preserve">Pakeitimas kelia klausimų, nes tokia nuostata gali įvesti į įkeitimo sandorių praktiką du svarbius dalykus: draudimą disponuoti turtinio komplekso objektais ir/arba leidimą disponuoti net jei mažėja bendra turto vertė. </w:t>
            </w:r>
            <w:r w:rsidRPr="00B72A25">
              <w:rPr>
                <w:szCs w:val="24"/>
              </w:rPr>
              <w:t>Pirmuoju atveju toks draudimas</w:t>
            </w:r>
            <w:r>
              <w:rPr>
                <w:szCs w:val="24"/>
              </w:rPr>
              <w:t xml:space="preserve"> </w:t>
            </w:r>
            <w:r w:rsidRPr="00B72A25">
              <w:rPr>
                <w:szCs w:val="24"/>
              </w:rPr>
              <w:t xml:space="preserve">prieštarautų universalaus įkeitimo esmei ir iš esmės paneigtų jo reikalingumą </w:t>
            </w:r>
            <w:r>
              <w:rPr>
                <w:szCs w:val="24"/>
              </w:rPr>
              <w:t xml:space="preserve">– </w:t>
            </w:r>
            <w:r w:rsidRPr="00B72A25">
              <w:rPr>
                <w:szCs w:val="24"/>
              </w:rPr>
              <w:t>uždraudus disponuoti, tai būtų nebe kisti galintis turtinis kompleksas, o specifiškai</w:t>
            </w:r>
            <w:r>
              <w:rPr>
                <w:szCs w:val="24"/>
              </w:rPr>
              <w:t xml:space="preserve"> </w:t>
            </w:r>
            <w:r w:rsidRPr="00B72A25">
              <w:rPr>
                <w:szCs w:val="24"/>
              </w:rPr>
              <w:t>apibrėžtas daiktų sąrašas.</w:t>
            </w:r>
            <w:r>
              <w:rPr>
                <w:szCs w:val="24"/>
              </w:rPr>
              <w:t xml:space="preserve"> Todėl kaip turtinio komplekso į</w:t>
            </w:r>
            <w:r w:rsidRPr="00B72A25">
              <w:rPr>
                <w:szCs w:val="24"/>
              </w:rPr>
              <w:t>keitimas jis nebeveiktų.</w:t>
            </w:r>
            <w:r>
              <w:rPr>
                <w:szCs w:val="24"/>
              </w:rPr>
              <w:t xml:space="preserve"> </w:t>
            </w:r>
            <w:r w:rsidRPr="00CB021A">
              <w:rPr>
                <w:szCs w:val="24"/>
              </w:rPr>
              <w:t xml:space="preserve">Antruoju atveju, įstatymo pakeitimas atvertų kelią </w:t>
            </w:r>
            <w:r w:rsidRPr="00CB021A">
              <w:rPr>
                <w:i/>
                <w:szCs w:val="24"/>
              </w:rPr>
              <w:t>actio Pauliana</w:t>
            </w:r>
            <w:r w:rsidRPr="00CB021A">
              <w:rPr>
                <w:szCs w:val="24"/>
              </w:rPr>
              <w:t xml:space="preserve"> (LR CK 6.66 straipsnis) ir būtų neefektyvus bei įneštų teisinio neapibrėžtumo, nes šiuo metu draudimas mažinti įkaito vertę ir veikia, kaip tam tikras saugiklis, pakeičiantis </w:t>
            </w:r>
            <w:r w:rsidRPr="00CB021A">
              <w:rPr>
                <w:i/>
                <w:szCs w:val="24"/>
              </w:rPr>
              <w:t>actio Pauliana</w:t>
            </w:r>
            <w:r w:rsidRPr="00CB021A">
              <w:rPr>
                <w:szCs w:val="24"/>
              </w:rPr>
              <w:t xml:space="preserve">. </w:t>
            </w:r>
            <w:r w:rsidRPr="00B72A25">
              <w:rPr>
                <w:szCs w:val="24"/>
              </w:rPr>
              <w:t>Jo atsisakius,</w:t>
            </w:r>
            <w:r>
              <w:rPr>
                <w:szCs w:val="24"/>
              </w:rPr>
              <w:t xml:space="preserve"> </w:t>
            </w:r>
            <w:r w:rsidRPr="00B72A25">
              <w:rPr>
                <w:szCs w:val="24"/>
              </w:rPr>
              <w:t xml:space="preserve">tretieji asmenys ims ginti savo teises </w:t>
            </w:r>
            <w:r w:rsidRPr="00B72A25">
              <w:rPr>
                <w:i/>
                <w:szCs w:val="24"/>
              </w:rPr>
              <w:t>actio Pauliana</w:t>
            </w:r>
            <w:r w:rsidRPr="00B72A25">
              <w:rPr>
                <w:szCs w:val="24"/>
              </w:rPr>
              <w:t xml:space="preserve"> pagrindu, todėl kyla klausimas,</w:t>
            </w:r>
            <w:r>
              <w:rPr>
                <w:szCs w:val="24"/>
              </w:rPr>
              <w:t xml:space="preserve"> </w:t>
            </w:r>
            <w:r w:rsidRPr="00B72A25">
              <w:rPr>
                <w:szCs w:val="24"/>
              </w:rPr>
              <w:t xml:space="preserve">kokio efekto tokiu pakeitimu siekia Projekto autoriai. </w:t>
            </w:r>
            <w:r w:rsidRPr="00CB021A">
              <w:rPr>
                <w:szCs w:val="24"/>
              </w:rPr>
              <w:t>Taip pat neaišku, kodėl siūloma keisti tik kilnojamojo turto kompleksų įkeitimą, o įmonės hipoteka nekeičiama, nors abiem atvejais įkeičiami turtiniai kompleksai.“</w:t>
            </w:r>
          </w:p>
        </w:tc>
        <w:tc>
          <w:tcPr>
            <w:tcW w:w="8593" w:type="dxa"/>
            <w:tcBorders>
              <w:top w:val="single" w:sz="4" w:space="0" w:color="auto"/>
              <w:bottom w:val="single" w:sz="4" w:space="0" w:color="auto"/>
            </w:tcBorders>
            <w:shd w:val="clear" w:color="auto" w:fill="auto"/>
          </w:tcPr>
          <w:p w14:paraId="4B7AC6F0" w14:textId="77777777" w:rsidR="001E32F5" w:rsidRDefault="00EC79D7" w:rsidP="001E32F5">
            <w:pPr>
              <w:pStyle w:val="Komentarotekstas"/>
              <w:tabs>
                <w:tab w:val="left" w:pos="1276"/>
              </w:tabs>
              <w:ind w:firstLine="317"/>
              <w:jc w:val="both"/>
              <w:rPr>
                <w:rFonts w:ascii="Times New Roman" w:eastAsia="Calibri" w:hAnsi="Times New Roman"/>
                <w:b/>
                <w:sz w:val="24"/>
                <w:szCs w:val="24"/>
              </w:rPr>
            </w:pPr>
            <w:r w:rsidRPr="00EC79D7">
              <w:rPr>
                <w:rFonts w:ascii="Times New Roman" w:eastAsia="Calibri" w:hAnsi="Times New Roman"/>
                <w:b/>
                <w:sz w:val="24"/>
                <w:szCs w:val="24"/>
              </w:rPr>
              <w:t>Atsižvelgta iš dalies</w:t>
            </w:r>
            <w:r w:rsidR="001E32F5" w:rsidRPr="00EC79D7">
              <w:rPr>
                <w:rFonts w:ascii="Times New Roman" w:eastAsia="Calibri" w:hAnsi="Times New Roman"/>
                <w:b/>
                <w:sz w:val="24"/>
                <w:szCs w:val="24"/>
              </w:rPr>
              <w:t>.</w:t>
            </w:r>
          </w:p>
          <w:p w14:paraId="402EC2C6" w14:textId="77777777" w:rsidR="00EC79D7" w:rsidRPr="00EC79D7" w:rsidRDefault="00EC79D7" w:rsidP="00EC79D7">
            <w:pPr>
              <w:pStyle w:val="Komentarotekstas"/>
              <w:tabs>
                <w:tab w:val="left" w:pos="1276"/>
              </w:tabs>
              <w:ind w:firstLine="317"/>
              <w:jc w:val="both"/>
              <w:rPr>
                <w:rFonts w:ascii="Times New Roman" w:eastAsia="Calibri" w:hAnsi="Times New Roman"/>
                <w:sz w:val="24"/>
                <w:szCs w:val="24"/>
              </w:rPr>
            </w:pPr>
            <w:r w:rsidRPr="00EC79D7">
              <w:rPr>
                <w:rFonts w:ascii="Times New Roman" w:eastAsia="Calibri" w:hAnsi="Times New Roman"/>
                <w:sz w:val="24"/>
                <w:szCs w:val="24"/>
              </w:rPr>
              <w:t>Patikslinta, kad sandorio šalys sandoryje galėtų susitarti ne dėl paties disponavimo įkeistą turtinį kompleksą sudarančiais objektais, o dėl to, ar disponuojant jais draudžiama mažinti bendrą įkeisto turto vertę.</w:t>
            </w:r>
          </w:p>
          <w:p w14:paraId="5CF2FABF" w14:textId="77777777" w:rsidR="00EC79D7" w:rsidRPr="00EC79D7" w:rsidRDefault="00EC79D7" w:rsidP="00EC79D7">
            <w:pPr>
              <w:pStyle w:val="Komentarotekstas"/>
              <w:tabs>
                <w:tab w:val="left" w:pos="1276"/>
              </w:tabs>
              <w:ind w:firstLine="317"/>
              <w:jc w:val="both"/>
              <w:rPr>
                <w:rFonts w:ascii="Times New Roman" w:eastAsia="Calibri" w:hAnsi="Times New Roman"/>
                <w:sz w:val="24"/>
                <w:szCs w:val="24"/>
              </w:rPr>
            </w:pPr>
            <w:r w:rsidRPr="00EC79D7">
              <w:rPr>
                <w:rFonts w:ascii="Times New Roman" w:eastAsia="Calibri" w:hAnsi="Times New Roman"/>
                <w:sz w:val="24"/>
                <w:szCs w:val="24"/>
              </w:rPr>
              <w:t>Toks reguliavimas atitiktų pasaulinę gerąją praktiką dėl įkeitimo sandorių sudarymo (pavyzdžiui, žr. UNCITRAL Teisėkūros gidą dėl užtikrintų sandorių), taip pat Pasaulio banko rekomendacijas, teikiamas tyrimo „Doing Business“ kontekste. Be to, kaip ir nurodyta aiškinamajame rašte, šis pakeitimas taip pat leistų įkeitimo sandorio šalims pačioms apsispręsti, kokiu būdu geriausia užtikrinti jų tarpusavio įsipareigojimų vykdymą, atsižvelgiant į įkeistų objektų pobūdį, šalių tarpusavio santykius ir pan.</w:t>
            </w:r>
          </w:p>
          <w:p w14:paraId="708A62E7" w14:textId="77777777" w:rsidR="00EC79D7" w:rsidRPr="00EC79D7" w:rsidRDefault="00EC79D7" w:rsidP="00EC79D7">
            <w:pPr>
              <w:pStyle w:val="Komentarotekstas"/>
              <w:tabs>
                <w:tab w:val="left" w:pos="1276"/>
              </w:tabs>
              <w:ind w:firstLine="317"/>
              <w:jc w:val="both"/>
              <w:rPr>
                <w:rFonts w:ascii="Times New Roman" w:eastAsia="Calibri" w:hAnsi="Times New Roman"/>
                <w:sz w:val="24"/>
                <w:szCs w:val="24"/>
              </w:rPr>
            </w:pPr>
            <w:r w:rsidRPr="00EC79D7">
              <w:rPr>
                <w:rFonts w:ascii="Times New Roman" w:eastAsia="Calibri" w:hAnsi="Times New Roman"/>
                <w:sz w:val="24"/>
                <w:szCs w:val="24"/>
              </w:rPr>
              <w:t>Jei sandorio šalys įžvelgtų atitinkamas rizikas, jos visuomet galėtų pačiame sandoryje įtvirtinti minėtą draudimą mažinti bendrą įkeisto turto vertę.</w:t>
            </w:r>
          </w:p>
          <w:p w14:paraId="080118E1" w14:textId="77777777" w:rsidR="001E32F5" w:rsidRDefault="00EC79D7" w:rsidP="00EC79D7">
            <w:pPr>
              <w:pStyle w:val="Komentarotekstas"/>
              <w:tabs>
                <w:tab w:val="left" w:pos="1276"/>
              </w:tabs>
              <w:ind w:firstLine="317"/>
              <w:jc w:val="both"/>
              <w:rPr>
                <w:rFonts w:ascii="Times New Roman" w:eastAsia="Calibri" w:hAnsi="Times New Roman"/>
                <w:b/>
                <w:sz w:val="24"/>
                <w:szCs w:val="24"/>
              </w:rPr>
            </w:pPr>
            <w:r w:rsidRPr="00EC79D7">
              <w:rPr>
                <w:rFonts w:ascii="Times New Roman" w:eastAsia="Calibri" w:hAnsi="Times New Roman"/>
                <w:sz w:val="24"/>
                <w:szCs w:val="24"/>
              </w:rPr>
              <w:t>Analogiški pakeitimai nėra siūlomi dėl įmonės hipotekos, kadangi, atsižvelgiant į hipotekos specifiką (t. y. tai, kad įkeičiamas (ir) nekilnojamasis turtas), įmonės hipotekos atveju pagal galiojantį reguliavimą yra tiesiogiai taikomas draudimas mažinti įkeistos įmonės vertę, išskyrus atvejus, kai įmonės hipotekos sandoryje nustatyta kitaip (CK 4.177 straipsnio 3 dalis).</w:t>
            </w:r>
          </w:p>
        </w:tc>
      </w:tr>
      <w:tr w:rsidR="001E32F5" w:rsidRPr="000479E4" w14:paraId="299E7754" w14:textId="77777777" w:rsidTr="00ED3083">
        <w:trPr>
          <w:cantSplit/>
          <w:trHeight w:val="1543"/>
        </w:trPr>
        <w:tc>
          <w:tcPr>
            <w:tcW w:w="1586" w:type="dxa"/>
            <w:gridSpan w:val="3"/>
            <w:shd w:val="clear" w:color="auto" w:fill="auto"/>
          </w:tcPr>
          <w:p w14:paraId="5EACC38C" w14:textId="77777777" w:rsidR="001E32F5" w:rsidRDefault="001E32F5" w:rsidP="001E32F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Lietuvos bankų asociacijos 2019-03-26 raštas Nr. 08/01</w:t>
            </w:r>
          </w:p>
        </w:tc>
        <w:tc>
          <w:tcPr>
            <w:tcW w:w="4873" w:type="dxa"/>
            <w:shd w:val="clear" w:color="auto" w:fill="auto"/>
          </w:tcPr>
          <w:p w14:paraId="24D6BB6F" w14:textId="77777777" w:rsidR="004F659E" w:rsidRPr="004F659E" w:rsidRDefault="004F659E" w:rsidP="004F659E">
            <w:pPr>
              <w:pStyle w:val="Pagrindiniotekstotrauka"/>
              <w:ind w:firstLine="176"/>
              <w:rPr>
                <w:szCs w:val="24"/>
              </w:rPr>
            </w:pPr>
            <w:r>
              <w:rPr>
                <w:szCs w:val="24"/>
              </w:rPr>
              <w:t>„</w:t>
            </w:r>
            <w:r w:rsidRPr="004F659E">
              <w:rPr>
                <w:szCs w:val="24"/>
              </w:rPr>
              <w:t xml:space="preserve">LBA kviečia grįžti prie šios reformos pagrindinės idėjos </w:t>
            </w:r>
            <w:r>
              <w:rPr>
                <w:szCs w:val="24"/>
              </w:rPr>
              <w:t>–</w:t>
            </w:r>
            <w:r w:rsidRPr="004F659E">
              <w:rPr>
                <w:szCs w:val="24"/>
              </w:rPr>
              <w:t xml:space="preserve"> galimybės atsisakyti hi</w:t>
            </w:r>
            <w:r>
              <w:rPr>
                <w:szCs w:val="24"/>
              </w:rPr>
              <w:t>p</w:t>
            </w:r>
            <w:r w:rsidRPr="004F659E">
              <w:rPr>
                <w:szCs w:val="24"/>
              </w:rPr>
              <w:t>otekos</w:t>
            </w:r>
            <w:r>
              <w:rPr>
                <w:szCs w:val="24"/>
              </w:rPr>
              <w:t xml:space="preserve"> </w:t>
            </w:r>
            <w:r w:rsidRPr="004F659E">
              <w:rPr>
                <w:szCs w:val="24"/>
              </w:rPr>
              <w:t>sandorių notarinės formos tais atvejais, kai hipotekos sandoris sudaromas informacinių technologijų</w:t>
            </w:r>
            <w:r>
              <w:rPr>
                <w:szCs w:val="24"/>
              </w:rPr>
              <w:t xml:space="preserve"> </w:t>
            </w:r>
            <w:r w:rsidRPr="004F659E">
              <w:rPr>
                <w:szCs w:val="24"/>
              </w:rPr>
              <w:t>priemonėmis, įregistruojant hipoteką viešajame registre.</w:t>
            </w:r>
          </w:p>
          <w:p w14:paraId="5CE1688A" w14:textId="77777777" w:rsidR="004F659E" w:rsidRPr="004F659E" w:rsidRDefault="004F659E" w:rsidP="004F659E">
            <w:pPr>
              <w:pStyle w:val="Pagrindiniotekstotrauka"/>
              <w:ind w:firstLine="176"/>
              <w:rPr>
                <w:szCs w:val="24"/>
              </w:rPr>
            </w:pPr>
            <w:r w:rsidRPr="004F659E">
              <w:rPr>
                <w:szCs w:val="24"/>
              </w:rPr>
              <w:t>Notarinė hipotekos sandorių forma buvo numatyta rengiant Lietuvos Respublikos Civilinį</w:t>
            </w:r>
            <w:r>
              <w:rPr>
                <w:szCs w:val="24"/>
              </w:rPr>
              <w:t xml:space="preserve"> </w:t>
            </w:r>
            <w:r w:rsidRPr="004F659E">
              <w:rPr>
                <w:szCs w:val="24"/>
              </w:rPr>
              <w:t>kodeksą, t.</w:t>
            </w:r>
            <w:r>
              <w:rPr>
                <w:szCs w:val="24"/>
              </w:rPr>
              <w:t xml:space="preserve"> </w:t>
            </w:r>
            <w:r w:rsidRPr="004F659E">
              <w:rPr>
                <w:szCs w:val="24"/>
              </w:rPr>
              <w:t>y. prieš 19 metų. Nuo to laiko skaitmenizacija paveikė visas visuomenės ir verslo sritis,</w:t>
            </w:r>
            <w:r>
              <w:rPr>
                <w:szCs w:val="24"/>
              </w:rPr>
              <w:t xml:space="preserve"> </w:t>
            </w:r>
            <w:r w:rsidRPr="004F659E">
              <w:rPr>
                <w:szCs w:val="24"/>
              </w:rPr>
              <w:t>atsirado ir ištobulėjo tiek techninės galimybės, tiek Lietuvos visuomenės lūkesčiai, tiek ir pasaulinės</w:t>
            </w:r>
            <w:r>
              <w:rPr>
                <w:szCs w:val="24"/>
              </w:rPr>
              <w:t xml:space="preserve"> </w:t>
            </w:r>
            <w:r w:rsidRPr="004F659E">
              <w:rPr>
                <w:szCs w:val="24"/>
              </w:rPr>
              <w:t>tendencijos vienareikšmiai juda duomenų ir procesų skaitmeninimo keliu. Manome, kad į tai būtina</w:t>
            </w:r>
            <w:r>
              <w:rPr>
                <w:szCs w:val="24"/>
              </w:rPr>
              <w:t xml:space="preserve"> </w:t>
            </w:r>
            <w:r w:rsidRPr="004F659E">
              <w:rPr>
                <w:szCs w:val="24"/>
              </w:rPr>
              <w:t>atsižvelgti ir Lietuvos įstatymų leidėjams.</w:t>
            </w:r>
          </w:p>
          <w:p w14:paraId="4E746075" w14:textId="77777777" w:rsidR="004F659E" w:rsidRPr="00CB021A" w:rsidRDefault="004F659E" w:rsidP="004F659E">
            <w:pPr>
              <w:pStyle w:val="Pagrindiniotekstotrauka"/>
              <w:ind w:firstLine="176"/>
              <w:rPr>
                <w:szCs w:val="24"/>
              </w:rPr>
            </w:pPr>
            <w:r w:rsidRPr="004F659E">
              <w:rPr>
                <w:szCs w:val="24"/>
              </w:rPr>
              <w:t>Civiliniame kodekse notarinis hipotekos/įkeitimo sandorio tvirtinimas buvo numatytas</w:t>
            </w:r>
            <w:r>
              <w:rPr>
                <w:szCs w:val="24"/>
              </w:rPr>
              <w:t xml:space="preserve"> </w:t>
            </w:r>
            <w:r w:rsidRPr="004F659E">
              <w:rPr>
                <w:szCs w:val="24"/>
              </w:rPr>
              <w:t>siekiant, kad notaro dalyvavimas užtikrintų:</w:t>
            </w:r>
            <w:r>
              <w:rPr>
                <w:szCs w:val="24"/>
              </w:rPr>
              <w:t xml:space="preserve"> </w:t>
            </w:r>
            <w:r w:rsidRPr="00CB021A">
              <w:rPr>
                <w:szCs w:val="24"/>
              </w:rPr>
              <w:t>(i) tinkamą sandorio šalies identifikavimą; (ii) sandorio objekto/turto identifikavimą; ir (iii) įkaito davėjo teisių gynimą, išaiškinant jam galimas neigiamas tokio sandorio pasekmes.</w:t>
            </w:r>
          </w:p>
          <w:p w14:paraId="61A538AD" w14:textId="77777777" w:rsidR="004F659E" w:rsidRPr="004F659E" w:rsidRDefault="004F659E" w:rsidP="004F659E">
            <w:pPr>
              <w:pStyle w:val="Pagrindiniotekstotrauka"/>
              <w:ind w:firstLine="176"/>
              <w:rPr>
                <w:szCs w:val="24"/>
              </w:rPr>
            </w:pPr>
            <w:r w:rsidRPr="00CB021A">
              <w:rPr>
                <w:szCs w:val="24"/>
              </w:rPr>
              <w:t xml:space="preserve">Šiuo metu visos šios paminėtos problemos gali būti sėkmingai išspręstos pigiau, efektyviau ir be notaro dalyvavimo: </w:t>
            </w:r>
            <w:r w:rsidRPr="004F659E">
              <w:rPr>
                <w:szCs w:val="24"/>
              </w:rPr>
              <w:t xml:space="preserve">(i) asmens identifikavimas </w:t>
            </w:r>
            <w:r>
              <w:rPr>
                <w:szCs w:val="24"/>
              </w:rPr>
              <w:t>–</w:t>
            </w:r>
            <w:r w:rsidRPr="004F659E">
              <w:rPr>
                <w:szCs w:val="24"/>
              </w:rPr>
              <w:t xml:space="preserve"> naudojant kvalifikuotą el</w:t>
            </w:r>
            <w:r>
              <w:rPr>
                <w:szCs w:val="24"/>
              </w:rPr>
              <w:t>.</w:t>
            </w:r>
            <w:r w:rsidRPr="004F659E">
              <w:rPr>
                <w:szCs w:val="24"/>
              </w:rPr>
              <w:t xml:space="preserve"> parašą;</w:t>
            </w:r>
            <w:r>
              <w:rPr>
                <w:szCs w:val="24"/>
              </w:rPr>
              <w:t xml:space="preserve"> </w:t>
            </w:r>
            <w:r w:rsidRPr="004F659E">
              <w:rPr>
                <w:szCs w:val="24"/>
              </w:rPr>
              <w:t xml:space="preserve">(ii) turto (ypač nekilnojamojo turto) identifikavimas </w:t>
            </w:r>
            <w:r>
              <w:rPr>
                <w:szCs w:val="24"/>
              </w:rPr>
              <w:t>–</w:t>
            </w:r>
            <w:r w:rsidRPr="004F659E">
              <w:rPr>
                <w:szCs w:val="24"/>
              </w:rPr>
              <w:t xml:space="preserve"> paimant</w:t>
            </w:r>
            <w:r>
              <w:rPr>
                <w:szCs w:val="24"/>
              </w:rPr>
              <w:t xml:space="preserve"> </w:t>
            </w:r>
            <w:r w:rsidRPr="004F659E">
              <w:rPr>
                <w:szCs w:val="24"/>
              </w:rPr>
              <w:t>naujausius/galiojančius duomenis tiesiogiai iš atitinkamų registrų;</w:t>
            </w:r>
            <w:r>
              <w:rPr>
                <w:szCs w:val="24"/>
              </w:rPr>
              <w:t xml:space="preserve"> </w:t>
            </w:r>
            <w:r w:rsidRPr="004F659E">
              <w:rPr>
                <w:szCs w:val="24"/>
              </w:rPr>
              <w:t>(iii) teisių gynimas iš esmės aktualus tik vartotojų, t.</w:t>
            </w:r>
            <w:r>
              <w:rPr>
                <w:szCs w:val="24"/>
              </w:rPr>
              <w:t xml:space="preserve"> </w:t>
            </w:r>
            <w:r w:rsidRPr="004F659E">
              <w:rPr>
                <w:szCs w:val="24"/>
              </w:rPr>
              <w:t>y. fizinių asmenų atveju, bet net</w:t>
            </w:r>
            <w:r>
              <w:rPr>
                <w:szCs w:val="24"/>
              </w:rPr>
              <w:t xml:space="preserve"> </w:t>
            </w:r>
            <w:r w:rsidRPr="004F659E">
              <w:rPr>
                <w:szCs w:val="24"/>
              </w:rPr>
              <w:t>ir tokiu atveju, paprasto hipotekos sandorio atveju tai galima užtikrinti</w:t>
            </w:r>
            <w:r>
              <w:rPr>
                <w:szCs w:val="24"/>
              </w:rPr>
              <w:t xml:space="preserve"> </w:t>
            </w:r>
            <w:r w:rsidRPr="004F659E">
              <w:rPr>
                <w:szCs w:val="24"/>
              </w:rPr>
              <w:t>parengiant paprastas, aiškias, lengvai suprantamas hipotekos sandorio formas,</w:t>
            </w:r>
            <w:r>
              <w:rPr>
                <w:szCs w:val="24"/>
              </w:rPr>
              <w:t xml:space="preserve"> </w:t>
            </w:r>
            <w:r w:rsidRPr="004F659E">
              <w:rPr>
                <w:szCs w:val="24"/>
              </w:rPr>
              <w:t xml:space="preserve">kuriose į </w:t>
            </w:r>
            <w:r w:rsidRPr="004F659E">
              <w:rPr>
                <w:szCs w:val="24"/>
              </w:rPr>
              <w:lastRenderedPageBreak/>
              <w:t>svarbiausias sąlygas būtų papildomai atkreipiamas vartotojo dėmesys</w:t>
            </w:r>
            <w:r>
              <w:rPr>
                <w:szCs w:val="24"/>
              </w:rPr>
              <w:t xml:space="preserve"> </w:t>
            </w:r>
            <w:r w:rsidRPr="004F659E">
              <w:rPr>
                <w:szCs w:val="24"/>
              </w:rPr>
              <w:t xml:space="preserve">(pvz., reikalaujant patvirtinimų, uždėti </w:t>
            </w:r>
            <w:r>
              <w:rPr>
                <w:szCs w:val="24"/>
              </w:rPr>
              <w:t>„</w:t>
            </w:r>
            <w:r w:rsidRPr="004F659E">
              <w:rPr>
                <w:szCs w:val="24"/>
              </w:rPr>
              <w:t>varneles</w:t>
            </w:r>
            <w:r>
              <w:rPr>
                <w:szCs w:val="24"/>
              </w:rPr>
              <w:t>“</w:t>
            </w:r>
            <w:r w:rsidRPr="004F659E">
              <w:rPr>
                <w:szCs w:val="24"/>
              </w:rPr>
              <w:t xml:space="preserve"> ir pan.)</w:t>
            </w:r>
          </w:p>
          <w:p w14:paraId="1A7C2C54" w14:textId="77777777" w:rsidR="004F659E" w:rsidRPr="004F659E" w:rsidRDefault="004F659E" w:rsidP="004F659E">
            <w:pPr>
              <w:pStyle w:val="Pagrindiniotekstotrauka"/>
              <w:ind w:firstLine="176"/>
              <w:rPr>
                <w:szCs w:val="24"/>
              </w:rPr>
            </w:pPr>
            <w:r w:rsidRPr="004F659E">
              <w:rPr>
                <w:szCs w:val="24"/>
              </w:rPr>
              <w:t>Šiai dienai dažnu atveju notarinis hipotekos/įkeitimo sandorio tvirtinimas, ypač atsižvelgus</w:t>
            </w:r>
            <w:r>
              <w:rPr>
                <w:szCs w:val="24"/>
              </w:rPr>
              <w:t xml:space="preserve"> į </w:t>
            </w:r>
            <w:r w:rsidRPr="004F659E">
              <w:rPr>
                <w:szCs w:val="24"/>
              </w:rPr>
              <w:t>notarų taikomus labai didelius įkainius, tik generuoja papildomas sandorio šalių išlaidas bei verčia gaišti</w:t>
            </w:r>
            <w:r>
              <w:rPr>
                <w:szCs w:val="24"/>
              </w:rPr>
              <w:t xml:space="preserve"> </w:t>
            </w:r>
            <w:r w:rsidRPr="004F659E">
              <w:rPr>
                <w:szCs w:val="24"/>
              </w:rPr>
              <w:t>laiką, tuo neigiamai įtakojant Lietuvos verslo konkurencingumą. Įkeitimo/hipotekos sandorių</w:t>
            </w:r>
            <w:r>
              <w:rPr>
                <w:szCs w:val="24"/>
              </w:rPr>
              <w:t xml:space="preserve"> </w:t>
            </w:r>
            <w:r w:rsidRPr="004F659E">
              <w:rPr>
                <w:szCs w:val="24"/>
              </w:rPr>
              <w:t>sudarymo ir registracijos procesas neturėtų būti verslas, jo kaina turėtų būti lygi tik procese</w:t>
            </w:r>
            <w:r>
              <w:rPr>
                <w:szCs w:val="24"/>
              </w:rPr>
              <w:t xml:space="preserve"> </w:t>
            </w:r>
            <w:r w:rsidRPr="004F659E">
              <w:rPr>
                <w:szCs w:val="24"/>
              </w:rPr>
              <w:t>dalyvaujančių asmenų realiai patiriamiems ir būtiniems kaštams.</w:t>
            </w:r>
          </w:p>
          <w:p w14:paraId="28BD4013" w14:textId="77777777" w:rsidR="004F659E" w:rsidRPr="004F659E" w:rsidRDefault="004F659E" w:rsidP="004F659E">
            <w:pPr>
              <w:pStyle w:val="Pagrindiniotekstotrauka"/>
              <w:ind w:firstLine="176"/>
              <w:rPr>
                <w:szCs w:val="24"/>
              </w:rPr>
            </w:pPr>
            <w:r w:rsidRPr="004F659E">
              <w:rPr>
                <w:szCs w:val="24"/>
              </w:rPr>
              <w:t>Galimybės hipotekos ir įkeitimo sandorius sudaryti informacinių technologijų priemonėmis be</w:t>
            </w:r>
            <w:r>
              <w:rPr>
                <w:szCs w:val="24"/>
              </w:rPr>
              <w:t xml:space="preserve"> </w:t>
            </w:r>
            <w:r w:rsidRPr="004F659E">
              <w:rPr>
                <w:szCs w:val="24"/>
              </w:rPr>
              <w:t>notaro, įkeitimo institutą padarytų patrauklesn</w:t>
            </w:r>
            <w:r>
              <w:rPr>
                <w:szCs w:val="24"/>
              </w:rPr>
              <w:t>į</w:t>
            </w:r>
            <w:r w:rsidRPr="004F659E">
              <w:rPr>
                <w:szCs w:val="24"/>
              </w:rPr>
              <w:t xml:space="preserve"> ir pigesnį tiek vartotojams fiziniams asmenims, tiek ir</w:t>
            </w:r>
            <w:r>
              <w:rPr>
                <w:szCs w:val="24"/>
              </w:rPr>
              <w:t xml:space="preserve"> </w:t>
            </w:r>
            <w:r w:rsidRPr="004F659E">
              <w:rPr>
                <w:szCs w:val="24"/>
              </w:rPr>
              <w:t>verslo įmonėms, kas ypatingai aktualu smulkiajam ir vidutiniam verslui. Šio proceso skaitmenizacija</w:t>
            </w:r>
            <w:r>
              <w:rPr>
                <w:szCs w:val="24"/>
              </w:rPr>
              <w:t xml:space="preserve"> </w:t>
            </w:r>
            <w:r w:rsidRPr="004F659E">
              <w:rPr>
                <w:szCs w:val="24"/>
              </w:rPr>
              <w:t>padėtų Lietuvos pažangai ir tarptautiniuose reitinguose, įskaitant Pasaulio banko tyrimą „Doing</w:t>
            </w:r>
            <w:r>
              <w:rPr>
                <w:szCs w:val="24"/>
              </w:rPr>
              <w:t xml:space="preserve"> </w:t>
            </w:r>
            <w:r w:rsidRPr="004F659E">
              <w:rPr>
                <w:szCs w:val="24"/>
              </w:rPr>
              <w:t>Bussiness</w:t>
            </w:r>
            <w:r>
              <w:rPr>
                <w:szCs w:val="24"/>
              </w:rPr>
              <w:t>“</w:t>
            </w:r>
            <w:r w:rsidRPr="004F659E">
              <w:rPr>
                <w:szCs w:val="24"/>
              </w:rPr>
              <w:t>.</w:t>
            </w:r>
          </w:p>
          <w:p w14:paraId="7F4FDD29" w14:textId="77777777" w:rsidR="004F659E" w:rsidRPr="004F659E" w:rsidRDefault="00226356" w:rsidP="004F659E">
            <w:pPr>
              <w:pStyle w:val="Pagrindiniotekstotrauka"/>
              <w:ind w:firstLine="176"/>
              <w:rPr>
                <w:szCs w:val="24"/>
              </w:rPr>
            </w:pPr>
            <w:r>
              <w:rPr>
                <w:szCs w:val="24"/>
              </w:rPr>
              <w:t>&lt;...&gt;</w:t>
            </w:r>
            <w:r w:rsidR="004F659E" w:rsidRPr="004F659E">
              <w:rPr>
                <w:szCs w:val="24"/>
              </w:rPr>
              <w:t xml:space="preserve"> LBA palaiko pirminę hipotekos/įkeitimo</w:t>
            </w:r>
            <w:r>
              <w:rPr>
                <w:szCs w:val="24"/>
              </w:rPr>
              <w:t xml:space="preserve"> </w:t>
            </w:r>
            <w:r w:rsidR="004F659E" w:rsidRPr="004F659E">
              <w:rPr>
                <w:szCs w:val="24"/>
              </w:rPr>
              <w:t>reformos idėją, bei raginame numatyti galimybę atsisakyti hipotekos sandorių notarinės formos,</w:t>
            </w:r>
            <w:r>
              <w:rPr>
                <w:szCs w:val="24"/>
              </w:rPr>
              <w:t xml:space="preserve"> </w:t>
            </w:r>
            <w:r w:rsidR="004F659E" w:rsidRPr="004F659E">
              <w:rPr>
                <w:szCs w:val="24"/>
              </w:rPr>
              <w:t>sudarant galimybę sandorį dėl kilnojamojo ir, tam tikrais atvejais, nekilnojamojo turto, sudaryti</w:t>
            </w:r>
            <w:r>
              <w:rPr>
                <w:szCs w:val="24"/>
              </w:rPr>
              <w:t xml:space="preserve"> </w:t>
            </w:r>
            <w:r w:rsidR="004F659E" w:rsidRPr="004F659E">
              <w:rPr>
                <w:szCs w:val="24"/>
              </w:rPr>
              <w:t>informacinių technologijų priemonėmis be notaro. Taip būtų modernizuotas įkeitimo institutas, kuris</w:t>
            </w:r>
            <w:r>
              <w:rPr>
                <w:szCs w:val="24"/>
              </w:rPr>
              <w:t xml:space="preserve"> </w:t>
            </w:r>
            <w:r w:rsidR="004F659E" w:rsidRPr="004F659E">
              <w:rPr>
                <w:szCs w:val="24"/>
              </w:rPr>
              <w:t>taptų paprastesnis (patrauklesnis) ir pigesnis vartotojams, būtų sukurtos naujos elektroninės</w:t>
            </w:r>
            <w:r>
              <w:rPr>
                <w:szCs w:val="24"/>
              </w:rPr>
              <w:t xml:space="preserve"> </w:t>
            </w:r>
            <w:r w:rsidR="004F659E" w:rsidRPr="004F659E">
              <w:rPr>
                <w:szCs w:val="24"/>
              </w:rPr>
              <w:t>paslaugos, supaprastintas ir optimizuotas įkeitimo sandorio registravimo procesas. Šiai dienai</w:t>
            </w:r>
            <w:r>
              <w:rPr>
                <w:szCs w:val="24"/>
              </w:rPr>
              <w:t xml:space="preserve"> </w:t>
            </w:r>
            <w:r w:rsidR="004F659E" w:rsidRPr="004F659E">
              <w:rPr>
                <w:szCs w:val="24"/>
              </w:rPr>
              <w:t xml:space="preserve">modernios </w:t>
            </w:r>
            <w:r w:rsidR="004F659E" w:rsidRPr="004F659E">
              <w:rPr>
                <w:szCs w:val="24"/>
              </w:rPr>
              <w:lastRenderedPageBreak/>
              <w:t>technologijos leidžia užtikrinti pakankamą tokio sandorio saugumą (jei bus užtikrintas</w:t>
            </w:r>
            <w:r>
              <w:rPr>
                <w:szCs w:val="24"/>
              </w:rPr>
              <w:t xml:space="preserve"> </w:t>
            </w:r>
            <w:r w:rsidR="004F659E" w:rsidRPr="004F659E">
              <w:rPr>
                <w:szCs w:val="24"/>
              </w:rPr>
              <w:t>kvalifikuoto parašo naudojimas ir apsikeitimas informacija tarp Nekilnojamojo turto ir kitų registrų).</w:t>
            </w:r>
          </w:p>
          <w:p w14:paraId="35E459F1" w14:textId="77777777" w:rsidR="001E32F5" w:rsidRDefault="004F659E" w:rsidP="00226356">
            <w:pPr>
              <w:pStyle w:val="Pagrindiniotekstotrauka"/>
              <w:ind w:firstLine="176"/>
              <w:rPr>
                <w:szCs w:val="24"/>
              </w:rPr>
            </w:pPr>
            <w:r w:rsidRPr="004F659E">
              <w:rPr>
                <w:szCs w:val="24"/>
              </w:rPr>
              <w:t>LBA siūlo leisti hipotekos/įkeitimo sandorius sudaryti informacinių technologijų priemonėmis,</w:t>
            </w:r>
            <w:r w:rsidR="00226356">
              <w:rPr>
                <w:szCs w:val="24"/>
              </w:rPr>
              <w:t xml:space="preserve"> </w:t>
            </w:r>
            <w:r w:rsidRPr="004F659E">
              <w:rPr>
                <w:szCs w:val="24"/>
              </w:rPr>
              <w:t>kai tokie sandoriai sudaromi tarp juridinių asmenų, taip pat ir standartinių/paprastų hipotekos</w:t>
            </w:r>
            <w:r w:rsidR="00226356">
              <w:rPr>
                <w:szCs w:val="24"/>
              </w:rPr>
              <w:t xml:space="preserve"> </w:t>
            </w:r>
            <w:r w:rsidRPr="004F659E">
              <w:rPr>
                <w:szCs w:val="24"/>
              </w:rPr>
              <w:t>sandorių tarp fizinių asmenų atveju. Bet kuriuo atveju, notarinis tvirtinimas galėtų likti kaip alternatyva,</w:t>
            </w:r>
            <w:r w:rsidR="00226356">
              <w:rPr>
                <w:szCs w:val="24"/>
              </w:rPr>
              <w:t xml:space="preserve"> </w:t>
            </w:r>
            <w:r w:rsidRPr="004F659E">
              <w:rPr>
                <w:szCs w:val="24"/>
              </w:rPr>
              <w:t>pasirenkama pačių sandorio šalių valia.</w:t>
            </w:r>
            <w:r w:rsidR="00226356">
              <w:rPr>
                <w:szCs w:val="24"/>
              </w:rPr>
              <w:t>“</w:t>
            </w:r>
          </w:p>
        </w:tc>
        <w:tc>
          <w:tcPr>
            <w:tcW w:w="8593" w:type="dxa"/>
            <w:tcBorders>
              <w:top w:val="single" w:sz="4" w:space="0" w:color="auto"/>
              <w:bottom w:val="single" w:sz="4" w:space="0" w:color="auto"/>
            </w:tcBorders>
            <w:shd w:val="clear" w:color="auto" w:fill="auto"/>
          </w:tcPr>
          <w:p w14:paraId="145B49B2" w14:textId="77777777" w:rsidR="002902A0" w:rsidRDefault="002902A0" w:rsidP="002902A0">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lastRenderedPageBreak/>
              <w:t>Neatsižvelgta.</w:t>
            </w:r>
          </w:p>
          <w:p w14:paraId="0D26EEA9" w14:textId="77777777" w:rsidR="001E32F5" w:rsidRPr="00226356" w:rsidRDefault="00226356" w:rsidP="00F218C9">
            <w:pPr>
              <w:pStyle w:val="Komentarotekstas"/>
              <w:tabs>
                <w:tab w:val="left" w:pos="1276"/>
              </w:tabs>
              <w:ind w:firstLine="317"/>
              <w:jc w:val="both"/>
              <w:rPr>
                <w:rFonts w:ascii="Times New Roman" w:eastAsia="Calibri" w:hAnsi="Times New Roman"/>
                <w:sz w:val="24"/>
                <w:szCs w:val="24"/>
                <w:highlight w:val="yellow"/>
              </w:rPr>
            </w:pPr>
            <w:r>
              <w:rPr>
                <w:rFonts w:ascii="Times New Roman" w:eastAsia="Calibri" w:hAnsi="Times New Roman"/>
                <w:sz w:val="24"/>
                <w:szCs w:val="24"/>
              </w:rPr>
              <w:t xml:space="preserve">Ankstesnis projektas buvo pateiktas derinti suinteresuotoms institucijoms ir visuomenei </w:t>
            </w:r>
            <w:r w:rsidRPr="00226356">
              <w:rPr>
                <w:rFonts w:ascii="Times New Roman" w:eastAsia="Calibri" w:hAnsi="Times New Roman"/>
                <w:sz w:val="24"/>
                <w:szCs w:val="24"/>
              </w:rPr>
              <w:t>2018</w:t>
            </w:r>
            <w:r>
              <w:rPr>
                <w:rFonts w:ascii="Times New Roman" w:eastAsia="Calibri" w:hAnsi="Times New Roman"/>
                <w:sz w:val="24"/>
                <w:szCs w:val="24"/>
              </w:rPr>
              <w:t xml:space="preserve"> m.  lapkričio </w:t>
            </w:r>
            <w:r w:rsidRPr="00226356">
              <w:rPr>
                <w:rFonts w:ascii="Times New Roman" w:eastAsia="Calibri" w:hAnsi="Times New Roman"/>
                <w:sz w:val="24"/>
                <w:szCs w:val="24"/>
              </w:rPr>
              <w:t>12</w:t>
            </w:r>
            <w:r>
              <w:rPr>
                <w:rFonts w:ascii="Times New Roman" w:eastAsia="Calibri" w:hAnsi="Times New Roman"/>
                <w:sz w:val="24"/>
                <w:szCs w:val="24"/>
              </w:rPr>
              <w:t xml:space="preserve"> d.. </w:t>
            </w:r>
            <w:r w:rsidRPr="00226356">
              <w:rPr>
                <w:rFonts w:ascii="Times New Roman" w:eastAsia="Calibri" w:hAnsi="Times New Roman"/>
                <w:sz w:val="24"/>
                <w:szCs w:val="24"/>
              </w:rPr>
              <w:t xml:space="preserve">Įvertinus </w:t>
            </w:r>
            <w:r>
              <w:rPr>
                <w:rFonts w:ascii="Times New Roman" w:eastAsia="Calibri" w:hAnsi="Times New Roman"/>
                <w:sz w:val="24"/>
                <w:szCs w:val="24"/>
              </w:rPr>
              <w:t>visas gautas pastabas</w:t>
            </w:r>
            <w:r w:rsidR="00F218C9">
              <w:rPr>
                <w:rFonts w:ascii="Times New Roman" w:eastAsia="Calibri" w:hAnsi="Times New Roman"/>
                <w:sz w:val="24"/>
                <w:szCs w:val="24"/>
              </w:rPr>
              <w:t xml:space="preserve"> (žr. TAIS Nr. </w:t>
            </w:r>
            <w:r w:rsidR="00F218C9" w:rsidRPr="00A37FAB">
              <w:rPr>
                <w:rFonts w:ascii="Times New Roman" w:eastAsia="Calibri" w:hAnsi="Times New Roman"/>
                <w:sz w:val="24"/>
                <w:szCs w:val="24"/>
              </w:rPr>
              <w:t>18-12967</w:t>
            </w:r>
            <w:r w:rsidR="00F218C9">
              <w:rPr>
                <w:rFonts w:ascii="Times New Roman" w:eastAsia="Calibri" w:hAnsi="Times New Roman"/>
                <w:sz w:val="24"/>
                <w:szCs w:val="24"/>
              </w:rPr>
              <w:t>)</w:t>
            </w:r>
            <w:r>
              <w:rPr>
                <w:rFonts w:ascii="Times New Roman" w:eastAsia="Calibri" w:hAnsi="Times New Roman"/>
                <w:sz w:val="24"/>
                <w:szCs w:val="24"/>
              </w:rPr>
              <w:t xml:space="preserve">, buvo pasirinktas tarpinis, šiuo metu teikiamas variantas, kuriuo skaitmenizuojamas įkeitimo sandorių </w:t>
            </w:r>
            <w:r w:rsidR="00F218C9">
              <w:rPr>
                <w:rFonts w:ascii="Times New Roman" w:eastAsia="Calibri" w:hAnsi="Times New Roman"/>
                <w:sz w:val="24"/>
                <w:szCs w:val="24"/>
              </w:rPr>
              <w:t xml:space="preserve">sudarymo (keitimo) procesas, ir įkeitimo bei hipotekos išregistravimas, atsisakant privalomo </w:t>
            </w:r>
            <w:r w:rsidR="00F218C9" w:rsidRPr="00F218C9">
              <w:rPr>
                <w:rFonts w:ascii="Times New Roman" w:eastAsia="Calibri" w:hAnsi="Times New Roman"/>
                <w:sz w:val="24"/>
                <w:szCs w:val="24"/>
              </w:rPr>
              <w:t>notarini</w:t>
            </w:r>
            <w:r w:rsidR="00F218C9">
              <w:rPr>
                <w:rFonts w:ascii="Times New Roman" w:eastAsia="Calibri" w:hAnsi="Times New Roman"/>
                <w:sz w:val="24"/>
                <w:szCs w:val="24"/>
              </w:rPr>
              <w:t>o</w:t>
            </w:r>
            <w:r w:rsidR="00F218C9" w:rsidRPr="00F218C9">
              <w:rPr>
                <w:rFonts w:ascii="Times New Roman" w:eastAsia="Calibri" w:hAnsi="Times New Roman"/>
                <w:sz w:val="24"/>
                <w:szCs w:val="24"/>
              </w:rPr>
              <w:t xml:space="preserve"> tvirtinim</w:t>
            </w:r>
            <w:r w:rsidR="00F218C9">
              <w:rPr>
                <w:rFonts w:ascii="Times New Roman" w:eastAsia="Calibri" w:hAnsi="Times New Roman"/>
                <w:sz w:val="24"/>
                <w:szCs w:val="24"/>
              </w:rPr>
              <w:t>o.</w:t>
            </w:r>
          </w:p>
        </w:tc>
      </w:tr>
      <w:tr w:rsidR="00F466EA" w:rsidRPr="000479E4" w14:paraId="019DDE99" w14:textId="77777777" w:rsidTr="00ED3083">
        <w:trPr>
          <w:cantSplit/>
          <w:trHeight w:val="1543"/>
        </w:trPr>
        <w:tc>
          <w:tcPr>
            <w:tcW w:w="1586" w:type="dxa"/>
            <w:gridSpan w:val="3"/>
            <w:shd w:val="clear" w:color="auto" w:fill="auto"/>
          </w:tcPr>
          <w:p w14:paraId="3F549241" w14:textId="77777777" w:rsidR="00F466EA" w:rsidRDefault="00F466EA" w:rsidP="001E32F5">
            <w:pPr>
              <w:spacing w:after="0" w:line="240" w:lineRule="auto"/>
              <w:rPr>
                <w:rFonts w:ascii="Times New Roman" w:eastAsia="Times New Roman" w:hAnsi="Times New Roman" w:cs="Times New Roman"/>
                <w:sz w:val="24"/>
                <w:szCs w:val="24"/>
                <w:lang w:eastAsia="lt-LT"/>
              </w:rPr>
            </w:pPr>
            <w:r w:rsidRPr="00F466EA">
              <w:rPr>
                <w:rFonts w:ascii="Times New Roman" w:eastAsia="Times New Roman" w:hAnsi="Times New Roman" w:cs="Times New Roman"/>
                <w:sz w:val="24"/>
                <w:szCs w:val="24"/>
                <w:lang w:eastAsia="lt-LT"/>
              </w:rPr>
              <w:lastRenderedPageBreak/>
              <w:t>Lietuvos Respubliko</w:t>
            </w:r>
            <w:r>
              <w:rPr>
                <w:rFonts w:ascii="Times New Roman" w:eastAsia="Times New Roman" w:hAnsi="Times New Roman" w:cs="Times New Roman"/>
                <w:sz w:val="24"/>
                <w:szCs w:val="24"/>
                <w:lang w:eastAsia="lt-LT"/>
              </w:rPr>
              <w:t xml:space="preserve">s finansų ministerijos 2019-04-15 raštas Nr. </w:t>
            </w:r>
            <w:r w:rsidRPr="00F466EA">
              <w:rPr>
                <w:rFonts w:ascii="Times New Roman" w:eastAsia="Times New Roman" w:hAnsi="Times New Roman" w:cs="Times New Roman"/>
                <w:sz w:val="24"/>
                <w:szCs w:val="24"/>
                <w:lang w:eastAsia="lt-LT"/>
              </w:rPr>
              <w:t>((1.19 E-0206)-5K-1904841)-6K-1902178</w:t>
            </w:r>
          </w:p>
        </w:tc>
        <w:tc>
          <w:tcPr>
            <w:tcW w:w="4873" w:type="dxa"/>
            <w:shd w:val="clear" w:color="auto" w:fill="auto"/>
          </w:tcPr>
          <w:p w14:paraId="2A7B9F0E" w14:textId="77777777" w:rsidR="00F466EA" w:rsidRDefault="00F466EA" w:rsidP="004F659E">
            <w:pPr>
              <w:pStyle w:val="Pagrindiniotekstotrauka"/>
              <w:ind w:firstLine="176"/>
              <w:rPr>
                <w:szCs w:val="24"/>
              </w:rPr>
            </w:pPr>
            <w:r>
              <w:rPr>
                <w:color w:val="000000"/>
                <w:szCs w:val="24"/>
              </w:rPr>
              <w:t xml:space="preserve">„&lt;...&gt; </w:t>
            </w:r>
            <w:r w:rsidRPr="009C3058">
              <w:rPr>
                <w:color w:val="000000"/>
                <w:szCs w:val="24"/>
              </w:rPr>
              <w:t xml:space="preserve">atkreipiame dėmesį į tai, kad atitinkami hipotekos (įkeitimo) klausimai yra reglamentuojami ir Mokesčių administravimo įstatyme, todėl </w:t>
            </w:r>
            <w:r w:rsidRPr="009C3058">
              <w:rPr>
                <w:i/>
                <w:iCs/>
                <w:color w:val="000000"/>
                <w:szCs w:val="24"/>
              </w:rPr>
              <w:t>siūlome Teisingumo ministerijai papildomai parengti ir atitinkamą Mokesčių administravimo įstatymo pakeitimo projektą</w:t>
            </w:r>
            <w:r w:rsidRPr="009C3058">
              <w:rPr>
                <w:color w:val="000000"/>
                <w:szCs w:val="24"/>
              </w:rPr>
              <w:t>.</w:t>
            </w:r>
            <w:r>
              <w:rPr>
                <w:color w:val="000000"/>
                <w:szCs w:val="24"/>
              </w:rPr>
              <w:t>“</w:t>
            </w:r>
          </w:p>
        </w:tc>
        <w:tc>
          <w:tcPr>
            <w:tcW w:w="8593" w:type="dxa"/>
            <w:tcBorders>
              <w:top w:val="single" w:sz="4" w:space="0" w:color="auto"/>
              <w:bottom w:val="single" w:sz="4" w:space="0" w:color="auto"/>
            </w:tcBorders>
            <w:shd w:val="clear" w:color="auto" w:fill="auto"/>
          </w:tcPr>
          <w:p w14:paraId="6391B4F3" w14:textId="77777777" w:rsidR="00F466EA" w:rsidRDefault="00F466EA" w:rsidP="002902A0">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Atsižvelgta iš dalies.</w:t>
            </w:r>
          </w:p>
          <w:p w14:paraId="67D7B873" w14:textId="789DF7E6" w:rsidR="00F024EC" w:rsidRDefault="00F466EA" w:rsidP="00F024EC">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 xml:space="preserve">Teisingumo ministerija, įvertinusi Lietuvos Respublikos mokesčių administravimo įstatymo nuostatas, </w:t>
            </w:r>
            <w:r w:rsidR="00785E14">
              <w:rPr>
                <w:rFonts w:ascii="Times New Roman" w:eastAsia="Calibri" w:hAnsi="Times New Roman"/>
                <w:sz w:val="24"/>
                <w:szCs w:val="24"/>
              </w:rPr>
              <w:t xml:space="preserve">pažymi, kad projektu siūlomas reguliavimas arba neliečia Mokesčių administravimo įstatymo nuostatų </w:t>
            </w:r>
            <w:r w:rsidR="00190D05">
              <w:rPr>
                <w:rFonts w:ascii="Times New Roman" w:eastAsia="Calibri" w:hAnsi="Times New Roman"/>
                <w:sz w:val="24"/>
                <w:szCs w:val="24"/>
              </w:rPr>
              <w:t>(</w:t>
            </w:r>
            <w:r w:rsidR="00785E14">
              <w:rPr>
                <w:rFonts w:ascii="Times New Roman" w:eastAsia="Calibri" w:hAnsi="Times New Roman"/>
                <w:sz w:val="24"/>
                <w:szCs w:val="24"/>
              </w:rPr>
              <w:t xml:space="preserve">kiek jos susijusios su </w:t>
            </w:r>
            <w:r w:rsidR="00190D05">
              <w:rPr>
                <w:rFonts w:ascii="Times New Roman" w:eastAsia="Calibri" w:hAnsi="Times New Roman"/>
                <w:sz w:val="24"/>
                <w:szCs w:val="24"/>
              </w:rPr>
              <w:t xml:space="preserve">Mokesčių administratoriaus teise priimti sprendimą dėl </w:t>
            </w:r>
            <w:r w:rsidR="00785E14">
              <w:rPr>
                <w:rFonts w:ascii="Times New Roman" w:eastAsia="Calibri" w:hAnsi="Times New Roman"/>
                <w:sz w:val="24"/>
                <w:szCs w:val="24"/>
              </w:rPr>
              <w:t>priverstinės hipotekos (įkeitimo) nustatym</w:t>
            </w:r>
            <w:r w:rsidR="00190D05">
              <w:rPr>
                <w:rFonts w:ascii="Times New Roman" w:eastAsia="Calibri" w:hAnsi="Times New Roman"/>
                <w:sz w:val="24"/>
                <w:szCs w:val="24"/>
              </w:rPr>
              <w:t>o</w:t>
            </w:r>
            <w:bookmarkStart w:id="1" w:name="_GoBack"/>
            <w:bookmarkEnd w:id="1"/>
            <w:r w:rsidR="00190D05">
              <w:rPr>
                <w:rFonts w:ascii="Times New Roman" w:eastAsia="Calibri" w:hAnsi="Times New Roman"/>
                <w:sz w:val="24"/>
                <w:szCs w:val="24"/>
              </w:rPr>
              <w:t>)</w:t>
            </w:r>
            <w:r w:rsidR="00785E14">
              <w:rPr>
                <w:rFonts w:ascii="Times New Roman" w:eastAsia="Calibri" w:hAnsi="Times New Roman"/>
                <w:sz w:val="24"/>
                <w:szCs w:val="24"/>
              </w:rPr>
              <w:t xml:space="preserve">, arba galės būti taikomas </w:t>
            </w:r>
            <w:r w:rsidR="00F024EC">
              <w:rPr>
                <w:rFonts w:ascii="Times New Roman" w:eastAsia="Calibri" w:hAnsi="Times New Roman"/>
                <w:sz w:val="24"/>
                <w:szCs w:val="24"/>
              </w:rPr>
              <w:t xml:space="preserve">be papildomų keitimų (pvz. Mokesčių administravimo įstatymo 103 str. 1 d. 2 p.). </w:t>
            </w:r>
          </w:p>
          <w:p w14:paraId="59CBFC60" w14:textId="77777777" w:rsidR="00F466EA" w:rsidRPr="00F466EA" w:rsidRDefault="00F024EC" w:rsidP="00864794">
            <w:pPr>
              <w:pStyle w:val="Komentarotekstas"/>
              <w:tabs>
                <w:tab w:val="left" w:pos="1276"/>
              </w:tabs>
              <w:ind w:firstLine="317"/>
              <w:jc w:val="both"/>
              <w:rPr>
                <w:rFonts w:ascii="Times New Roman" w:eastAsia="Calibri" w:hAnsi="Times New Roman"/>
                <w:sz w:val="24"/>
                <w:szCs w:val="24"/>
              </w:rPr>
            </w:pPr>
            <w:r>
              <w:rPr>
                <w:rFonts w:ascii="Times New Roman" w:eastAsia="Calibri" w:hAnsi="Times New Roman"/>
                <w:sz w:val="24"/>
                <w:szCs w:val="24"/>
              </w:rPr>
              <w:t>Projektu taip pat numatoma reorganizuoti Hipotekos registrą, todėl reikės keisti šio registro pavadinimą</w:t>
            </w:r>
            <w:r w:rsidR="00864794">
              <w:rPr>
                <w:rFonts w:ascii="Times New Roman" w:eastAsia="Calibri" w:hAnsi="Times New Roman"/>
                <w:sz w:val="24"/>
                <w:szCs w:val="24"/>
              </w:rPr>
              <w:t xml:space="preserve"> tikslinant teisės aktuose vartojamas nuorodas</w:t>
            </w:r>
            <w:r>
              <w:rPr>
                <w:rFonts w:ascii="Times New Roman" w:eastAsia="Calibri" w:hAnsi="Times New Roman"/>
                <w:sz w:val="24"/>
                <w:szCs w:val="24"/>
              </w:rPr>
              <w:t xml:space="preserve">. Tokio pobūdžio pakeitimai turės būti atlikti </w:t>
            </w:r>
            <w:r w:rsidR="00864794">
              <w:rPr>
                <w:rFonts w:ascii="Times New Roman" w:eastAsia="Calibri" w:hAnsi="Times New Roman"/>
                <w:sz w:val="24"/>
                <w:szCs w:val="24"/>
              </w:rPr>
              <w:t xml:space="preserve">ne tik Mokesčių administravimo, bet </w:t>
            </w:r>
            <w:r>
              <w:rPr>
                <w:rFonts w:ascii="Times New Roman" w:eastAsia="Calibri" w:hAnsi="Times New Roman"/>
                <w:sz w:val="24"/>
                <w:szCs w:val="24"/>
              </w:rPr>
              <w:t xml:space="preserve">ir kituose įstatymuose (pvz., </w:t>
            </w:r>
            <w:r w:rsidRPr="00864794">
              <w:rPr>
                <w:rFonts w:ascii="Times New Roman" w:eastAsia="Calibri" w:hAnsi="Times New Roman"/>
                <w:sz w:val="24"/>
                <w:szCs w:val="24"/>
              </w:rPr>
              <w:t>Lietuvos Respublikos finansų įstaigų įstatym</w:t>
            </w:r>
            <w:r w:rsidR="00864794">
              <w:rPr>
                <w:rFonts w:ascii="Times New Roman" w:eastAsia="Calibri" w:hAnsi="Times New Roman"/>
                <w:sz w:val="24"/>
                <w:szCs w:val="24"/>
              </w:rPr>
              <w:t>e</w:t>
            </w:r>
            <w:r>
              <w:rPr>
                <w:rFonts w:ascii="Times New Roman" w:eastAsia="Calibri" w:hAnsi="Times New Roman"/>
                <w:sz w:val="24"/>
                <w:szCs w:val="24"/>
              </w:rPr>
              <w:t xml:space="preserve">, </w:t>
            </w:r>
            <w:r w:rsidRPr="00864794">
              <w:rPr>
                <w:rFonts w:ascii="Times New Roman" w:eastAsia="Calibri" w:hAnsi="Times New Roman"/>
                <w:sz w:val="24"/>
                <w:szCs w:val="24"/>
              </w:rPr>
              <w:t>Lietuvos Respublikos prekių ženklų įstatym</w:t>
            </w:r>
            <w:r w:rsidR="00864794">
              <w:rPr>
                <w:rFonts w:ascii="Times New Roman" w:eastAsia="Calibri" w:hAnsi="Times New Roman"/>
                <w:sz w:val="24"/>
                <w:szCs w:val="24"/>
              </w:rPr>
              <w:t>e</w:t>
            </w:r>
            <w:r>
              <w:rPr>
                <w:rFonts w:ascii="Times New Roman" w:eastAsia="Calibri" w:hAnsi="Times New Roman"/>
                <w:sz w:val="24"/>
                <w:szCs w:val="24"/>
              </w:rPr>
              <w:t xml:space="preserve">, </w:t>
            </w:r>
            <w:r w:rsidRPr="00864794">
              <w:rPr>
                <w:rFonts w:ascii="Times New Roman" w:eastAsia="Calibri" w:hAnsi="Times New Roman"/>
                <w:sz w:val="24"/>
                <w:szCs w:val="24"/>
              </w:rPr>
              <w:t>Lietuvos Respublikos prekybinės laivybos įstatym</w:t>
            </w:r>
            <w:r w:rsidR="00864794">
              <w:rPr>
                <w:rFonts w:ascii="Times New Roman" w:eastAsia="Calibri" w:hAnsi="Times New Roman"/>
                <w:sz w:val="24"/>
                <w:szCs w:val="24"/>
              </w:rPr>
              <w:t>e</w:t>
            </w:r>
            <w:r>
              <w:rPr>
                <w:rFonts w:ascii="Times New Roman" w:eastAsia="Calibri" w:hAnsi="Times New Roman"/>
                <w:sz w:val="24"/>
                <w:szCs w:val="24"/>
              </w:rPr>
              <w:t xml:space="preserve">, </w:t>
            </w:r>
            <w:r w:rsidRPr="00864794">
              <w:rPr>
                <w:rFonts w:ascii="Times New Roman" w:eastAsia="Calibri" w:hAnsi="Times New Roman"/>
                <w:sz w:val="24"/>
                <w:szCs w:val="24"/>
              </w:rPr>
              <w:t>Lietuvos Respublikos žemės įstatym</w:t>
            </w:r>
            <w:r w:rsidR="00864794">
              <w:rPr>
                <w:rFonts w:ascii="Times New Roman" w:eastAsia="Calibri" w:hAnsi="Times New Roman"/>
                <w:sz w:val="24"/>
                <w:szCs w:val="24"/>
              </w:rPr>
              <w:t>e</w:t>
            </w:r>
            <w:r>
              <w:rPr>
                <w:rFonts w:ascii="Times New Roman" w:eastAsia="Calibri" w:hAnsi="Times New Roman"/>
                <w:sz w:val="24"/>
                <w:szCs w:val="24"/>
              </w:rPr>
              <w:t>). Tuo tikslu, kad visos institucijos pagal kompetenciją įvertintų savo reguliavimo srities įstatymus ir prireikus parengtų jų pakeitimų projektus, teikiamame Projekte yra numatyta, kad „</w:t>
            </w:r>
            <w:r w:rsidRPr="00F024EC">
              <w:rPr>
                <w:rFonts w:ascii="Times New Roman" w:eastAsia="Calibri" w:hAnsi="Times New Roman"/>
                <w:sz w:val="24"/>
                <w:szCs w:val="24"/>
              </w:rPr>
              <w:t>Lietuvos Respublikos Vyriausybė iki 2021 m. sausio 1 d. parengia ir pateikia Lietuvos Respublikos Seimui su šio įstatymo įgyvendinimu susijusių įstatymų pakeitimų projektus.</w:t>
            </w:r>
            <w:r>
              <w:rPr>
                <w:rFonts w:ascii="Times New Roman" w:eastAsia="Calibri" w:hAnsi="Times New Roman"/>
                <w:sz w:val="24"/>
                <w:szCs w:val="24"/>
              </w:rPr>
              <w:t xml:space="preserve">“ </w:t>
            </w:r>
          </w:p>
        </w:tc>
      </w:tr>
      <w:tr w:rsidR="00F466EA" w:rsidRPr="00F466EA" w14:paraId="68F1A5E2" w14:textId="77777777" w:rsidTr="00F466EA">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2"/>
          <w:wBefore w:w="1402" w:type="dxa"/>
          <w:wAfter w:w="13466" w:type="dxa"/>
          <w:tblCellSpacing w:w="15" w:type="dxa"/>
        </w:trPr>
        <w:tc>
          <w:tcPr>
            <w:tcW w:w="0" w:type="auto"/>
            <w:vAlign w:val="center"/>
            <w:hideMark/>
          </w:tcPr>
          <w:p w14:paraId="20714064" w14:textId="77777777" w:rsidR="00F466EA" w:rsidRPr="00F466EA" w:rsidRDefault="00F466EA" w:rsidP="00F466EA">
            <w:pPr>
              <w:spacing w:after="0" w:line="240" w:lineRule="auto"/>
              <w:rPr>
                <w:rFonts w:ascii="Times New Roman" w:eastAsia="Times New Roman" w:hAnsi="Times New Roman" w:cs="Times New Roman"/>
                <w:sz w:val="24"/>
                <w:szCs w:val="24"/>
                <w:lang w:eastAsia="lt-LT"/>
              </w:rPr>
            </w:pPr>
          </w:p>
        </w:tc>
        <w:tc>
          <w:tcPr>
            <w:tcW w:w="0" w:type="auto"/>
            <w:vAlign w:val="center"/>
            <w:hideMark/>
          </w:tcPr>
          <w:p w14:paraId="33C007A2" w14:textId="77777777" w:rsidR="00F466EA" w:rsidRPr="00F466EA" w:rsidRDefault="00F466EA" w:rsidP="00F466EA">
            <w:pPr>
              <w:spacing w:after="0" w:line="240" w:lineRule="auto"/>
              <w:rPr>
                <w:rFonts w:ascii="Times New Roman" w:eastAsia="Times New Roman" w:hAnsi="Times New Roman" w:cs="Times New Roman"/>
                <w:sz w:val="24"/>
                <w:szCs w:val="24"/>
                <w:lang w:eastAsia="lt-LT"/>
              </w:rPr>
            </w:pPr>
          </w:p>
        </w:tc>
      </w:tr>
    </w:tbl>
    <w:p w14:paraId="1975B100" w14:textId="77777777" w:rsidR="00FD72C2" w:rsidRDefault="00F74974" w:rsidP="008F0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p w14:paraId="5313F95B" w14:textId="77777777" w:rsidR="00520975" w:rsidRPr="00EA593B" w:rsidRDefault="00520975" w:rsidP="008F0EFF">
      <w:pPr>
        <w:spacing w:after="0" w:line="240" w:lineRule="auto"/>
        <w:jc w:val="center"/>
        <w:rPr>
          <w:rFonts w:ascii="Times New Roman" w:hAnsi="Times New Roman" w:cs="Times New Roman"/>
          <w:sz w:val="24"/>
          <w:szCs w:val="24"/>
        </w:rPr>
      </w:pPr>
    </w:p>
    <w:sectPr w:rsidR="00520975" w:rsidRPr="00EA593B"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ECEA" w14:textId="77777777" w:rsidR="00AF6D79" w:rsidRDefault="00AF6D79" w:rsidP="00E3205C">
      <w:pPr>
        <w:spacing w:after="0" w:line="240" w:lineRule="auto"/>
      </w:pPr>
      <w:r>
        <w:separator/>
      </w:r>
    </w:p>
  </w:endnote>
  <w:endnote w:type="continuationSeparator" w:id="0">
    <w:p w14:paraId="6E09A9AD" w14:textId="77777777" w:rsidR="00AF6D79" w:rsidRDefault="00AF6D79"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E2006" w14:textId="77777777" w:rsidR="00AF6D79" w:rsidRDefault="00AF6D79" w:rsidP="00E3205C">
      <w:pPr>
        <w:spacing w:after="0" w:line="240" w:lineRule="auto"/>
      </w:pPr>
      <w:r>
        <w:separator/>
      </w:r>
    </w:p>
  </w:footnote>
  <w:footnote w:type="continuationSeparator" w:id="0">
    <w:p w14:paraId="169528D8" w14:textId="77777777" w:rsidR="00AF6D79" w:rsidRDefault="00AF6D79"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sdtContent>
      <w:p w14:paraId="28F3E661" w14:textId="77777777" w:rsidR="00344C13" w:rsidRDefault="00344C13">
        <w:pPr>
          <w:pStyle w:val="Antrats"/>
          <w:jc w:val="center"/>
        </w:pPr>
        <w:r>
          <w:fldChar w:fldCharType="begin"/>
        </w:r>
        <w:r>
          <w:instrText>PAGE   \* MERGEFORMAT</w:instrText>
        </w:r>
        <w:r>
          <w:fldChar w:fldCharType="separate"/>
        </w:r>
        <w:r w:rsidR="00ED3083">
          <w:rPr>
            <w:noProof/>
          </w:rPr>
          <w:t>18</w:t>
        </w:r>
        <w:r>
          <w:fldChar w:fldCharType="end"/>
        </w:r>
      </w:p>
    </w:sdtContent>
  </w:sdt>
  <w:p w14:paraId="2FD9D7D4"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11AB"/>
    <w:rsid w:val="00005AD9"/>
    <w:rsid w:val="00006ADC"/>
    <w:rsid w:val="000071CD"/>
    <w:rsid w:val="00010150"/>
    <w:rsid w:val="00013A5D"/>
    <w:rsid w:val="000149FD"/>
    <w:rsid w:val="000201D4"/>
    <w:rsid w:val="0002259F"/>
    <w:rsid w:val="00024E90"/>
    <w:rsid w:val="000253A5"/>
    <w:rsid w:val="00025AE8"/>
    <w:rsid w:val="000328B6"/>
    <w:rsid w:val="00036F8A"/>
    <w:rsid w:val="0003766E"/>
    <w:rsid w:val="000415DE"/>
    <w:rsid w:val="0004301D"/>
    <w:rsid w:val="000479E4"/>
    <w:rsid w:val="000534C5"/>
    <w:rsid w:val="000554D7"/>
    <w:rsid w:val="00055D5B"/>
    <w:rsid w:val="00055E6C"/>
    <w:rsid w:val="000566F1"/>
    <w:rsid w:val="00057906"/>
    <w:rsid w:val="00057DE9"/>
    <w:rsid w:val="00062A92"/>
    <w:rsid w:val="00064421"/>
    <w:rsid w:val="000804E4"/>
    <w:rsid w:val="00082B2E"/>
    <w:rsid w:val="00092C9D"/>
    <w:rsid w:val="0009610F"/>
    <w:rsid w:val="0009750A"/>
    <w:rsid w:val="00097AA3"/>
    <w:rsid w:val="000A401D"/>
    <w:rsid w:val="000A66F0"/>
    <w:rsid w:val="000B190B"/>
    <w:rsid w:val="000B3611"/>
    <w:rsid w:val="000B42DD"/>
    <w:rsid w:val="000B6EAB"/>
    <w:rsid w:val="000C2E7A"/>
    <w:rsid w:val="000D16FD"/>
    <w:rsid w:val="000D34EF"/>
    <w:rsid w:val="000D4560"/>
    <w:rsid w:val="000E0063"/>
    <w:rsid w:val="000E2E15"/>
    <w:rsid w:val="000E329D"/>
    <w:rsid w:val="000F205D"/>
    <w:rsid w:val="00101458"/>
    <w:rsid w:val="00102B9D"/>
    <w:rsid w:val="00105269"/>
    <w:rsid w:val="0011169B"/>
    <w:rsid w:val="0012055D"/>
    <w:rsid w:val="00122BAC"/>
    <w:rsid w:val="0013049C"/>
    <w:rsid w:val="00136AF4"/>
    <w:rsid w:val="0013792B"/>
    <w:rsid w:val="00146A7B"/>
    <w:rsid w:val="0014781F"/>
    <w:rsid w:val="00156FBC"/>
    <w:rsid w:val="00165506"/>
    <w:rsid w:val="00175215"/>
    <w:rsid w:val="00177F92"/>
    <w:rsid w:val="0018176E"/>
    <w:rsid w:val="00182443"/>
    <w:rsid w:val="00187E57"/>
    <w:rsid w:val="00190D05"/>
    <w:rsid w:val="0019624A"/>
    <w:rsid w:val="001974EE"/>
    <w:rsid w:val="001A2361"/>
    <w:rsid w:val="001A387C"/>
    <w:rsid w:val="001A7537"/>
    <w:rsid w:val="001B0421"/>
    <w:rsid w:val="001C181C"/>
    <w:rsid w:val="001C3F37"/>
    <w:rsid w:val="001C623F"/>
    <w:rsid w:val="001D197D"/>
    <w:rsid w:val="001D2505"/>
    <w:rsid w:val="001D7CCE"/>
    <w:rsid w:val="001E32F5"/>
    <w:rsid w:val="001E38A0"/>
    <w:rsid w:val="001F1C77"/>
    <w:rsid w:val="001F36A0"/>
    <w:rsid w:val="001F5358"/>
    <w:rsid w:val="001F5CCD"/>
    <w:rsid w:val="00201695"/>
    <w:rsid w:val="00207106"/>
    <w:rsid w:val="00207578"/>
    <w:rsid w:val="0021074F"/>
    <w:rsid w:val="002117C6"/>
    <w:rsid w:val="002206B6"/>
    <w:rsid w:val="002222F4"/>
    <w:rsid w:val="0022271A"/>
    <w:rsid w:val="00222C63"/>
    <w:rsid w:val="00224978"/>
    <w:rsid w:val="00226356"/>
    <w:rsid w:val="0023250E"/>
    <w:rsid w:val="0023596F"/>
    <w:rsid w:val="0023660B"/>
    <w:rsid w:val="002372FF"/>
    <w:rsid w:val="00242EC1"/>
    <w:rsid w:val="00245EF4"/>
    <w:rsid w:val="00247785"/>
    <w:rsid w:val="00247F6A"/>
    <w:rsid w:val="002528B0"/>
    <w:rsid w:val="00253134"/>
    <w:rsid w:val="00267E8F"/>
    <w:rsid w:val="002738AB"/>
    <w:rsid w:val="00284486"/>
    <w:rsid w:val="0028689D"/>
    <w:rsid w:val="002902A0"/>
    <w:rsid w:val="00297E4B"/>
    <w:rsid w:val="002A22A8"/>
    <w:rsid w:val="002A35E9"/>
    <w:rsid w:val="002A3EB2"/>
    <w:rsid w:val="002A60BB"/>
    <w:rsid w:val="002B2095"/>
    <w:rsid w:val="002B4114"/>
    <w:rsid w:val="002B5143"/>
    <w:rsid w:val="002C153C"/>
    <w:rsid w:val="002C3D14"/>
    <w:rsid w:val="002C4FE0"/>
    <w:rsid w:val="002C7BD4"/>
    <w:rsid w:val="002D072C"/>
    <w:rsid w:val="002D328A"/>
    <w:rsid w:val="002E2B75"/>
    <w:rsid w:val="002E3F56"/>
    <w:rsid w:val="002F03D1"/>
    <w:rsid w:val="002F1DC5"/>
    <w:rsid w:val="002F263C"/>
    <w:rsid w:val="00302110"/>
    <w:rsid w:val="00317383"/>
    <w:rsid w:val="00320099"/>
    <w:rsid w:val="003207F0"/>
    <w:rsid w:val="00321D5A"/>
    <w:rsid w:val="00324E84"/>
    <w:rsid w:val="00325C7D"/>
    <w:rsid w:val="00327D86"/>
    <w:rsid w:val="00331601"/>
    <w:rsid w:val="00344C13"/>
    <w:rsid w:val="00350F08"/>
    <w:rsid w:val="0035228A"/>
    <w:rsid w:val="00360E55"/>
    <w:rsid w:val="0036515A"/>
    <w:rsid w:val="003659C9"/>
    <w:rsid w:val="003659FE"/>
    <w:rsid w:val="003669B7"/>
    <w:rsid w:val="00372F90"/>
    <w:rsid w:val="00381365"/>
    <w:rsid w:val="00381C6A"/>
    <w:rsid w:val="003854EE"/>
    <w:rsid w:val="00386461"/>
    <w:rsid w:val="003865B6"/>
    <w:rsid w:val="003916E6"/>
    <w:rsid w:val="003A02EF"/>
    <w:rsid w:val="003A0C45"/>
    <w:rsid w:val="003A2BB5"/>
    <w:rsid w:val="003A3155"/>
    <w:rsid w:val="003A6833"/>
    <w:rsid w:val="003B1FBF"/>
    <w:rsid w:val="003B2858"/>
    <w:rsid w:val="003B4BF1"/>
    <w:rsid w:val="003C1405"/>
    <w:rsid w:val="003C4CC0"/>
    <w:rsid w:val="003C4CEF"/>
    <w:rsid w:val="003C6D7A"/>
    <w:rsid w:val="003D02C4"/>
    <w:rsid w:val="003D03D4"/>
    <w:rsid w:val="003D448F"/>
    <w:rsid w:val="003E3305"/>
    <w:rsid w:val="003E78A1"/>
    <w:rsid w:val="003F0BFA"/>
    <w:rsid w:val="003F28D0"/>
    <w:rsid w:val="004036E3"/>
    <w:rsid w:val="00410268"/>
    <w:rsid w:val="00416115"/>
    <w:rsid w:val="004178F3"/>
    <w:rsid w:val="004316F8"/>
    <w:rsid w:val="00432277"/>
    <w:rsid w:val="00433B0E"/>
    <w:rsid w:val="00435A6C"/>
    <w:rsid w:val="00436573"/>
    <w:rsid w:val="004407B9"/>
    <w:rsid w:val="00440C8C"/>
    <w:rsid w:val="00443CB3"/>
    <w:rsid w:val="004453D2"/>
    <w:rsid w:val="00452CA5"/>
    <w:rsid w:val="00453294"/>
    <w:rsid w:val="00456C74"/>
    <w:rsid w:val="0045750D"/>
    <w:rsid w:val="00467BF0"/>
    <w:rsid w:val="00470B8C"/>
    <w:rsid w:val="00474512"/>
    <w:rsid w:val="00476FA2"/>
    <w:rsid w:val="004778D6"/>
    <w:rsid w:val="0048021E"/>
    <w:rsid w:val="00490025"/>
    <w:rsid w:val="004A27DA"/>
    <w:rsid w:val="004A291E"/>
    <w:rsid w:val="004A392B"/>
    <w:rsid w:val="004A43E6"/>
    <w:rsid w:val="004B063D"/>
    <w:rsid w:val="004B0CC1"/>
    <w:rsid w:val="004C1865"/>
    <w:rsid w:val="004C5994"/>
    <w:rsid w:val="004C5DDF"/>
    <w:rsid w:val="004C64A7"/>
    <w:rsid w:val="004D44D5"/>
    <w:rsid w:val="004D6115"/>
    <w:rsid w:val="004D7BC0"/>
    <w:rsid w:val="004E76F1"/>
    <w:rsid w:val="004E7CE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50A7"/>
    <w:rsid w:val="005376E0"/>
    <w:rsid w:val="00547D5F"/>
    <w:rsid w:val="00553AC7"/>
    <w:rsid w:val="00556375"/>
    <w:rsid w:val="00556C57"/>
    <w:rsid w:val="00566436"/>
    <w:rsid w:val="005728C6"/>
    <w:rsid w:val="00580BF4"/>
    <w:rsid w:val="00585F3A"/>
    <w:rsid w:val="00587126"/>
    <w:rsid w:val="00592783"/>
    <w:rsid w:val="00593B30"/>
    <w:rsid w:val="00596B06"/>
    <w:rsid w:val="00597BBE"/>
    <w:rsid w:val="00597FBC"/>
    <w:rsid w:val="005A0485"/>
    <w:rsid w:val="005A0E32"/>
    <w:rsid w:val="005A58BB"/>
    <w:rsid w:val="005A6753"/>
    <w:rsid w:val="005A6780"/>
    <w:rsid w:val="005B274A"/>
    <w:rsid w:val="005B2FA4"/>
    <w:rsid w:val="005B53D8"/>
    <w:rsid w:val="005B787D"/>
    <w:rsid w:val="005C5FEA"/>
    <w:rsid w:val="005D02F3"/>
    <w:rsid w:val="005E1E62"/>
    <w:rsid w:val="005E1E9C"/>
    <w:rsid w:val="005E40DD"/>
    <w:rsid w:val="005E4B3D"/>
    <w:rsid w:val="005E609F"/>
    <w:rsid w:val="005F27D3"/>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43E88"/>
    <w:rsid w:val="006543B3"/>
    <w:rsid w:val="0065512D"/>
    <w:rsid w:val="00665E6A"/>
    <w:rsid w:val="006734A2"/>
    <w:rsid w:val="00682A8F"/>
    <w:rsid w:val="00682F0D"/>
    <w:rsid w:val="00685C07"/>
    <w:rsid w:val="00691780"/>
    <w:rsid w:val="00691995"/>
    <w:rsid w:val="00692BBB"/>
    <w:rsid w:val="00694176"/>
    <w:rsid w:val="006A02E2"/>
    <w:rsid w:val="006A0822"/>
    <w:rsid w:val="006A3BBC"/>
    <w:rsid w:val="006A3DE6"/>
    <w:rsid w:val="006A67FC"/>
    <w:rsid w:val="006A7D2C"/>
    <w:rsid w:val="006B71D9"/>
    <w:rsid w:val="006C239D"/>
    <w:rsid w:val="006C34B8"/>
    <w:rsid w:val="006C36AA"/>
    <w:rsid w:val="006C4F75"/>
    <w:rsid w:val="006C5BC7"/>
    <w:rsid w:val="006D0112"/>
    <w:rsid w:val="006D44A3"/>
    <w:rsid w:val="006E12DC"/>
    <w:rsid w:val="006E3C18"/>
    <w:rsid w:val="006E55B2"/>
    <w:rsid w:val="007033E3"/>
    <w:rsid w:val="007057E1"/>
    <w:rsid w:val="0070618E"/>
    <w:rsid w:val="0071051A"/>
    <w:rsid w:val="007108EE"/>
    <w:rsid w:val="00710F5C"/>
    <w:rsid w:val="00711206"/>
    <w:rsid w:val="00711921"/>
    <w:rsid w:val="0071312C"/>
    <w:rsid w:val="00714B38"/>
    <w:rsid w:val="00726E00"/>
    <w:rsid w:val="00733694"/>
    <w:rsid w:val="00745A1D"/>
    <w:rsid w:val="00754A31"/>
    <w:rsid w:val="00755CD0"/>
    <w:rsid w:val="00757778"/>
    <w:rsid w:val="007710D1"/>
    <w:rsid w:val="007715B1"/>
    <w:rsid w:val="00775752"/>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9CD"/>
    <w:rsid w:val="007B27D1"/>
    <w:rsid w:val="007B2888"/>
    <w:rsid w:val="007B2EAA"/>
    <w:rsid w:val="007B3D87"/>
    <w:rsid w:val="007B6810"/>
    <w:rsid w:val="007B6F53"/>
    <w:rsid w:val="007B73AA"/>
    <w:rsid w:val="007C2373"/>
    <w:rsid w:val="007C3373"/>
    <w:rsid w:val="007C5C73"/>
    <w:rsid w:val="007D0170"/>
    <w:rsid w:val="007D0698"/>
    <w:rsid w:val="007D6643"/>
    <w:rsid w:val="007D6FAD"/>
    <w:rsid w:val="007D7FD5"/>
    <w:rsid w:val="007E119F"/>
    <w:rsid w:val="007E66CF"/>
    <w:rsid w:val="007E7229"/>
    <w:rsid w:val="007E79A4"/>
    <w:rsid w:val="007F75E0"/>
    <w:rsid w:val="008059B6"/>
    <w:rsid w:val="00807BF9"/>
    <w:rsid w:val="00810A1C"/>
    <w:rsid w:val="00811104"/>
    <w:rsid w:val="00813D60"/>
    <w:rsid w:val="008207FD"/>
    <w:rsid w:val="00822C36"/>
    <w:rsid w:val="00826492"/>
    <w:rsid w:val="00836309"/>
    <w:rsid w:val="00836577"/>
    <w:rsid w:val="008472B2"/>
    <w:rsid w:val="0085097E"/>
    <w:rsid w:val="008562A3"/>
    <w:rsid w:val="00863F01"/>
    <w:rsid w:val="00864794"/>
    <w:rsid w:val="008677A1"/>
    <w:rsid w:val="008721C6"/>
    <w:rsid w:val="00875EC4"/>
    <w:rsid w:val="008828F2"/>
    <w:rsid w:val="00885393"/>
    <w:rsid w:val="008A0C3C"/>
    <w:rsid w:val="008B463C"/>
    <w:rsid w:val="008B66C6"/>
    <w:rsid w:val="008C0EF9"/>
    <w:rsid w:val="008C375A"/>
    <w:rsid w:val="008C3866"/>
    <w:rsid w:val="008C391F"/>
    <w:rsid w:val="008D0FD9"/>
    <w:rsid w:val="008D2AF9"/>
    <w:rsid w:val="008D3A61"/>
    <w:rsid w:val="008D4DBC"/>
    <w:rsid w:val="008E62A8"/>
    <w:rsid w:val="008E6D98"/>
    <w:rsid w:val="008F0EFF"/>
    <w:rsid w:val="008F34B6"/>
    <w:rsid w:val="00900F82"/>
    <w:rsid w:val="00901547"/>
    <w:rsid w:val="009056E7"/>
    <w:rsid w:val="009074AA"/>
    <w:rsid w:val="00917AD1"/>
    <w:rsid w:val="00931AEC"/>
    <w:rsid w:val="0093386E"/>
    <w:rsid w:val="00935852"/>
    <w:rsid w:val="0094095C"/>
    <w:rsid w:val="00941342"/>
    <w:rsid w:val="00942454"/>
    <w:rsid w:val="00945A61"/>
    <w:rsid w:val="0095074B"/>
    <w:rsid w:val="009508CE"/>
    <w:rsid w:val="00951857"/>
    <w:rsid w:val="00954D69"/>
    <w:rsid w:val="00957559"/>
    <w:rsid w:val="00961529"/>
    <w:rsid w:val="00963134"/>
    <w:rsid w:val="009641A9"/>
    <w:rsid w:val="00966CE6"/>
    <w:rsid w:val="00966DFA"/>
    <w:rsid w:val="00971910"/>
    <w:rsid w:val="00976E98"/>
    <w:rsid w:val="00980F5C"/>
    <w:rsid w:val="009826F5"/>
    <w:rsid w:val="009830FA"/>
    <w:rsid w:val="009858FC"/>
    <w:rsid w:val="00987854"/>
    <w:rsid w:val="00994FB6"/>
    <w:rsid w:val="009A276A"/>
    <w:rsid w:val="009A3B63"/>
    <w:rsid w:val="009A5C8E"/>
    <w:rsid w:val="009A7854"/>
    <w:rsid w:val="009B662D"/>
    <w:rsid w:val="009C1008"/>
    <w:rsid w:val="009C2EDD"/>
    <w:rsid w:val="009C4172"/>
    <w:rsid w:val="009C5695"/>
    <w:rsid w:val="009C5C18"/>
    <w:rsid w:val="009D03ED"/>
    <w:rsid w:val="009F4906"/>
    <w:rsid w:val="009F7026"/>
    <w:rsid w:val="009F7923"/>
    <w:rsid w:val="00A0058C"/>
    <w:rsid w:val="00A00F40"/>
    <w:rsid w:val="00A0144F"/>
    <w:rsid w:val="00A0394D"/>
    <w:rsid w:val="00A11234"/>
    <w:rsid w:val="00A112B6"/>
    <w:rsid w:val="00A13823"/>
    <w:rsid w:val="00A22850"/>
    <w:rsid w:val="00A26CDE"/>
    <w:rsid w:val="00A26D22"/>
    <w:rsid w:val="00A35685"/>
    <w:rsid w:val="00A37FAB"/>
    <w:rsid w:val="00A42DF5"/>
    <w:rsid w:val="00A43EBE"/>
    <w:rsid w:val="00A445E8"/>
    <w:rsid w:val="00A5026E"/>
    <w:rsid w:val="00A511CD"/>
    <w:rsid w:val="00A62992"/>
    <w:rsid w:val="00A63ADD"/>
    <w:rsid w:val="00A72D46"/>
    <w:rsid w:val="00A741FC"/>
    <w:rsid w:val="00A75680"/>
    <w:rsid w:val="00A75B36"/>
    <w:rsid w:val="00A769CC"/>
    <w:rsid w:val="00A83E8B"/>
    <w:rsid w:val="00A93189"/>
    <w:rsid w:val="00AA142B"/>
    <w:rsid w:val="00AA15E7"/>
    <w:rsid w:val="00AA49A4"/>
    <w:rsid w:val="00AA57EF"/>
    <w:rsid w:val="00AB2929"/>
    <w:rsid w:val="00AB679E"/>
    <w:rsid w:val="00AC111C"/>
    <w:rsid w:val="00AC14FB"/>
    <w:rsid w:val="00AC3A84"/>
    <w:rsid w:val="00AC4230"/>
    <w:rsid w:val="00AC63A2"/>
    <w:rsid w:val="00AD2A63"/>
    <w:rsid w:val="00AD36BF"/>
    <w:rsid w:val="00AD545E"/>
    <w:rsid w:val="00AD61CA"/>
    <w:rsid w:val="00AD7B14"/>
    <w:rsid w:val="00AE094E"/>
    <w:rsid w:val="00AE110E"/>
    <w:rsid w:val="00AE390E"/>
    <w:rsid w:val="00AE7EE0"/>
    <w:rsid w:val="00AF3762"/>
    <w:rsid w:val="00AF6D79"/>
    <w:rsid w:val="00B04E15"/>
    <w:rsid w:val="00B062DF"/>
    <w:rsid w:val="00B27D27"/>
    <w:rsid w:val="00B41971"/>
    <w:rsid w:val="00B41AAC"/>
    <w:rsid w:val="00B41ED8"/>
    <w:rsid w:val="00B44707"/>
    <w:rsid w:val="00B45873"/>
    <w:rsid w:val="00B47EC3"/>
    <w:rsid w:val="00B54599"/>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C387A"/>
    <w:rsid w:val="00BC43D5"/>
    <w:rsid w:val="00BC6B84"/>
    <w:rsid w:val="00BD26E8"/>
    <w:rsid w:val="00BE00F2"/>
    <w:rsid w:val="00BE6482"/>
    <w:rsid w:val="00BE6B96"/>
    <w:rsid w:val="00BF3C38"/>
    <w:rsid w:val="00BF425A"/>
    <w:rsid w:val="00BF77DE"/>
    <w:rsid w:val="00C002A8"/>
    <w:rsid w:val="00C0243B"/>
    <w:rsid w:val="00C07560"/>
    <w:rsid w:val="00C10BF8"/>
    <w:rsid w:val="00C1152F"/>
    <w:rsid w:val="00C14AF6"/>
    <w:rsid w:val="00C217D7"/>
    <w:rsid w:val="00C2264A"/>
    <w:rsid w:val="00C22D01"/>
    <w:rsid w:val="00C23518"/>
    <w:rsid w:val="00C353DA"/>
    <w:rsid w:val="00C36A74"/>
    <w:rsid w:val="00C379CE"/>
    <w:rsid w:val="00C51EE5"/>
    <w:rsid w:val="00C52E2B"/>
    <w:rsid w:val="00C53D17"/>
    <w:rsid w:val="00C540D3"/>
    <w:rsid w:val="00C60BBA"/>
    <w:rsid w:val="00C67375"/>
    <w:rsid w:val="00C67430"/>
    <w:rsid w:val="00C67E54"/>
    <w:rsid w:val="00C7014F"/>
    <w:rsid w:val="00C73987"/>
    <w:rsid w:val="00C7437D"/>
    <w:rsid w:val="00C74E4F"/>
    <w:rsid w:val="00C76C69"/>
    <w:rsid w:val="00C9075A"/>
    <w:rsid w:val="00C91C52"/>
    <w:rsid w:val="00C97230"/>
    <w:rsid w:val="00C97336"/>
    <w:rsid w:val="00CA2F08"/>
    <w:rsid w:val="00CA50E7"/>
    <w:rsid w:val="00CA7330"/>
    <w:rsid w:val="00CB021A"/>
    <w:rsid w:val="00CB2753"/>
    <w:rsid w:val="00CB3905"/>
    <w:rsid w:val="00CB7E30"/>
    <w:rsid w:val="00CC018D"/>
    <w:rsid w:val="00CC5C67"/>
    <w:rsid w:val="00CC752D"/>
    <w:rsid w:val="00CD15F5"/>
    <w:rsid w:val="00CD3C1E"/>
    <w:rsid w:val="00CD5E68"/>
    <w:rsid w:val="00CE00D6"/>
    <w:rsid w:val="00CE3190"/>
    <w:rsid w:val="00CE74FB"/>
    <w:rsid w:val="00CF269F"/>
    <w:rsid w:val="00CF30E0"/>
    <w:rsid w:val="00CF5B7A"/>
    <w:rsid w:val="00CF729D"/>
    <w:rsid w:val="00D0128C"/>
    <w:rsid w:val="00D03474"/>
    <w:rsid w:val="00D127C3"/>
    <w:rsid w:val="00D210AB"/>
    <w:rsid w:val="00D243A9"/>
    <w:rsid w:val="00D25FB5"/>
    <w:rsid w:val="00D30D5F"/>
    <w:rsid w:val="00D4322E"/>
    <w:rsid w:val="00D56E30"/>
    <w:rsid w:val="00D6301D"/>
    <w:rsid w:val="00D66D27"/>
    <w:rsid w:val="00D674C5"/>
    <w:rsid w:val="00D708D1"/>
    <w:rsid w:val="00D71AB4"/>
    <w:rsid w:val="00D73CC5"/>
    <w:rsid w:val="00D74A11"/>
    <w:rsid w:val="00D85939"/>
    <w:rsid w:val="00D91270"/>
    <w:rsid w:val="00D9486D"/>
    <w:rsid w:val="00D964A5"/>
    <w:rsid w:val="00D96CF0"/>
    <w:rsid w:val="00DA0817"/>
    <w:rsid w:val="00DA178A"/>
    <w:rsid w:val="00DA718C"/>
    <w:rsid w:val="00DB30ED"/>
    <w:rsid w:val="00DB3322"/>
    <w:rsid w:val="00DC00B6"/>
    <w:rsid w:val="00DC2756"/>
    <w:rsid w:val="00DC3334"/>
    <w:rsid w:val="00DC669D"/>
    <w:rsid w:val="00DD08F4"/>
    <w:rsid w:val="00DD52F0"/>
    <w:rsid w:val="00DD6B3D"/>
    <w:rsid w:val="00DE49E9"/>
    <w:rsid w:val="00DE7D84"/>
    <w:rsid w:val="00DF02AD"/>
    <w:rsid w:val="00DF32C4"/>
    <w:rsid w:val="00DF66EB"/>
    <w:rsid w:val="00E04B64"/>
    <w:rsid w:val="00E064E2"/>
    <w:rsid w:val="00E07DF0"/>
    <w:rsid w:val="00E1490D"/>
    <w:rsid w:val="00E1517C"/>
    <w:rsid w:val="00E151DA"/>
    <w:rsid w:val="00E208B5"/>
    <w:rsid w:val="00E21180"/>
    <w:rsid w:val="00E3205C"/>
    <w:rsid w:val="00E35820"/>
    <w:rsid w:val="00E3651F"/>
    <w:rsid w:val="00E36AA5"/>
    <w:rsid w:val="00E4241A"/>
    <w:rsid w:val="00E432B2"/>
    <w:rsid w:val="00E627BF"/>
    <w:rsid w:val="00E63353"/>
    <w:rsid w:val="00E6534D"/>
    <w:rsid w:val="00E758A1"/>
    <w:rsid w:val="00E820AA"/>
    <w:rsid w:val="00E8694A"/>
    <w:rsid w:val="00E90D60"/>
    <w:rsid w:val="00E91127"/>
    <w:rsid w:val="00E95C27"/>
    <w:rsid w:val="00EA49AA"/>
    <w:rsid w:val="00EA4BC6"/>
    <w:rsid w:val="00EA5800"/>
    <w:rsid w:val="00EA593B"/>
    <w:rsid w:val="00EB34BB"/>
    <w:rsid w:val="00EB7DBF"/>
    <w:rsid w:val="00EC51DF"/>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218C9"/>
    <w:rsid w:val="00F30BC4"/>
    <w:rsid w:val="00F34FBB"/>
    <w:rsid w:val="00F37D3F"/>
    <w:rsid w:val="00F409A6"/>
    <w:rsid w:val="00F417D3"/>
    <w:rsid w:val="00F45946"/>
    <w:rsid w:val="00F466EA"/>
    <w:rsid w:val="00F4696E"/>
    <w:rsid w:val="00F47DFB"/>
    <w:rsid w:val="00F55F7B"/>
    <w:rsid w:val="00F60CA6"/>
    <w:rsid w:val="00F63043"/>
    <w:rsid w:val="00F6338F"/>
    <w:rsid w:val="00F66F5C"/>
    <w:rsid w:val="00F70622"/>
    <w:rsid w:val="00F706B8"/>
    <w:rsid w:val="00F71304"/>
    <w:rsid w:val="00F72DB8"/>
    <w:rsid w:val="00F74974"/>
    <w:rsid w:val="00F91FE5"/>
    <w:rsid w:val="00F93D73"/>
    <w:rsid w:val="00F93DC8"/>
    <w:rsid w:val="00FA55BC"/>
    <w:rsid w:val="00FB10ED"/>
    <w:rsid w:val="00FB496E"/>
    <w:rsid w:val="00FB4A28"/>
    <w:rsid w:val="00FC4ABB"/>
    <w:rsid w:val="00FD3E18"/>
    <w:rsid w:val="00FD4CA1"/>
    <w:rsid w:val="00FD72C2"/>
    <w:rsid w:val="00FE262A"/>
    <w:rsid w:val="00FE53F8"/>
    <w:rsid w:val="00FE6231"/>
    <w:rsid w:val="00FE62A5"/>
    <w:rsid w:val="00FE7302"/>
    <w:rsid w:val="00FF1146"/>
    <w:rsid w:val="00FF14FF"/>
    <w:rsid w:val="00FF479C"/>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D7B8"/>
  <w15:docId w15:val="{6C342655-738A-4726-A787-9EE7046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E3BD-E345-4123-ACEA-CDBB2710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29342</Words>
  <Characters>16725</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2019-04-17T06:39:00Z</dcterms:created>
  <dc:creator>Aušra Mažutavičienė</dc:creator>
  <cp:lastModifiedBy>Virmantė Voinilko</cp:lastModifiedBy>
  <cp:lastPrinted>2015-08-18T07:22:00Z</cp:lastPrinted>
  <dcterms:modified xsi:type="dcterms:W3CDTF">2019-04-17T06:43:00Z</dcterms:modified>
  <cp:revision>3</cp:revision>
</cp:coreProperties>
</file>