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F5E" w:rsidRDefault="00976F5E" w:rsidP="00976F5E">
      <w:pPr>
        <w:jc w:val="center"/>
        <w:rPr>
          <w:rFonts w:ascii="Times New Roman" w:hAnsi="Times New Roman" w:cs="Times New Roman"/>
          <w:b/>
          <w:sz w:val="24"/>
          <w:szCs w:val="24"/>
        </w:rPr>
      </w:pPr>
      <w:bookmarkStart w:id="0" w:name="_GoBack"/>
      <w:bookmarkEnd w:id="0"/>
      <w:r w:rsidRPr="00976F5E">
        <w:rPr>
          <w:rFonts w:ascii="Times New Roman" w:hAnsi="Times New Roman" w:cs="Times New Roman"/>
          <w:b/>
          <w:sz w:val="24"/>
          <w:szCs w:val="24"/>
        </w:rPr>
        <w:t xml:space="preserve">LIETUVOS RESPUBLIKOS VYRIAUSYBĖS 2010 M. GEGUŽĖS 4 D. NUTARIMO  NR. 535 „DĖL </w:t>
      </w:r>
      <w:r w:rsidRPr="00976F5E">
        <w:rPr>
          <w:rFonts w:ascii="Times New Roman" w:hAnsi="Times New Roman" w:cs="Times New Roman"/>
          <w:b/>
          <w:sz w:val="24"/>
          <w:szCs w:val="24"/>
          <w:lang w:eastAsia="lt-LT"/>
        </w:rPr>
        <w:t>LIETUVOS KVALIFIKACIJŲ SANDAROS APRAŠO PATVIRTINIMO</w:t>
      </w:r>
      <w:r w:rsidRPr="00976F5E">
        <w:rPr>
          <w:rFonts w:ascii="Times New Roman" w:hAnsi="Times New Roman" w:cs="Times New Roman"/>
          <w:b/>
          <w:sz w:val="24"/>
          <w:szCs w:val="24"/>
        </w:rPr>
        <w:t xml:space="preserve">“ PAKEITIMO PROJEKTO </w:t>
      </w:r>
    </w:p>
    <w:p w:rsidR="004046BA" w:rsidRPr="00976F5E" w:rsidRDefault="00976F5E" w:rsidP="00976F5E">
      <w:pPr>
        <w:jc w:val="center"/>
        <w:rPr>
          <w:rFonts w:ascii="Times New Roman" w:hAnsi="Times New Roman" w:cs="Times New Roman"/>
          <w:b/>
          <w:sz w:val="24"/>
          <w:szCs w:val="24"/>
        </w:rPr>
      </w:pPr>
      <w:r w:rsidRPr="00976F5E">
        <w:rPr>
          <w:rFonts w:ascii="Times New Roman" w:hAnsi="Times New Roman" w:cs="Times New Roman"/>
          <w:b/>
          <w:sz w:val="24"/>
          <w:szCs w:val="24"/>
        </w:rPr>
        <w:t>DERINIMO PAŽYMA</w:t>
      </w:r>
    </w:p>
    <w:tbl>
      <w:tblPr>
        <w:tblStyle w:val="TableGrid"/>
        <w:tblW w:w="9776" w:type="dxa"/>
        <w:tblLook w:val="04A0" w:firstRow="1" w:lastRow="0" w:firstColumn="1" w:lastColumn="0" w:noHBand="0" w:noVBand="1"/>
      </w:tblPr>
      <w:tblGrid>
        <w:gridCol w:w="1743"/>
        <w:gridCol w:w="3922"/>
        <w:gridCol w:w="4111"/>
      </w:tblGrid>
      <w:tr w:rsidR="00976F5E" w:rsidRPr="003829A1" w:rsidTr="00351623">
        <w:tc>
          <w:tcPr>
            <w:tcW w:w="1743" w:type="dxa"/>
          </w:tcPr>
          <w:p w:rsidR="00976F5E" w:rsidRPr="003829A1" w:rsidRDefault="00976F5E" w:rsidP="00351623">
            <w:pPr>
              <w:spacing w:before="100" w:beforeAutospacing="1" w:after="100" w:afterAutospacing="1"/>
              <w:rPr>
                <w:sz w:val="24"/>
                <w:szCs w:val="24"/>
              </w:rPr>
            </w:pPr>
            <w:r w:rsidRPr="003829A1">
              <w:rPr>
                <w:sz w:val="24"/>
                <w:szCs w:val="24"/>
              </w:rPr>
              <w:t>Institucija</w:t>
            </w:r>
          </w:p>
        </w:tc>
        <w:tc>
          <w:tcPr>
            <w:tcW w:w="3922" w:type="dxa"/>
          </w:tcPr>
          <w:p w:rsidR="00976F5E" w:rsidRPr="003829A1" w:rsidRDefault="00976F5E" w:rsidP="00351623">
            <w:pPr>
              <w:spacing w:before="100" w:beforeAutospacing="1" w:after="100" w:afterAutospacing="1"/>
              <w:ind w:firstLine="567"/>
              <w:jc w:val="both"/>
              <w:rPr>
                <w:sz w:val="24"/>
                <w:szCs w:val="24"/>
              </w:rPr>
            </w:pPr>
            <w:r w:rsidRPr="003829A1">
              <w:rPr>
                <w:sz w:val="24"/>
                <w:szCs w:val="24"/>
              </w:rPr>
              <w:t>Pastabos</w:t>
            </w:r>
          </w:p>
        </w:tc>
        <w:tc>
          <w:tcPr>
            <w:tcW w:w="4111" w:type="dxa"/>
            <w:tcBorders>
              <w:bottom w:val="single" w:sz="4" w:space="0" w:color="auto"/>
            </w:tcBorders>
          </w:tcPr>
          <w:p w:rsidR="00976F5E" w:rsidRPr="003829A1" w:rsidRDefault="00976F5E" w:rsidP="00351623">
            <w:pPr>
              <w:spacing w:before="100" w:beforeAutospacing="1" w:after="100" w:afterAutospacing="1"/>
              <w:ind w:firstLine="567"/>
              <w:jc w:val="both"/>
              <w:rPr>
                <w:sz w:val="24"/>
                <w:szCs w:val="24"/>
              </w:rPr>
            </w:pPr>
            <w:r w:rsidRPr="003829A1">
              <w:rPr>
                <w:sz w:val="24"/>
                <w:szCs w:val="24"/>
              </w:rPr>
              <w:t>Komentarai</w:t>
            </w:r>
          </w:p>
        </w:tc>
      </w:tr>
      <w:tr w:rsidR="00976F5E" w:rsidRPr="003829A1" w:rsidTr="00351623">
        <w:trPr>
          <w:trHeight w:val="1493"/>
        </w:trPr>
        <w:tc>
          <w:tcPr>
            <w:tcW w:w="1743" w:type="dxa"/>
          </w:tcPr>
          <w:p w:rsidR="00976F5E" w:rsidRPr="003829A1" w:rsidRDefault="00976F5E" w:rsidP="00351623">
            <w:pPr>
              <w:spacing w:before="100" w:beforeAutospacing="1" w:after="100" w:afterAutospacing="1"/>
              <w:ind w:firstLine="567"/>
              <w:jc w:val="both"/>
              <w:rPr>
                <w:sz w:val="24"/>
                <w:szCs w:val="24"/>
              </w:rPr>
            </w:pPr>
            <w:r w:rsidRPr="003829A1">
              <w:rPr>
                <w:sz w:val="24"/>
                <w:szCs w:val="24"/>
              </w:rPr>
              <w:t>EINMIN</w:t>
            </w:r>
          </w:p>
        </w:tc>
        <w:tc>
          <w:tcPr>
            <w:tcW w:w="3922" w:type="dxa"/>
            <w:tcBorders>
              <w:right w:val="single" w:sz="4" w:space="0" w:color="auto"/>
            </w:tcBorders>
          </w:tcPr>
          <w:p w:rsidR="00976F5E" w:rsidRPr="003829A1" w:rsidRDefault="00976F5E" w:rsidP="00351623">
            <w:pPr>
              <w:pStyle w:val="ListParagraph"/>
              <w:spacing w:before="100" w:beforeAutospacing="1" w:after="100" w:afterAutospacing="1"/>
              <w:ind w:left="0" w:firstLine="567"/>
              <w:jc w:val="both"/>
              <w:rPr>
                <w:rFonts w:ascii="Times New Roman" w:hAnsi="Times New Roman" w:cs="Times New Roman"/>
                <w:color w:val="000000"/>
                <w:sz w:val="24"/>
                <w:szCs w:val="24"/>
                <w:lang w:val="lt-LT"/>
              </w:rPr>
            </w:pPr>
            <w:r w:rsidRPr="003829A1">
              <w:rPr>
                <w:rFonts w:ascii="Times New Roman" w:hAnsi="Times New Roman" w:cs="Times New Roman"/>
                <w:color w:val="000000"/>
                <w:sz w:val="24"/>
                <w:szCs w:val="24"/>
                <w:lang w:val="lt-LT"/>
              </w:rPr>
              <w:t>1.2. Išbrauktas Nutarimo 3 punktas ir aukštos profesinės kvalifikacijos sąvokos apibrėžimas.</w:t>
            </w:r>
          </w:p>
          <w:p w:rsidR="00976F5E" w:rsidRPr="003829A1" w:rsidRDefault="00976F5E" w:rsidP="00351623">
            <w:pPr>
              <w:pStyle w:val="ListParagraph"/>
              <w:spacing w:before="100" w:beforeAutospacing="1" w:after="100" w:afterAutospacing="1"/>
              <w:ind w:left="0" w:firstLine="567"/>
              <w:jc w:val="both"/>
              <w:rPr>
                <w:rFonts w:ascii="Times New Roman" w:hAnsi="Times New Roman" w:cs="Times New Roman"/>
                <w:color w:val="000000"/>
                <w:sz w:val="24"/>
                <w:szCs w:val="24"/>
                <w:lang w:val="lt-LT"/>
              </w:rPr>
            </w:pPr>
          </w:p>
        </w:tc>
        <w:tc>
          <w:tcPr>
            <w:tcW w:w="4111" w:type="dxa"/>
            <w:tcBorders>
              <w:top w:val="single" w:sz="4" w:space="0" w:color="auto"/>
              <w:left w:val="single" w:sz="4" w:space="0" w:color="auto"/>
              <w:right w:val="single" w:sz="4" w:space="0" w:color="auto"/>
            </w:tcBorders>
          </w:tcPr>
          <w:p w:rsidR="00976F5E" w:rsidRPr="003829A1" w:rsidRDefault="00976F5E" w:rsidP="00351623">
            <w:pPr>
              <w:spacing w:before="100" w:beforeAutospacing="1" w:after="100" w:afterAutospacing="1"/>
              <w:ind w:firstLine="567"/>
              <w:jc w:val="both"/>
              <w:rPr>
                <w:sz w:val="24"/>
                <w:szCs w:val="24"/>
              </w:rPr>
            </w:pPr>
            <w:r>
              <w:rPr>
                <w:sz w:val="24"/>
                <w:szCs w:val="24"/>
              </w:rPr>
              <w:t xml:space="preserve">Atsižvelgta iš dalies, Lietuvos kvalifikacijų sandaros 3 punkte įdėta nuoroda į Lietuvos Respublikos įstatymą dėl užsieniečių teisinės padėties. </w:t>
            </w:r>
          </w:p>
        </w:tc>
      </w:tr>
      <w:tr w:rsidR="00976F5E" w:rsidRPr="003829A1" w:rsidTr="00351623">
        <w:tc>
          <w:tcPr>
            <w:tcW w:w="1743" w:type="dxa"/>
          </w:tcPr>
          <w:p w:rsidR="00976F5E" w:rsidRPr="003829A1" w:rsidRDefault="00976F5E" w:rsidP="00351623">
            <w:pPr>
              <w:spacing w:before="100" w:beforeAutospacing="1" w:after="100" w:afterAutospacing="1"/>
              <w:ind w:firstLine="567"/>
              <w:jc w:val="both"/>
              <w:rPr>
                <w:sz w:val="24"/>
                <w:szCs w:val="24"/>
              </w:rPr>
            </w:pPr>
            <w:r w:rsidRPr="003829A1">
              <w:rPr>
                <w:sz w:val="24"/>
                <w:szCs w:val="24"/>
              </w:rPr>
              <w:t>SADM</w:t>
            </w:r>
          </w:p>
        </w:tc>
        <w:tc>
          <w:tcPr>
            <w:tcW w:w="3922" w:type="dxa"/>
          </w:tcPr>
          <w:p w:rsidR="00976F5E" w:rsidRPr="003829A1" w:rsidRDefault="00976F5E" w:rsidP="00351623">
            <w:pPr>
              <w:pStyle w:val="ListParagraph"/>
              <w:spacing w:before="100" w:beforeAutospacing="1" w:after="100" w:afterAutospacing="1"/>
              <w:ind w:left="0" w:firstLine="567"/>
              <w:jc w:val="both"/>
              <w:rPr>
                <w:rFonts w:ascii="Times New Roman" w:hAnsi="Times New Roman" w:cs="Times New Roman"/>
                <w:color w:val="000000"/>
                <w:sz w:val="24"/>
                <w:szCs w:val="24"/>
                <w:lang w:val="lt-LT"/>
              </w:rPr>
            </w:pPr>
            <w:r w:rsidRPr="003829A1">
              <w:rPr>
                <w:rFonts w:ascii="Times New Roman" w:hAnsi="Times New Roman" w:cs="Times New Roman"/>
                <w:color w:val="000000"/>
                <w:sz w:val="24"/>
                <w:szCs w:val="24"/>
                <w:lang w:val="lt-LT"/>
              </w:rPr>
              <w:t>Tačiau atkreiptinas dėmesys, kad perkeliant 2009 m. gegužės 25 d. Tarybos direktyvą 2009/50/EB dėl trečiųjų šalių piliečių atvykimo ir apsigyvenimo sąlygų siekiant dirbti aukštos kvalifikacijos darbą (OL 2009 L 155, p. 17), šiuo metu galiojančiame Lietuvos kvalifikacijų sandaros apraše yra apibrėžta aukštos profesinės kvalifikacijos sąvoka. Pateiktame derinimui Lietuvos kvalifikacijų sandaros aprašo projekte šios sąvokos apibrėžties nebelieka. Švietimo ir mokslo ministerijos 2019-04-15 rašte Nr. SR-1462 „Dėl Lietuvos Respublikos Vyriausybės nutarimo projekto derinimo“ nėra pateiktas paaiškinimas dėl aukščiau minėtos sąvokos atsisakymo. Atsižvelgiant į tai, svarstytina, ar tai nesukels neatitikimų su kitais teisės aktais, kuriuose aukštos profesinės kvalifikacijos sąvoka yra vartojama.</w:t>
            </w:r>
          </w:p>
        </w:tc>
        <w:tc>
          <w:tcPr>
            <w:tcW w:w="4111" w:type="dxa"/>
            <w:tcBorders>
              <w:top w:val="single" w:sz="4" w:space="0" w:color="auto"/>
            </w:tcBorders>
          </w:tcPr>
          <w:p w:rsidR="00976F5E" w:rsidRPr="003829A1" w:rsidRDefault="00976F5E" w:rsidP="00351623">
            <w:pPr>
              <w:spacing w:before="100" w:beforeAutospacing="1" w:after="100" w:afterAutospacing="1"/>
              <w:ind w:firstLine="567"/>
              <w:jc w:val="both"/>
              <w:rPr>
                <w:sz w:val="24"/>
                <w:szCs w:val="24"/>
              </w:rPr>
            </w:pPr>
            <w:r>
              <w:rPr>
                <w:sz w:val="24"/>
                <w:szCs w:val="24"/>
              </w:rPr>
              <w:t>Atsižvelgta iš dalies, Lietuvos kvalifikacijų sandaros 3 punkte įdėta nuoroda į Lietuvos Respublikos įstatymą dėl užsieniečių teisinės padėties.</w:t>
            </w:r>
          </w:p>
        </w:tc>
      </w:tr>
      <w:tr w:rsidR="00976F5E" w:rsidRPr="003829A1" w:rsidTr="00351623">
        <w:tc>
          <w:tcPr>
            <w:tcW w:w="1743" w:type="dxa"/>
            <w:vMerge w:val="restart"/>
          </w:tcPr>
          <w:p w:rsidR="00976F5E" w:rsidRPr="003829A1" w:rsidRDefault="00976F5E" w:rsidP="00351623">
            <w:pPr>
              <w:spacing w:before="100" w:beforeAutospacing="1" w:after="100" w:afterAutospacing="1"/>
              <w:ind w:firstLine="567"/>
              <w:jc w:val="both"/>
              <w:rPr>
                <w:sz w:val="24"/>
                <w:szCs w:val="24"/>
              </w:rPr>
            </w:pPr>
            <w:r w:rsidRPr="003829A1">
              <w:rPr>
                <w:sz w:val="24"/>
                <w:szCs w:val="24"/>
              </w:rPr>
              <w:t>LURK</w:t>
            </w:r>
          </w:p>
        </w:tc>
        <w:tc>
          <w:tcPr>
            <w:tcW w:w="3922" w:type="dxa"/>
          </w:tcPr>
          <w:p w:rsidR="00976F5E" w:rsidRPr="003829A1" w:rsidRDefault="00976F5E" w:rsidP="00976F5E">
            <w:pPr>
              <w:pStyle w:val="ListParagraph"/>
              <w:numPr>
                <w:ilvl w:val="0"/>
                <w:numId w:val="1"/>
              </w:numPr>
              <w:overflowPunct/>
              <w:autoSpaceDE/>
              <w:autoSpaceDN/>
              <w:adjustRightInd/>
              <w:spacing w:before="100" w:beforeAutospacing="1" w:after="100" w:afterAutospacing="1"/>
              <w:ind w:left="0" w:firstLine="567"/>
              <w:jc w:val="both"/>
              <w:textAlignment w:val="auto"/>
              <w:rPr>
                <w:rFonts w:ascii="Times New Roman" w:hAnsi="Times New Roman" w:cs="Times New Roman"/>
                <w:color w:val="000000"/>
                <w:sz w:val="24"/>
                <w:szCs w:val="24"/>
                <w:lang w:val="lt-LT"/>
              </w:rPr>
            </w:pPr>
            <w:r w:rsidRPr="003829A1">
              <w:rPr>
                <w:rFonts w:ascii="Times New Roman" w:hAnsi="Times New Roman" w:cs="Times New Roman"/>
                <w:color w:val="000000"/>
                <w:sz w:val="24"/>
                <w:szCs w:val="24"/>
                <w:lang w:val="lt-LT"/>
              </w:rPr>
              <w:t>Projekto II skyriaus 7-11 punktuose numatyta, kad visi lygiai (I-VIII) gali būti įgyjami mokantis savarankiškai. Siūlome VI-VIII lygiuose, savarankiško mokymosi būdu, kvalifikacijos įgijimą numatyti tik kaip papildomą priemonę. T.</w:t>
            </w:r>
            <w:r>
              <w:rPr>
                <w:rFonts w:ascii="Times New Roman" w:hAnsi="Times New Roman" w:cs="Times New Roman"/>
                <w:color w:val="000000"/>
                <w:sz w:val="24"/>
                <w:szCs w:val="24"/>
                <w:lang w:val="lt-LT"/>
              </w:rPr>
              <w:t xml:space="preserve"> </w:t>
            </w:r>
            <w:r w:rsidRPr="003829A1">
              <w:rPr>
                <w:rFonts w:ascii="Times New Roman" w:hAnsi="Times New Roman" w:cs="Times New Roman"/>
                <w:color w:val="000000"/>
                <w:sz w:val="24"/>
                <w:szCs w:val="24"/>
                <w:lang w:val="lt-LT"/>
              </w:rPr>
              <w:t>y. tik dalis kvalifikacijai įgyti būtinų žinių ir (arba) kompetencijų gali būti įgyjama savarankiškai mokantis.</w:t>
            </w:r>
          </w:p>
        </w:tc>
        <w:tc>
          <w:tcPr>
            <w:tcW w:w="4111" w:type="dxa"/>
          </w:tcPr>
          <w:p w:rsidR="00976F5E" w:rsidRPr="003829A1" w:rsidRDefault="00976F5E" w:rsidP="00351623">
            <w:pPr>
              <w:spacing w:before="100" w:beforeAutospacing="1" w:after="100" w:afterAutospacing="1"/>
              <w:ind w:firstLine="567"/>
              <w:jc w:val="both"/>
              <w:rPr>
                <w:sz w:val="24"/>
                <w:szCs w:val="24"/>
              </w:rPr>
            </w:pPr>
            <w:r w:rsidRPr="003829A1">
              <w:rPr>
                <w:sz w:val="24"/>
                <w:szCs w:val="24"/>
              </w:rPr>
              <w:t>Neatsižvelgta, kadangi VI</w:t>
            </w:r>
            <w:r>
              <w:rPr>
                <w:sz w:val="24"/>
                <w:szCs w:val="24"/>
              </w:rPr>
              <w:t xml:space="preserve"> – </w:t>
            </w:r>
            <w:r w:rsidRPr="003829A1">
              <w:rPr>
                <w:sz w:val="24"/>
                <w:szCs w:val="24"/>
              </w:rPr>
              <w:t>VIII lygmens kvalifikacijos yra suteikiamos</w:t>
            </w:r>
            <w:r>
              <w:rPr>
                <w:sz w:val="24"/>
                <w:szCs w:val="24"/>
              </w:rPr>
              <w:t xml:space="preserve"> baigus tam tikras studijas</w:t>
            </w:r>
            <w:r w:rsidRPr="003829A1">
              <w:rPr>
                <w:sz w:val="24"/>
                <w:szCs w:val="24"/>
              </w:rPr>
              <w:t xml:space="preserve"> įstatymų ir juos įgyvendinančių teisės aktų</w:t>
            </w:r>
            <w:r>
              <w:rPr>
                <w:sz w:val="24"/>
                <w:szCs w:val="24"/>
              </w:rPr>
              <w:t xml:space="preserve"> nustatytais</w:t>
            </w:r>
            <w:r w:rsidRPr="003829A1">
              <w:rPr>
                <w:sz w:val="24"/>
                <w:szCs w:val="24"/>
              </w:rPr>
              <w:t xml:space="preserve"> atvejais. Kitais atvejais apie asmens kvalifikacijos lygį (VI</w:t>
            </w:r>
            <w:r>
              <w:rPr>
                <w:sz w:val="24"/>
                <w:szCs w:val="24"/>
              </w:rPr>
              <w:t xml:space="preserve"> – </w:t>
            </w:r>
            <w:r w:rsidRPr="003829A1">
              <w:rPr>
                <w:sz w:val="24"/>
                <w:szCs w:val="24"/>
              </w:rPr>
              <w:t xml:space="preserve">VIII) darbdavys sprendžia pats. </w:t>
            </w:r>
          </w:p>
        </w:tc>
      </w:tr>
      <w:tr w:rsidR="00976F5E" w:rsidRPr="003829A1" w:rsidTr="00351623">
        <w:tc>
          <w:tcPr>
            <w:tcW w:w="1743" w:type="dxa"/>
            <w:vMerge/>
          </w:tcPr>
          <w:p w:rsidR="00976F5E" w:rsidRPr="003829A1" w:rsidRDefault="00976F5E" w:rsidP="00351623">
            <w:pPr>
              <w:spacing w:before="100" w:beforeAutospacing="1" w:after="100" w:afterAutospacing="1"/>
              <w:ind w:firstLine="567"/>
              <w:jc w:val="both"/>
              <w:rPr>
                <w:sz w:val="24"/>
                <w:szCs w:val="24"/>
              </w:rPr>
            </w:pPr>
          </w:p>
        </w:tc>
        <w:tc>
          <w:tcPr>
            <w:tcW w:w="3922" w:type="dxa"/>
          </w:tcPr>
          <w:p w:rsidR="00976F5E" w:rsidRPr="003829A1" w:rsidRDefault="00976F5E" w:rsidP="00976F5E">
            <w:pPr>
              <w:pStyle w:val="ListParagraph"/>
              <w:numPr>
                <w:ilvl w:val="0"/>
                <w:numId w:val="1"/>
              </w:numPr>
              <w:overflowPunct/>
              <w:autoSpaceDE/>
              <w:autoSpaceDN/>
              <w:adjustRightInd/>
              <w:spacing w:before="100" w:beforeAutospacing="1" w:after="100" w:afterAutospacing="1"/>
              <w:ind w:left="0" w:firstLine="567"/>
              <w:jc w:val="both"/>
              <w:textAlignment w:val="auto"/>
              <w:rPr>
                <w:rFonts w:ascii="Times New Roman" w:hAnsi="Times New Roman" w:cs="Times New Roman"/>
                <w:color w:val="000000"/>
                <w:sz w:val="24"/>
                <w:szCs w:val="24"/>
                <w:lang w:val="lt-LT"/>
              </w:rPr>
            </w:pPr>
            <w:r w:rsidRPr="003829A1">
              <w:rPr>
                <w:rFonts w:ascii="Times New Roman" w:hAnsi="Times New Roman" w:cs="Times New Roman"/>
                <w:color w:val="000000"/>
                <w:sz w:val="24"/>
                <w:szCs w:val="24"/>
                <w:lang w:val="lt-LT"/>
              </w:rPr>
              <w:t xml:space="preserve">Projekto priede „Lietuvos kvalifikacijų lygių sąrašas“ VI kvalifikacijų lygio aprašyme numatyta, kad „Todėl veiklai atlikti </w:t>
            </w:r>
            <w:r w:rsidRPr="003829A1">
              <w:rPr>
                <w:rFonts w:ascii="Times New Roman" w:hAnsi="Times New Roman" w:cs="Times New Roman"/>
                <w:color w:val="000000"/>
                <w:sz w:val="24"/>
                <w:szCs w:val="24"/>
                <w:lang w:val="lt-LT"/>
              </w:rPr>
              <w:lastRenderedPageBreak/>
              <w:t xml:space="preserve">reikia taikyti plačias teorines žinias, pagrįstas naujų </w:t>
            </w:r>
            <w:r w:rsidRPr="003829A1">
              <w:rPr>
                <w:rFonts w:ascii="Times New Roman" w:hAnsi="Times New Roman" w:cs="Times New Roman"/>
                <w:b/>
                <w:color w:val="000000"/>
                <w:sz w:val="24"/>
                <w:szCs w:val="24"/>
                <w:lang w:val="lt-LT"/>
              </w:rPr>
              <w:t>fundamentinių ir taikomųjų tyrimų rezultatais</w:t>
            </w:r>
            <w:r w:rsidRPr="003829A1">
              <w:rPr>
                <w:rFonts w:ascii="Times New Roman" w:hAnsi="Times New Roman" w:cs="Times New Roman"/>
                <w:color w:val="000000"/>
                <w:sz w:val="24"/>
                <w:szCs w:val="24"/>
                <w:lang w:val="lt-LT"/>
              </w:rPr>
              <w:t xml:space="preserve"> arba būtinas įvairioms naujovėms diegti.“, o VII kvalifikacijų lygio aprašyme apsiribojama tik taikomaisiais tyrimais, numatant „Todėl veiklai atlikti reikia ekspertinio naujausių žinių profesinės veiklos ir jai artimose ar giminingose srityse vertinimo ir pritaikymo, </w:t>
            </w:r>
            <w:r w:rsidRPr="003829A1">
              <w:rPr>
                <w:rFonts w:ascii="Times New Roman" w:hAnsi="Times New Roman" w:cs="Times New Roman"/>
                <w:b/>
                <w:color w:val="000000"/>
                <w:sz w:val="24"/>
                <w:szCs w:val="24"/>
                <w:lang w:val="lt-LT"/>
              </w:rPr>
              <w:t>naujų faktų atradimo atliekant taikomuosius profesinės veiklos tyrimus</w:t>
            </w:r>
            <w:r w:rsidRPr="003829A1">
              <w:rPr>
                <w:rFonts w:ascii="Times New Roman" w:hAnsi="Times New Roman" w:cs="Times New Roman"/>
                <w:color w:val="000000"/>
                <w:sz w:val="24"/>
                <w:szCs w:val="24"/>
                <w:lang w:val="lt-LT"/>
              </w:rPr>
              <w:t xml:space="preserve">, kūrybiškumo teorinių žinių ir mokslinių tyrimų rezultato taikymo.“. Siūlome VII kvalifikacijų lygio aprašą papildyti „Todėl veiklai atlikti riekia ekspertinio naujausių žinių profesinės veiklos ir jai artimose giminingose srityse vertinimo ir pritaikymo, </w:t>
            </w:r>
            <w:r w:rsidRPr="003829A1">
              <w:rPr>
                <w:rFonts w:ascii="Times New Roman" w:hAnsi="Times New Roman" w:cs="Times New Roman"/>
                <w:b/>
                <w:color w:val="000000"/>
                <w:sz w:val="24"/>
                <w:szCs w:val="24"/>
                <w:lang w:val="lt-LT"/>
              </w:rPr>
              <w:t>remiantis vykdomų fundamentinių tyrimų rezultatais</w:t>
            </w:r>
            <w:r w:rsidRPr="003829A1">
              <w:rPr>
                <w:rFonts w:ascii="Times New Roman" w:hAnsi="Times New Roman" w:cs="Times New Roman"/>
                <w:color w:val="000000"/>
                <w:sz w:val="24"/>
                <w:szCs w:val="24"/>
                <w:lang w:val="lt-LT"/>
              </w:rPr>
              <w:t xml:space="preserve"> ir naujų faktų atradimo atliekant taikomuosius profesinės veiklos tyrimus, kūrybiškumo teorinių žinių ir mokslinių tyrimų rezultatų taikymo.“</w:t>
            </w:r>
          </w:p>
        </w:tc>
        <w:tc>
          <w:tcPr>
            <w:tcW w:w="4111" w:type="dxa"/>
          </w:tcPr>
          <w:p w:rsidR="00976F5E" w:rsidRPr="003829A1" w:rsidRDefault="00976F5E" w:rsidP="00351623">
            <w:pPr>
              <w:spacing w:before="100" w:beforeAutospacing="1" w:after="100" w:afterAutospacing="1"/>
              <w:ind w:firstLine="567"/>
              <w:jc w:val="both"/>
              <w:rPr>
                <w:sz w:val="24"/>
                <w:szCs w:val="24"/>
              </w:rPr>
            </w:pPr>
            <w:r w:rsidRPr="003829A1">
              <w:rPr>
                <w:sz w:val="24"/>
                <w:szCs w:val="24"/>
              </w:rPr>
              <w:lastRenderedPageBreak/>
              <w:t xml:space="preserve">Atsižvelgta </w:t>
            </w:r>
            <w:r>
              <w:rPr>
                <w:sz w:val="24"/>
                <w:szCs w:val="24"/>
              </w:rPr>
              <w:t>iš dalies</w:t>
            </w:r>
            <w:r w:rsidRPr="003829A1">
              <w:rPr>
                <w:sz w:val="24"/>
                <w:szCs w:val="24"/>
              </w:rPr>
              <w:t>:</w:t>
            </w:r>
          </w:p>
          <w:p w:rsidR="00976F5E" w:rsidRPr="003829A1" w:rsidRDefault="00976F5E" w:rsidP="00351623">
            <w:pPr>
              <w:spacing w:before="100" w:beforeAutospacing="1" w:after="100" w:afterAutospacing="1"/>
              <w:ind w:firstLine="567"/>
              <w:jc w:val="both"/>
              <w:rPr>
                <w:sz w:val="24"/>
                <w:szCs w:val="24"/>
              </w:rPr>
            </w:pPr>
            <w:r w:rsidRPr="003829A1">
              <w:rPr>
                <w:sz w:val="24"/>
                <w:szCs w:val="24"/>
              </w:rPr>
              <w:t xml:space="preserve">„Todėl veiklai atlikti reikia ekspertinio naujausių žinių profesinės </w:t>
            </w:r>
            <w:r w:rsidRPr="003829A1">
              <w:rPr>
                <w:sz w:val="24"/>
                <w:szCs w:val="24"/>
              </w:rPr>
              <w:lastRenderedPageBreak/>
              <w:t xml:space="preserve">veiklos ir jai artimose ar giminingose srityse vertinimo ir pritaikymo, naujų faktų atradimo atliekant taikomuosius profesinės veiklos tyrimus, kūrybiško teorinių žinių ir </w:t>
            </w:r>
            <w:r w:rsidRPr="003829A1">
              <w:rPr>
                <w:b/>
                <w:sz w:val="24"/>
                <w:szCs w:val="24"/>
              </w:rPr>
              <w:t>naujausių</w:t>
            </w:r>
            <w:r w:rsidRPr="003829A1">
              <w:rPr>
                <w:sz w:val="24"/>
                <w:szCs w:val="24"/>
              </w:rPr>
              <w:t xml:space="preserve"> mokslinių tyrimų rezultatų taikymo.“</w:t>
            </w:r>
          </w:p>
        </w:tc>
      </w:tr>
      <w:tr w:rsidR="00976F5E" w:rsidRPr="003829A1" w:rsidTr="00351623">
        <w:tc>
          <w:tcPr>
            <w:tcW w:w="1743" w:type="dxa"/>
          </w:tcPr>
          <w:p w:rsidR="00976F5E" w:rsidRPr="003829A1" w:rsidRDefault="00976F5E" w:rsidP="00351623">
            <w:pPr>
              <w:spacing w:before="100" w:beforeAutospacing="1" w:after="100" w:afterAutospacing="1"/>
              <w:ind w:firstLine="567"/>
              <w:jc w:val="both"/>
              <w:rPr>
                <w:sz w:val="24"/>
                <w:szCs w:val="24"/>
              </w:rPr>
            </w:pPr>
            <w:r>
              <w:rPr>
                <w:sz w:val="24"/>
                <w:szCs w:val="24"/>
              </w:rPr>
              <w:lastRenderedPageBreak/>
              <w:t>LKDK</w:t>
            </w:r>
          </w:p>
        </w:tc>
        <w:tc>
          <w:tcPr>
            <w:tcW w:w="3922" w:type="dxa"/>
          </w:tcPr>
          <w:p w:rsidR="00976F5E" w:rsidRPr="003829A1" w:rsidRDefault="00976F5E" w:rsidP="00351623">
            <w:pPr>
              <w:pStyle w:val="ListParagraph"/>
              <w:ind w:left="0" w:firstLine="567"/>
              <w:jc w:val="both"/>
              <w:rPr>
                <w:rFonts w:ascii="Times New Roman" w:hAnsi="Times New Roman" w:cs="Times New Roman"/>
                <w:color w:val="000000"/>
                <w:sz w:val="24"/>
                <w:szCs w:val="24"/>
                <w:lang w:val="lt-LT"/>
              </w:rPr>
            </w:pPr>
            <w:r w:rsidRPr="003829A1">
              <w:rPr>
                <w:rFonts w:ascii="Times New Roman" w:hAnsi="Times New Roman" w:cs="Times New Roman"/>
                <w:color w:val="000000"/>
                <w:sz w:val="24"/>
                <w:szCs w:val="24"/>
                <w:lang w:val="lt-LT"/>
              </w:rPr>
              <w:t>Esama formuluotė:</w:t>
            </w:r>
          </w:p>
          <w:p w:rsidR="00976F5E" w:rsidRPr="003829A1" w:rsidRDefault="00976F5E" w:rsidP="00351623">
            <w:pPr>
              <w:pStyle w:val="ListParagraph"/>
              <w:ind w:left="0" w:firstLine="567"/>
              <w:jc w:val="both"/>
              <w:rPr>
                <w:rFonts w:ascii="Times New Roman" w:hAnsi="Times New Roman" w:cs="Times New Roman"/>
                <w:sz w:val="24"/>
                <w:szCs w:val="24"/>
                <w:lang w:val="lt-LT"/>
              </w:rPr>
            </w:pPr>
            <w:r w:rsidRPr="003829A1">
              <w:rPr>
                <w:rFonts w:ascii="Times New Roman" w:hAnsi="Times New Roman" w:cs="Times New Roman"/>
                <w:sz w:val="24"/>
                <w:szCs w:val="24"/>
                <w:lang w:val="lt-LT"/>
              </w:rPr>
              <w:t xml:space="preserve">8. </w:t>
            </w:r>
            <w:r w:rsidRPr="003829A1">
              <w:rPr>
                <w:rFonts w:ascii="Times New Roman" w:hAnsi="Times New Roman" w:cs="Times New Roman"/>
                <w:color w:val="000000"/>
                <w:sz w:val="24"/>
                <w:szCs w:val="24"/>
                <w:lang w:val="lt-LT"/>
              </w:rPr>
              <w:t>V lygio</w:t>
            </w:r>
            <w:r w:rsidRPr="003829A1">
              <w:rPr>
                <w:rFonts w:ascii="Times New Roman" w:hAnsi="Times New Roman" w:cs="Times New Roman"/>
                <w:sz w:val="24"/>
                <w:szCs w:val="24"/>
                <w:lang w:val="lt-LT"/>
              </w:rPr>
              <w:t xml:space="preserve"> kvalifikacijos įgyjamos baigus profesinio mokymo arba trumpųjų studijų programas &lt;...&gt;</w:t>
            </w:r>
          </w:p>
          <w:p w:rsidR="00976F5E" w:rsidRPr="003829A1" w:rsidRDefault="00976F5E" w:rsidP="00351623">
            <w:pPr>
              <w:pStyle w:val="ListParagraph"/>
              <w:ind w:left="0" w:firstLine="567"/>
              <w:jc w:val="both"/>
              <w:rPr>
                <w:rFonts w:ascii="Times New Roman" w:hAnsi="Times New Roman" w:cs="Times New Roman"/>
                <w:sz w:val="24"/>
                <w:szCs w:val="24"/>
                <w:lang w:val="lt-LT"/>
              </w:rPr>
            </w:pPr>
            <w:r w:rsidRPr="003829A1">
              <w:rPr>
                <w:rFonts w:ascii="Times New Roman" w:hAnsi="Times New Roman" w:cs="Times New Roman"/>
                <w:sz w:val="24"/>
                <w:szCs w:val="24"/>
                <w:lang w:val="lt-LT"/>
              </w:rPr>
              <w:t>Siūloma formuluotė:</w:t>
            </w:r>
          </w:p>
          <w:p w:rsidR="00976F5E" w:rsidRPr="003829A1" w:rsidRDefault="00976F5E" w:rsidP="00351623">
            <w:pPr>
              <w:pStyle w:val="ListParagraph"/>
              <w:ind w:left="0" w:firstLine="567"/>
              <w:jc w:val="both"/>
              <w:rPr>
                <w:rFonts w:ascii="Times New Roman" w:hAnsi="Times New Roman" w:cs="Times New Roman"/>
                <w:sz w:val="24"/>
                <w:szCs w:val="24"/>
                <w:lang w:val="lt-LT"/>
              </w:rPr>
            </w:pPr>
            <w:r w:rsidRPr="003829A1">
              <w:rPr>
                <w:rFonts w:ascii="Times New Roman" w:hAnsi="Times New Roman" w:cs="Times New Roman"/>
                <w:color w:val="000000"/>
                <w:sz w:val="24"/>
                <w:szCs w:val="24"/>
                <w:lang w:val="lt-LT"/>
              </w:rPr>
              <w:t>V lygio</w:t>
            </w:r>
            <w:r w:rsidRPr="003829A1">
              <w:rPr>
                <w:rFonts w:ascii="Times New Roman" w:hAnsi="Times New Roman" w:cs="Times New Roman"/>
                <w:sz w:val="24"/>
                <w:szCs w:val="24"/>
                <w:lang w:val="lt-LT"/>
              </w:rPr>
              <w:t xml:space="preserve"> kvalifikacijos įgyjamos baigus trumpųjų studijų programas &lt;...&gt;</w:t>
            </w:r>
          </w:p>
          <w:p w:rsidR="00976F5E" w:rsidRPr="003829A1" w:rsidRDefault="00976F5E" w:rsidP="00351623">
            <w:pPr>
              <w:pStyle w:val="ListParagraph"/>
              <w:ind w:left="0" w:firstLine="567"/>
              <w:jc w:val="both"/>
              <w:rPr>
                <w:rFonts w:ascii="Times New Roman" w:hAnsi="Times New Roman" w:cs="Times New Roman"/>
                <w:sz w:val="24"/>
                <w:szCs w:val="24"/>
                <w:lang w:val="lt-LT"/>
              </w:rPr>
            </w:pPr>
            <w:r w:rsidRPr="003829A1">
              <w:rPr>
                <w:rFonts w:ascii="Times New Roman" w:hAnsi="Times New Roman" w:cs="Times New Roman"/>
                <w:color w:val="000000"/>
                <w:sz w:val="24"/>
                <w:szCs w:val="24"/>
                <w:lang w:val="lt-LT"/>
              </w:rPr>
              <w:t>Argumentas:</w:t>
            </w:r>
          </w:p>
          <w:p w:rsidR="00976F5E" w:rsidRPr="003829A1" w:rsidRDefault="00976F5E" w:rsidP="00351623">
            <w:pPr>
              <w:ind w:firstLine="567"/>
              <w:jc w:val="both"/>
              <w:rPr>
                <w:rFonts w:eastAsia="Arial"/>
                <w:sz w:val="24"/>
                <w:szCs w:val="24"/>
              </w:rPr>
            </w:pPr>
            <w:r w:rsidRPr="003829A1">
              <w:rPr>
                <w:color w:val="201F1E"/>
                <w:sz w:val="24"/>
                <w:szCs w:val="24"/>
                <w:bdr w:val="none" w:sz="0" w:space="0" w:color="auto" w:frame="1"/>
                <w:shd w:val="clear" w:color="auto" w:fill="FFFFFF"/>
              </w:rPr>
              <w:t>Atsižvelgiant į aplinkybę, kad Lietuvos kvalifikacijų aprašas keičiamas siekiant įgyvendinti Lietuvos Respublikos mokslo ir studijų įstatymo Nr. XI-242 4, 10, 11, 48, 52, 53, 58, 59, 77, 78, 79 ir 82 straipsnių pakeitimo įstatymo Nr. XIII-1658, kuriuo įteisintos trumposios studijos, nuostatas.</w:t>
            </w:r>
          </w:p>
          <w:p w:rsidR="00976F5E" w:rsidRPr="003829A1" w:rsidRDefault="00976F5E" w:rsidP="00351623">
            <w:pPr>
              <w:ind w:firstLine="567"/>
              <w:jc w:val="both"/>
              <w:rPr>
                <w:rFonts w:eastAsia="Arial"/>
                <w:sz w:val="24"/>
                <w:szCs w:val="24"/>
              </w:rPr>
            </w:pPr>
            <w:r w:rsidRPr="003829A1">
              <w:rPr>
                <w:rFonts w:eastAsia="Arial"/>
                <w:sz w:val="24"/>
                <w:szCs w:val="24"/>
              </w:rPr>
              <w:t>Pagal MSĮ 4 str. 29 dalį</w:t>
            </w:r>
            <w:r w:rsidRPr="003829A1">
              <w:rPr>
                <w:rFonts w:eastAsia="Arial"/>
                <w:b/>
                <w:sz w:val="24"/>
                <w:szCs w:val="24"/>
              </w:rPr>
              <w:t xml:space="preserve"> </w:t>
            </w:r>
            <w:r w:rsidRPr="003829A1">
              <w:rPr>
                <w:rFonts w:eastAsia="Arial"/>
                <w:sz w:val="24"/>
                <w:szCs w:val="24"/>
              </w:rPr>
              <w:t>„Trumposios studijos</w:t>
            </w:r>
            <w:r w:rsidRPr="003829A1">
              <w:rPr>
                <w:rFonts w:eastAsia="Arial"/>
                <w:b/>
                <w:sz w:val="24"/>
                <w:szCs w:val="24"/>
              </w:rPr>
              <w:t xml:space="preserve"> </w:t>
            </w:r>
            <w:r w:rsidRPr="003829A1">
              <w:rPr>
                <w:rFonts w:eastAsia="Arial"/>
                <w:sz w:val="24"/>
                <w:szCs w:val="24"/>
              </w:rPr>
              <w:t xml:space="preserve">– aukštojo mokslo studijų pakopa profesinei kvalifikacijai pagal Lietuvos </w:t>
            </w:r>
            <w:r w:rsidRPr="003829A1">
              <w:rPr>
                <w:rFonts w:eastAsia="Arial"/>
                <w:sz w:val="24"/>
                <w:szCs w:val="24"/>
              </w:rPr>
              <w:lastRenderedPageBreak/>
              <w:t>kvalifikacijų sandaros penktąjį lygį įgyti“.</w:t>
            </w:r>
          </w:p>
          <w:p w:rsidR="00976F5E" w:rsidRPr="003829A1" w:rsidRDefault="00976F5E" w:rsidP="00351623">
            <w:pPr>
              <w:ind w:firstLine="567"/>
              <w:jc w:val="both"/>
              <w:rPr>
                <w:rFonts w:eastAsia="Arial"/>
                <w:sz w:val="24"/>
                <w:szCs w:val="24"/>
              </w:rPr>
            </w:pPr>
            <w:r w:rsidRPr="003829A1">
              <w:rPr>
                <w:rFonts w:eastAsia="Arial"/>
                <w:sz w:val="24"/>
                <w:szCs w:val="24"/>
              </w:rPr>
              <w:t>Pagal MSĮ 52 str. 3 dalį „</w:t>
            </w:r>
            <w:r w:rsidRPr="003829A1">
              <w:rPr>
                <w:color w:val="000000"/>
                <w:sz w:val="24"/>
                <w:szCs w:val="24"/>
              </w:rPr>
              <w:t>Asmenims, baigusiems trumpąsias studijas, kolegijos išduoda studijų pažymėjimą, suteikiantį teisę užsiimti profesine veikla ir (arba) tęsti studijas aukštojoje mokykloje“.</w:t>
            </w:r>
          </w:p>
          <w:p w:rsidR="00976F5E" w:rsidRPr="003829A1" w:rsidRDefault="00976F5E" w:rsidP="00351623">
            <w:pPr>
              <w:ind w:firstLine="567"/>
              <w:jc w:val="both"/>
              <w:rPr>
                <w:rFonts w:eastAsiaTheme="minorEastAsia"/>
                <w:sz w:val="24"/>
                <w:szCs w:val="24"/>
              </w:rPr>
            </w:pPr>
            <w:r w:rsidRPr="003829A1">
              <w:rPr>
                <w:rFonts w:eastAsia="Arial"/>
                <w:sz w:val="24"/>
                <w:szCs w:val="24"/>
              </w:rPr>
              <w:t>Pagal MSĮ 53 str. 19 dalį</w:t>
            </w:r>
            <w:r w:rsidRPr="003829A1">
              <w:rPr>
                <w:rFonts w:eastAsia="Arial"/>
                <w:b/>
                <w:sz w:val="24"/>
                <w:szCs w:val="24"/>
              </w:rPr>
              <w:t xml:space="preserve"> </w:t>
            </w:r>
            <w:r w:rsidRPr="003829A1">
              <w:rPr>
                <w:rFonts w:eastAsia="Arial"/>
                <w:sz w:val="24"/>
                <w:szCs w:val="24"/>
              </w:rPr>
              <w:t>„</w:t>
            </w:r>
            <w:r w:rsidRPr="003829A1">
              <w:rPr>
                <w:sz w:val="24"/>
                <w:szCs w:val="24"/>
              </w:rPr>
              <w:t xml:space="preserve">Kolegijos ir profesinio mokymo įstaigos gali vykdyti bendras trumpųjų studijų programas, suderinusios su Švietimo ir mokslo ministerija.“ </w:t>
            </w:r>
          </w:p>
          <w:p w:rsidR="00976F5E" w:rsidRPr="003829A1" w:rsidRDefault="00976F5E" w:rsidP="00351623">
            <w:pPr>
              <w:pStyle w:val="ListParagraph"/>
              <w:ind w:left="0" w:firstLine="567"/>
              <w:jc w:val="both"/>
              <w:rPr>
                <w:rFonts w:ascii="Times New Roman" w:hAnsi="Times New Roman" w:cs="Times New Roman"/>
                <w:sz w:val="24"/>
                <w:szCs w:val="24"/>
                <w:lang w:val="lt-LT"/>
              </w:rPr>
            </w:pPr>
            <w:r w:rsidRPr="003829A1">
              <w:rPr>
                <w:rFonts w:ascii="Times New Roman" w:hAnsi="Times New Roman" w:cs="Times New Roman"/>
                <w:sz w:val="24"/>
                <w:szCs w:val="24"/>
                <w:lang w:val="lt-LT"/>
              </w:rPr>
              <w:t xml:space="preserve">Be to, Nutarimo preambulėje remiamasi tik Švietimo įstatymu bei Mokslo ir studijų įstatymu. </w:t>
            </w:r>
          </w:p>
        </w:tc>
        <w:tc>
          <w:tcPr>
            <w:tcW w:w="4111" w:type="dxa"/>
          </w:tcPr>
          <w:p w:rsidR="00976F5E" w:rsidRPr="003829A1" w:rsidRDefault="00976F5E" w:rsidP="00351623">
            <w:pPr>
              <w:spacing w:before="100" w:beforeAutospacing="1" w:after="100" w:afterAutospacing="1"/>
              <w:ind w:firstLine="567"/>
              <w:jc w:val="both"/>
              <w:rPr>
                <w:sz w:val="24"/>
                <w:szCs w:val="24"/>
              </w:rPr>
            </w:pPr>
            <w:r w:rsidRPr="003829A1">
              <w:rPr>
                <w:sz w:val="24"/>
                <w:szCs w:val="24"/>
              </w:rPr>
              <w:lastRenderedPageBreak/>
              <w:t>Neatsižvelgta, nes yra V lygmens profesinio mokymo programų. Mokslo ir studijų įstatymas netaikomas profesinio mokymo programoms.</w:t>
            </w:r>
          </w:p>
        </w:tc>
      </w:tr>
      <w:tr w:rsidR="00976F5E" w:rsidRPr="003829A1" w:rsidTr="00351623">
        <w:tc>
          <w:tcPr>
            <w:tcW w:w="1743" w:type="dxa"/>
          </w:tcPr>
          <w:p w:rsidR="00976F5E" w:rsidRPr="003829A1" w:rsidRDefault="00976F5E" w:rsidP="00351623">
            <w:pPr>
              <w:spacing w:before="100" w:beforeAutospacing="1" w:after="100" w:afterAutospacing="1"/>
              <w:ind w:firstLine="567"/>
              <w:jc w:val="both"/>
              <w:rPr>
                <w:sz w:val="24"/>
                <w:szCs w:val="24"/>
              </w:rPr>
            </w:pPr>
          </w:p>
        </w:tc>
        <w:tc>
          <w:tcPr>
            <w:tcW w:w="3922" w:type="dxa"/>
          </w:tcPr>
          <w:p w:rsidR="00976F5E" w:rsidRPr="003829A1" w:rsidRDefault="00976F5E" w:rsidP="00351623">
            <w:pPr>
              <w:pStyle w:val="ListParagraph"/>
              <w:ind w:left="0" w:firstLine="567"/>
              <w:jc w:val="both"/>
              <w:rPr>
                <w:rFonts w:ascii="Times New Roman" w:hAnsi="Times New Roman" w:cs="Times New Roman"/>
                <w:color w:val="000000"/>
                <w:sz w:val="24"/>
                <w:szCs w:val="24"/>
                <w:lang w:val="lt-LT"/>
              </w:rPr>
            </w:pPr>
            <w:r w:rsidRPr="003829A1">
              <w:rPr>
                <w:rFonts w:ascii="Times New Roman" w:hAnsi="Times New Roman" w:cs="Times New Roman"/>
                <w:color w:val="000000"/>
                <w:sz w:val="24"/>
                <w:szCs w:val="24"/>
                <w:lang w:val="lt-LT"/>
              </w:rPr>
              <w:t>Esama formuluotė:</w:t>
            </w:r>
          </w:p>
          <w:p w:rsidR="00976F5E" w:rsidRPr="003829A1" w:rsidRDefault="00976F5E" w:rsidP="00351623">
            <w:pPr>
              <w:tabs>
                <w:tab w:val="left" w:pos="900"/>
                <w:tab w:val="left" w:pos="1260"/>
              </w:tabs>
              <w:ind w:firstLine="567"/>
              <w:jc w:val="both"/>
              <w:rPr>
                <w:sz w:val="24"/>
                <w:szCs w:val="24"/>
              </w:rPr>
            </w:pPr>
            <w:r w:rsidRPr="003829A1">
              <w:rPr>
                <w:sz w:val="24"/>
                <w:szCs w:val="24"/>
              </w:rPr>
              <w:t xml:space="preserve">9. VI lygio kvalifikacijos įgyjamos baigus pirmosios  pakopos, profesinių studijų programas, </w:t>
            </w:r>
            <w:r w:rsidRPr="003829A1">
              <w:rPr>
                <w:color w:val="000000"/>
                <w:sz w:val="24"/>
                <w:szCs w:val="24"/>
              </w:rPr>
              <w:t xml:space="preserve">ir (arba) </w:t>
            </w:r>
            <w:r w:rsidRPr="003829A1">
              <w:rPr>
                <w:sz w:val="24"/>
                <w:szCs w:val="24"/>
              </w:rPr>
              <w:t>iš profesinės veiklos patirties, ir (arba) mokantis savarankiškai.</w:t>
            </w:r>
          </w:p>
          <w:p w:rsidR="00976F5E" w:rsidRPr="003829A1" w:rsidRDefault="00976F5E" w:rsidP="00351623">
            <w:pPr>
              <w:pStyle w:val="ListParagraph"/>
              <w:ind w:left="0" w:firstLine="567"/>
              <w:jc w:val="both"/>
              <w:rPr>
                <w:rFonts w:ascii="Times New Roman" w:hAnsi="Times New Roman" w:cs="Times New Roman"/>
                <w:color w:val="000000"/>
                <w:sz w:val="24"/>
                <w:szCs w:val="24"/>
                <w:lang w:val="lt-LT"/>
              </w:rPr>
            </w:pPr>
            <w:r w:rsidRPr="003829A1">
              <w:rPr>
                <w:rFonts w:ascii="Times New Roman" w:hAnsi="Times New Roman" w:cs="Times New Roman"/>
                <w:color w:val="000000"/>
                <w:sz w:val="24"/>
                <w:szCs w:val="24"/>
                <w:lang w:val="lt-LT"/>
              </w:rPr>
              <w:t>Siūloma formuluotė:</w:t>
            </w:r>
          </w:p>
          <w:p w:rsidR="00976F5E" w:rsidRPr="003829A1" w:rsidRDefault="00976F5E" w:rsidP="00351623">
            <w:pPr>
              <w:tabs>
                <w:tab w:val="left" w:pos="900"/>
                <w:tab w:val="left" w:pos="1260"/>
              </w:tabs>
              <w:ind w:firstLine="567"/>
              <w:jc w:val="both"/>
              <w:rPr>
                <w:sz w:val="24"/>
                <w:szCs w:val="24"/>
              </w:rPr>
            </w:pPr>
            <w:r w:rsidRPr="003829A1">
              <w:rPr>
                <w:sz w:val="24"/>
                <w:szCs w:val="24"/>
              </w:rPr>
              <w:t xml:space="preserve">VI lygio kvalifikacijos įgyjamos baigus pirmosios pakopos studijų programas </w:t>
            </w:r>
            <w:r w:rsidRPr="003829A1">
              <w:rPr>
                <w:color w:val="000000"/>
                <w:sz w:val="24"/>
                <w:szCs w:val="24"/>
              </w:rPr>
              <w:t xml:space="preserve">ir (arba) </w:t>
            </w:r>
            <w:r w:rsidRPr="003829A1">
              <w:rPr>
                <w:sz w:val="24"/>
                <w:szCs w:val="24"/>
              </w:rPr>
              <w:t>iš profesinės veiklos patirties, ir (arba) mokantis savarankiškai.</w:t>
            </w:r>
          </w:p>
          <w:p w:rsidR="00976F5E" w:rsidRPr="003829A1" w:rsidRDefault="00976F5E" w:rsidP="00351623">
            <w:pPr>
              <w:pStyle w:val="ListParagraph"/>
              <w:ind w:left="0" w:firstLine="567"/>
              <w:jc w:val="both"/>
              <w:rPr>
                <w:rFonts w:ascii="Times New Roman" w:hAnsi="Times New Roman" w:cs="Times New Roman"/>
                <w:color w:val="000000"/>
                <w:sz w:val="24"/>
                <w:szCs w:val="24"/>
                <w:lang w:val="lt-LT"/>
              </w:rPr>
            </w:pPr>
            <w:r w:rsidRPr="003829A1">
              <w:rPr>
                <w:rFonts w:ascii="Times New Roman" w:hAnsi="Times New Roman" w:cs="Times New Roman"/>
                <w:color w:val="000000"/>
                <w:sz w:val="24"/>
                <w:szCs w:val="24"/>
                <w:lang w:val="lt-LT"/>
              </w:rPr>
              <w:t>Argumentai:</w:t>
            </w:r>
          </w:p>
          <w:p w:rsidR="00976F5E" w:rsidRPr="003829A1" w:rsidRDefault="00976F5E" w:rsidP="00351623">
            <w:pPr>
              <w:ind w:firstLine="567"/>
              <w:jc w:val="both"/>
              <w:rPr>
                <w:rFonts w:eastAsia="Arial"/>
                <w:sz w:val="24"/>
                <w:szCs w:val="24"/>
              </w:rPr>
            </w:pPr>
            <w:r w:rsidRPr="003829A1">
              <w:rPr>
                <w:rFonts w:eastAsia="Arial"/>
                <w:sz w:val="24"/>
                <w:szCs w:val="24"/>
              </w:rPr>
              <w:t xml:space="preserve">Pagal MSĮ 52 str. 10 dalį „Profesinės studijos yra medicinos, odontologijos, veterinarinės medicinos studijų krypčių </w:t>
            </w:r>
            <w:r w:rsidRPr="003829A1">
              <w:rPr>
                <w:rFonts w:eastAsia="Arial"/>
                <w:b/>
                <w:sz w:val="24"/>
                <w:szCs w:val="24"/>
              </w:rPr>
              <w:t>rezidentūra</w:t>
            </w:r>
            <w:r w:rsidRPr="003829A1">
              <w:rPr>
                <w:rFonts w:eastAsia="Arial"/>
                <w:sz w:val="24"/>
                <w:szCs w:val="24"/>
              </w:rPr>
              <w:t>, taip pat kitų Vyriausybės nustatytų krypčių studijos“</w:t>
            </w:r>
          </w:p>
          <w:p w:rsidR="00976F5E" w:rsidRPr="00C7033B" w:rsidRDefault="00976F5E" w:rsidP="00351623">
            <w:pPr>
              <w:ind w:firstLine="567"/>
              <w:jc w:val="both"/>
              <w:rPr>
                <w:rFonts w:eastAsia="Arial"/>
                <w:sz w:val="24"/>
                <w:szCs w:val="24"/>
              </w:rPr>
            </w:pPr>
            <w:r w:rsidRPr="003829A1">
              <w:rPr>
                <w:rFonts w:eastAsia="Arial"/>
                <w:sz w:val="24"/>
                <w:szCs w:val="24"/>
              </w:rPr>
              <w:t xml:space="preserve">Ar tikrai suteikiamas </w:t>
            </w:r>
            <w:r w:rsidRPr="003829A1">
              <w:rPr>
                <w:rFonts w:eastAsia="Arial"/>
                <w:b/>
                <w:sz w:val="24"/>
                <w:szCs w:val="24"/>
              </w:rPr>
              <w:t>profesinio bakalauro</w:t>
            </w:r>
            <w:r w:rsidRPr="003829A1">
              <w:rPr>
                <w:rFonts w:eastAsia="Arial"/>
                <w:sz w:val="24"/>
                <w:szCs w:val="24"/>
              </w:rPr>
              <w:t xml:space="preserve"> arba </w:t>
            </w:r>
            <w:r w:rsidRPr="003829A1">
              <w:rPr>
                <w:rFonts w:eastAsia="Arial"/>
                <w:b/>
                <w:sz w:val="24"/>
                <w:szCs w:val="24"/>
              </w:rPr>
              <w:t xml:space="preserve">bakalauro </w:t>
            </w:r>
            <w:r w:rsidRPr="003829A1">
              <w:rPr>
                <w:rFonts w:eastAsia="Arial"/>
                <w:sz w:val="24"/>
                <w:szCs w:val="24"/>
              </w:rPr>
              <w:t xml:space="preserve">kvalifikacinis laipsnis baigusiems </w:t>
            </w:r>
            <w:r w:rsidRPr="003829A1">
              <w:rPr>
                <w:rFonts w:eastAsia="Arial"/>
                <w:b/>
                <w:sz w:val="24"/>
                <w:szCs w:val="24"/>
              </w:rPr>
              <w:t>profesines studijas</w:t>
            </w:r>
            <w:r w:rsidRPr="003829A1">
              <w:rPr>
                <w:rFonts w:eastAsia="Arial"/>
                <w:sz w:val="24"/>
                <w:szCs w:val="24"/>
              </w:rPr>
              <w:t>?</w:t>
            </w:r>
          </w:p>
        </w:tc>
        <w:tc>
          <w:tcPr>
            <w:tcW w:w="4111" w:type="dxa"/>
          </w:tcPr>
          <w:p w:rsidR="00976F5E" w:rsidRPr="003829A1" w:rsidRDefault="00976F5E" w:rsidP="00351623">
            <w:pPr>
              <w:spacing w:before="100" w:beforeAutospacing="1" w:after="100" w:afterAutospacing="1"/>
              <w:ind w:firstLine="567"/>
              <w:jc w:val="both"/>
              <w:rPr>
                <w:sz w:val="24"/>
                <w:szCs w:val="24"/>
              </w:rPr>
            </w:pPr>
            <w:r w:rsidRPr="003829A1">
              <w:rPr>
                <w:sz w:val="24"/>
                <w:szCs w:val="24"/>
              </w:rPr>
              <w:t>Neatsižvelgta, nes 9 punkte kalbama apie profesines studijas, kurias baigus įgyjama pedagogo kvalifikacija (pagal MSĮ „&lt;...&gt;</w:t>
            </w:r>
            <w:r w:rsidRPr="003829A1">
              <w:rPr>
                <w:rFonts w:eastAsia="Arial"/>
                <w:sz w:val="24"/>
                <w:szCs w:val="24"/>
              </w:rPr>
              <w:t>taip pat kitų Vyriausybės nustatytų krypčių studijos</w:t>
            </w:r>
            <w:r w:rsidRPr="003829A1">
              <w:rPr>
                <w:sz w:val="24"/>
                <w:szCs w:val="24"/>
              </w:rPr>
              <w:t>“), kuri prilyginama VI kvalifikacijų lygmeniui. Manytina, kad</w:t>
            </w:r>
            <w:r>
              <w:rPr>
                <w:sz w:val="24"/>
                <w:szCs w:val="24"/>
              </w:rPr>
              <w:t>,</w:t>
            </w:r>
            <w:r w:rsidRPr="003829A1">
              <w:rPr>
                <w:sz w:val="24"/>
                <w:szCs w:val="24"/>
              </w:rPr>
              <w:t xml:space="preserve"> siekiant teisinio aiškumo, profesines studijas būtina palikti kvalifikacijų sandaroje.</w:t>
            </w:r>
          </w:p>
        </w:tc>
      </w:tr>
    </w:tbl>
    <w:p w:rsidR="00976F5E" w:rsidRDefault="00976F5E"/>
    <w:sectPr w:rsidR="00976F5E" w:rsidSect="00976F5E">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478" w:rsidRDefault="00431478" w:rsidP="00976F5E">
      <w:pPr>
        <w:spacing w:after="0" w:line="240" w:lineRule="auto"/>
      </w:pPr>
      <w:r>
        <w:separator/>
      </w:r>
    </w:p>
  </w:endnote>
  <w:endnote w:type="continuationSeparator" w:id="0">
    <w:p w:rsidR="00431478" w:rsidRDefault="00431478" w:rsidP="0097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Arial"/>
    <w:charset w:val="BA"/>
    <w:family w:val="swiss"/>
    <w:pitch w:val="variable"/>
    <w:sig w:usb0="8000002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478" w:rsidRDefault="00431478" w:rsidP="00976F5E">
      <w:pPr>
        <w:spacing w:after="0" w:line="240" w:lineRule="auto"/>
      </w:pPr>
      <w:r>
        <w:separator/>
      </w:r>
    </w:p>
  </w:footnote>
  <w:footnote w:type="continuationSeparator" w:id="0">
    <w:p w:rsidR="00431478" w:rsidRDefault="00431478" w:rsidP="00976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777985"/>
      <w:docPartObj>
        <w:docPartGallery w:val="Page Numbers (Top of Page)"/>
        <w:docPartUnique/>
      </w:docPartObj>
    </w:sdtPr>
    <w:sdtEndPr/>
    <w:sdtContent>
      <w:p w:rsidR="00976F5E" w:rsidRDefault="00976F5E">
        <w:pPr>
          <w:pStyle w:val="Header"/>
          <w:jc w:val="center"/>
        </w:pPr>
        <w:r>
          <w:fldChar w:fldCharType="begin"/>
        </w:r>
        <w:r>
          <w:instrText>PAGE   \* MERGEFORMAT</w:instrText>
        </w:r>
        <w:r>
          <w:fldChar w:fldCharType="separate"/>
        </w:r>
        <w:r w:rsidR="00534814">
          <w:rPr>
            <w:noProof/>
          </w:rPr>
          <w:t>2</w:t>
        </w:r>
        <w:r>
          <w:fldChar w:fldCharType="end"/>
        </w:r>
      </w:p>
    </w:sdtContent>
  </w:sdt>
  <w:p w:rsidR="00976F5E" w:rsidRDefault="00976F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8C6E7C"/>
    <w:multiLevelType w:val="hybridMultilevel"/>
    <w:tmpl w:val="F13E58BA"/>
    <w:lvl w:ilvl="0" w:tplc="C24A29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5E"/>
    <w:rsid w:val="00431478"/>
    <w:rsid w:val="00534814"/>
    <w:rsid w:val="008A3CCB"/>
    <w:rsid w:val="00976F5E"/>
    <w:rsid w:val="00C44F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A684"/>
  <w15:chartTrackingRefBased/>
  <w15:docId w15:val="{2E4B0BCA-13FE-42DC-9553-8A3E3453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F5E"/>
    <w:pPr>
      <w:overflowPunct w:val="0"/>
      <w:autoSpaceDE w:val="0"/>
      <w:autoSpaceDN w:val="0"/>
      <w:adjustRightInd w:val="0"/>
      <w:spacing w:after="0" w:line="240" w:lineRule="auto"/>
      <w:ind w:left="720"/>
      <w:textAlignment w:val="baseline"/>
    </w:pPr>
    <w:rPr>
      <w:rFonts w:ascii="HelveticaLT" w:eastAsia="Times New Roman" w:hAnsi="HelveticaLT" w:cs="HelveticaLT"/>
      <w:sz w:val="20"/>
      <w:szCs w:val="20"/>
      <w:lang w:val="en-GB"/>
    </w:rPr>
  </w:style>
  <w:style w:type="table" w:styleId="TableGrid">
    <w:name w:val="Table Grid"/>
    <w:basedOn w:val="TableNormal"/>
    <w:uiPriority w:val="39"/>
    <w:rsid w:val="00976F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F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6F5E"/>
  </w:style>
  <w:style w:type="paragraph" w:styleId="Footer">
    <w:name w:val="footer"/>
    <w:basedOn w:val="Normal"/>
    <w:link w:val="FooterChar"/>
    <w:uiPriority w:val="99"/>
    <w:unhideWhenUsed/>
    <w:rsid w:val="00976F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9B193-79B8-4CB5-A717-F1F991510D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B66E9E-0490-4F4D-8287-70BBD4E7F4E9}">
  <ds:schemaRefs>
    <ds:schemaRef ds:uri="http://schemas.microsoft.com/sharepoint/v3/contenttype/forms"/>
  </ds:schemaRefs>
</ds:datastoreItem>
</file>

<file path=customXml/itemProps3.xml><?xml version="1.0" encoding="utf-8"?>
<ds:datastoreItem xmlns:ds="http://schemas.openxmlformats.org/officeDocument/2006/customXml" ds:itemID="{4E912AB0-FD3F-450B-A025-C638F4CC5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3564</Words>
  <Characters>2033</Characters>
  <Application>Microsoft Office Word</Application>
  <DocSecurity>4</DocSecurity>
  <Lines>16</Lines>
  <Paragraphs>11</Paragraphs>
  <ScaleCrop>false</ScaleCrop>
  <Company>HP</Company>
  <LinksUpToDate>false</LinksUpToDate>
  <CharactersWithSpaces>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07929bc9-3ded-4b78-8080-7b11c926901e</dc:title>
  <dc:subject/>
  <dc:creator>Remeisienė Eglė</dc:creator>
  <cp:keywords/>
  <dc:description/>
  <cp:lastModifiedBy>Edita Karaliūtė</cp:lastModifiedBy>
  <cp:revision>2</cp:revision>
  <dcterms:created xsi:type="dcterms:W3CDTF">2019-07-23T05:39:00Z</dcterms:created>
  <dcterms:modified xsi:type="dcterms:W3CDTF">2019-07-23T05:39:00Z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