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7F" w:rsidRDefault="00BC6C97" w:rsidP="00634D37">
      <w:pPr>
        <w:pStyle w:val="Pavadinimas"/>
      </w:pPr>
      <w:bookmarkStart w:id="0" w:name="_GoBack"/>
      <w:bookmarkEnd w:id="0"/>
      <w:r w:rsidRPr="00BC6C97">
        <w:rPr>
          <w:caps/>
        </w:rPr>
        <w:t>Lietuvos Respublikos Vyriausybės nutarimo „Dėl sutikimo reorganizuoti Europos teisės departamentą prie Lietuvos Respublikos teisingumo ministerijos“ projekt</w:t>
      </w:r>
      <w:r>
        <w:rPr>
          <w:caps/>
        </w:rPr>
        <w:t>o</w:t>
      </w:r>
      <w:r w:rsidRPr="00BC6C97">
        <w:rPr>
          <w:caps/>
        </w:rPr>
        <w:t xml:space="preserve"> (toliau – Nutarimo projektas)</w:t>
      </w:r>
      <w:r>
        <w:t xml:space="preserve"> </w:t>
      </w:r>
      <w:r w:rsidR="003C017F">
        <w:t>DERINIMO PAŽYMA</w:t>
      </w:r>
    </w:p>
    <w:p w:rsidR="003C017F" w:rsidRDefault="003C017F" w:rsidP="007C63C2">
      <w:pPr>
        <w:pStyle w:val="Pavadinimas"/>
        <w:jc w:val="both"/>
        <w:rPr>
          <w:b w:val="0"/>
          <w:bCs w:val="0"/>
        </w:rPr>
      </w:pPr>
    </w:p>
    <w:p w:rsidR="00634D37" w:rsidRPr="00634D37" w:rsidRDefault="00634D37" w:rsidP="00634D37">
      <w:pPr>
        <w:pStyle w:val="Pavadinimas"/>
        <w:ind w:firstLine="720"/>
        <w:jc w:val="both"/>
        <w:rPr>
          <w:b w:val="0"/>
          <w:bCs w:val="0"/>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0"/>
        <w:gridCol w:w="4970"/>
        <w:gridCol w:w="7200"/>
      </w:tblGrid>
      <w:tr w:rsidR="003C017F" w:rsidTr="00EC0AE1">
        <w:tblPrEx>
          <w:tblCellMar>
            <w:top w:w="0" w:type="dxa"/>
            <w:bottom w:w="0" w:type="dxa"/>
          </w:tblCellMar>
        </w:tblPrEx>
        <w:trPr>
          <w:trHeight w:val="516"/>
        </w:trPr>
        <w:tc>
          <w:tcPr>
            <w:tcW w:w="720" w:type="dxa"/>
          </w:tcPr>
          <w:p w:rsidR="003C017F" w:rsidRDefault="003C017F">
            <w:pPr>
              <w:pStyle w:val="Pavadinimas"/>
            </w:pPr>
            <w:r>
              <w:rPr>
                <w:b w:val="0"/>
                <w:bCs w:val="0"/>
              </w:rPr>
              <w:t>Eil. Nr.</w:t>
            </w:r>
          </w:p>
        </w:tc>
        <w:tc>
          <w:tcPr>
            <w:tcW w:w="1690" w:type="dxa"/>
          </w:tcPr>
          <w:p w:rsidR="003C017F" w:rsidRDefault="003C017F">
            <w:pPr>
              <w:pStyle w:val="Pavadinimas"/>
              <w:rPr>
                <w:b w:val="0"/>
                <w:bCs w:val="0"/>
              </w:rPr>
            </w:pPr>
            <w:r>
              <w:rPr>
                <w:b w:val="0"/>
                <w:bCs w:val="0"/>
              </w:rPr>
              <w:t>Institucijos pavadinimas</w:t>
            </w:r>
          </w:p>
        </w:tc>
        <w:tc>
          <w:tcPr>
            <w:tcW w:w="4970" w:type="dxa"/>
          </w:tcPr>
          <w:p w:rsidR="003C017F" w:rsidRDefault="003C017F">
            <w:pPr>
              <w:pStyle w:val="Pavadinimas"/>
              <w:rPr>
                <w:b w:val="0"/>
                <w:bCs w:val="0"/>
              </w:rPr>
            </w:pPr>
            <w:r>
              <w:rPr>
                <w:b w:val="0"/>
                <w:bCs w:val="0"/>
              </w:rPr>
              <w:t>Pastabos ir pasiūlymai</w:t>
            </w:r>
          </w:p>
        </w:tc>
        <w:tc>
          <w:tcPr>
            <w:tcW w:w="7200" w:type="dxa"/>
          </w:tcPr>
          <w:p w:rsidR="003C017F" w:rsidRDefault="003C017F">
            <w:pPr>
              <w:pStyle w:val="Pavadinimas"/>
              <w:rPr>
                <w:b w:val="0"/>
                <w:bCs w:val="0"/>
              </w:rPr>
            </w:pPr>
            <w:r>
              <w:rPr>
                <w:b w:val="0"/>
                <w:bCs w:val="0"/>
              </w:rPr>
              <w:t>Argumentai, kodėl į pastabas ir pasiūlymus neatsižvelgta</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val="restart"/>
          </w:tcPr>
          <w:p w:rsidR="007F7E72" w:rsidRDefault="007F7E72" w:rsidP="003B6E66">
            <w:pPr>
              <w:pStyle w:val="Pavadinimas"/>
              <w:rPr>
                <w:b w:val="0"/>
                <w:bCs w:val="0"/>
              </w:rPr>
            </w:pPr>
            <w:r>
              <w:rPr>
                <w:b w:val="0"/>
                <w:bCs w:val="0"/>
              </w:rPr>
              <w:t>Lietuvos Respublikos aplinkos ministerija</w:t>
            </w:r>
          </w:p>
          <w:p w:rsidR="007F7E72" w:rsidRDefault="007F7E72" w:rsidP="00BC6C97">
            <w:pPr>
              <w:pStyle w:val="Pavadinimas"/>
              <w:rPr>
                <w:b w:val="0"/>
                <w:bCs w:val="0"/>
              </w:rPr>
            </w:pPr>
            <w:r>
              <w:rPr>
                <w:b w:val="0"/>
                <w:bCs w:val="0"/>
              </w:rPr>
              <w:t>(2019-02-01 raštas Nr. (53-1)-D8-449</w:t>
            </w:r>
          </w:p>
        </w:tc>
        <w:tc>
          <w:tcPr>
            <w:tcW w:w="4970" w:type="dxa"/>
          </w:tcPr>
          <w:p w:rsidR="007F7E72" w:rsidRPr="003B6E66" w:rsidRDefault="007F7E72" w:rsidP="00634D37">
            <w:pPr>
              <w:pStyle w:val="Pavadinimas"/>
              <w:tabs>
                <w:tab w:val="left" w:pos="317"/>
              </w:tabs>
              <w:ind w:left="34"/>
              <w:jc w:val="both"/>
              <w:rPr>
                <w:b w:val="0"/>
                <w:bCs w:val="0"/>
              </w:rPr>
            </w:pPr>
            <w:r w:rsidRPr="007F7E72">
              <w:rPr>
                <w:b w:val="0"/>
                <w:bCs w:val="0"/>
              </w:rPr>
              <w:t>1. Manome, kad pasiūlymas Europos teisės departamentą (toliau – ETD) reorganizuoti jungimo būdu, prijungiant jį prie Lietuvos Respublikos teisingumo ministerijos, nėra tinkamai įvertintas ir pagrįstas. Šiuo metu ETD organizuoja darbus ir bendradarbiauja su institucijomis ypač efektyviai ir sklandžiai. ETD funkcijos nuosekliai susijusios su visu ES teisės įgyvendinimo procesu – nuo ES teisės akto projekto vertinimo iki priimto teisės akto įgyvendinimo ir, prireikus, atstovavimo Europos Sąjungos Teisingumo Teisme. Visuose proceso etapuose ETD teikia itin kvalifikuotą ir operatyvią pagalbą ministerijoms. Efektyvus ETD darbas prisideda prie to, kad Lietuva yra viena pažangiausių ES valstybių narių pagal ES teisės įgyvendinimo rodiklius. Abejojame, ar priimant sprendimą dėl ETD reorganizavimo buvo tinkamai atliktas poveikio, kaštų ir naudos vertinimas, ar buvo įvertinta kitų ES valstybių narių geroji patirtis.</w:t>
            </w:r>
          </w:p>
        </w:tc>
        <w:tc>
          <w:tcPr>
            <w:tcW w:w="7200" w:type="dxa"/>
          </w:tcPr>
          <w:p w:rsidR="009D0A58" w:rsidRDefault="007F7E72" w:rsidP="009D0A58">
            <w:pPr>
              <w:pStyle w:val="Pavadinimas"/>
              <w:jc w:val="both"/>
              <w:rPr>
                <w:b w:val="0"/>
              </w:rPr>
            </w:pPr>
            <w:r>
              <w:rPr>
                <w:b w:val="0"/>
                <w:u w:val="single"/>
              </w:rPr>
              <w:t>Neatsižvelgta.</w:t>
            </w:r>
            <w:r w:rsidRPr="00710AD3">
              <w:rPr>
                <w:b w:val="0"/>
              </w:rPr>
              <w:t xml:space="preserve"> </w:t>
            </w:r>
            <w:r>
              <w:rPr>
                <w:b w:val="0"/>
              </w:rPr>
              <w:t xml:space="preserve">Pastebėtina, kad </w:t>
            </w:r>
            <w:r w:rsidR="009D0A58">
              <w:rPr>
                <w:b w:val="0"/>
              </w:rPr>
              <w:t xml:space="preserve">Nutarimo projekto lydraštyje yra pateikiama išsami informacija apie Europos teisės departamento prie Lietuvos Respublikos teisingumo ministerijos (toliau – Europos teisės departamentas) reorganizavimo priežastis ir pagrįstumą. </w:t>
            </w:r>
            <w:r w:rsidR="009D0A58" w:rsidRPr="009D0A58">
              <w:rPr>
                <w:b w:val="0"/>
              </w:rPr>
              <w:t>Prijungus Europos teisės departamentą prie Teisingumo ministerijos bus sumažintas Teisingumo ministerijai pavaldžių biudžetinių įstaigų skaičius, optimizuota biudžetinių įstaigų veikla, racionaliau naudojami materialiniai, finansiniai ir žmogiškieji ištekliai.</w:t>
            </w:r>
            <w:r w:rsidR="009D0A58">
              <w:rPr>
                <w:b w:val="0"/>
              </w:rPr>
              <w:t xml:space="preserve"> </w:t>
            </w:r>
          </w:p>
          <w:p w:rsidR="009D0A58" w:rsidRPr="009D0A58" w:rsidRDefault="009D0A58" w:rsidP="009D0A58">
            <w:pPr>
              <w:pStyle w:val="Pavadinimas"/>
              <w:jc w:val="both"/>
              <w:rPr>
                <w:b w:val="0"/>
              </w:rPr>
            </w:pPr>
            <w:r w:rsidRPr="009D0A58">
              <w:rPr>
                <w:b w:val="0"/>
              </w:rPr>
              <w:t xml:space="preserve">Šiuo metu Europos teisės departamentui nustatytas didžiausias leistinas pareigybių skaičius – 17 pareigybių. </w:t>
            </w:r>
            <w:r w:rsidRPr="00A03561">
              <w:t>Šis pareigybių skaičius neatitinka Viešojo sektoriaus įstaigų sistemos tobulinimo gairių</w:t>
            </w:r>
            <w:r w:rsidRPr="009D0A58">
              <w:rPr>
                <w:b w:val="0"/>
              </w:rPr>
              <w:t xml:space="preserve">, patvirtintų 2018 m. gegužės 16 d. Vyriausybės nutarimu Nr. 495 „Dėl Viešojo sektoriaus įstaigų sistemos tobulinimo gairių ir Viešojo sektoriaus įstaigų sistemos tobulinimo gairių įgyvendinimo veiksmų plano patvirtinimo“ (toliau – Gairės), 15 punkte numatyto siekio, kad viešojo sektoriaus įstaigų sistemoje nebūtų biudžetinių įstaigų, turinčių patvirtintą mažesnį nei 20 valstybės tarnautojų ir (ar) darbuotojų, dirbančių pagal darbo sutartis, pareigybių skaičių. </w:t>
            </w:r>
          </w:p>
          <w:p w:rsidR="009D0A58" w:rsidRPr="009D0A58" w:rsidRDefault="009D0A58" w:rsidP="009D0A58">
            <w:pPr>
              <w:pStyle w:val="Pavadinimas"/>
              <w:jc w:val="both"/>
              <w:rPr>
                <w:b w:val="0"/>
              </w:rPr>
            </w:pPr>
            <w:r w:rsidRPr="009D0A58">
              <w:rPr>
                <w:b w:val="0"/>
              </w:rPr>
              <w:t xml:space="preserve">Pažymėtina, kad Europos teisės departamento administracijos struktūroje yra 7 vadovaujančios pareigybės: įstaigos vadovas, du vadovo pavaduotojai ir 4 skyrių vedėjai. Santykis tarp vadovaujančių darbuotojų ir kitas funkcijas atliekančių darbuotojų (pagal pareigybių skaičių) yra 1:2. Tai neatitinka Gairių 29.1, 29.2 papunkčių, kurie numato 1 vadovo pavaduotojo pareigybę, kai įstaigos pareigybių skaičius neviršija 100, taip pat, kad vienai vadovaujančiai pareigybei turėtų tekti ne mažiau kaip 5,5 kitų darbuotojų pareigybės (Europos teisės departamente tenka </w:t>
            </w:r>
            <w:r w:rsidR="00D35CB6">
              <w:rPr>
                <w:b w:val="0"/>
              </w:rPr>
              <w:t xml:space="preserve">mažiau nei </w:t>
            </w:r>
            <w:r w:rsidRPr="009D0A58">
              <w:rPr>
                <w:b w:val="0"/>
              </w:rPr>
              <w:t>2 pareigybės).</w:t>
            </w:r>
          </w:p>
          <w:p w:rsidR="007F7E72" w:rsidRDefault="009D0A58" w:rsidP="009D0A58">
            <w:pPr>
              <w:pStyle w:val="Pavadinimas"/>
              <w:jc w:val="both"/>
              <w:rPr>
                <w:b w:val="0"/>
              </w:rPr>
            </w:pPr>
            <w:r w:rsidRPr="009D0A58">
              <w:rPr>
                <w:b w:val="0"/>
              </w:rPr>
              <w:lastRenderedPageBreak/>
              <w:t xml:space="preserve">Taip pat pažymėtina, kad Europos teisės departamento vykdomos </w:t>
            </w:r>
            <w:r w:rsidRPr="00A03561">
              <w:t xml:space="preserve">funkcijos iš esmės yra giminingos Teisingumo ministerijos </w:t>
            </w:r>
            <w:r w:rsidR="00A03561">
              <w:t xml:space="preserve">vykdomoms </w:t>
            </w:r>
            <w:r w:rsidRPr="00A03561">
              <w:t>funkcijoms</w:t>
            </w:r>
            <w:r w:rsidR="00A03561">
              <w:t xml:space="preserve"> </w:t>
            </w:r>
            <w:r w:rsidR="00A03561" w:rsidRPr="00CD1EA0">
              <w:rPr>
                <w:b w:val="0"/>
              </w:rPr>
              <w:t>(</w:t>
            </w:r>
            <w:r w:rsidR="00CD1EA0" w:rsidRPr="00CD1EA0">
              <w:rPr>
                <w:b w:val="0"/>
              </w:rPr>
              <w:t xml:space="preserve">žr. </w:t>
            </w:r>
            <w:r w:rsidR="00A03561" w:rsidRPr="00CD1EA0">
              <w:rPr>
                <w:b w:val="0"/>
              </w:rPr>
              <w:t>Europos teisės departamento nuostatų, patvirtintų Lietuvos Respublikos teisingumo ministro 2014 m. liepos 2 d. įsakymu Nr. 1R-204 „Dėl Europos teisės departamento prie Lietuvos Respublikos teisingumo ministerijos nuostatų patvirtinimo“, 8.1-8.6 papunkčiu</w:t>
            </w:r>
            <w:r w:rsidR="00CD1EA0" w:rsidRPr="00CD1EA0">
              <w:rPr>
                <w:b w:val="0"/>
              </w:rPr>
              <w:t>s</w:t>
            </w:r>
            <w:r w:rsidR="00A03561" w:rsidRPr="00CD1EA0">
              <w:rPr>
                <w:b w:val="0"/>
              </w:rPr>
              <w:t xml:space="preserve"> </w:t>
            </w:r>
            <w:r w:rsidR="00CD1EA0" w:rsidRPr="00CD1EA0">
              <w:rPr>
                <w:b w:val="0"/>
              </w:rPr>
              <w:t>ir</w:t>
            </w:r>
            <w:r w:rsidR="00A03561" w:rsidRPr="00CD1EA0">
              <w:rPr>
                <w:b w:val="0"/>
              </w:rPr>
              <w:t xml:space="preserve"> Teisingumo ministerijos nuostatų, patvirtintų Lietuvos Respublikos Vyriausybės 1998 m. liepos 9 d. nutarimu Nr. 851 „Dėl Lietuvos Respublikos teisingumo ministerijos nuostatų patvirtinimo“, 8.3, 8.4, 8.6–8.8, 8.20, 8.25, 8.26 papunkčiu</w:t>
            </w:r>
            <w:r w:rsidR="00CD1EA0" w:rsidRPr="00CD1EA0">
              <w:rPr>
                <w:b w:val="0"/>
              </w:rPr>
              <w:t>s)</w:t>
            </w:r>
            <w:r w:rsidRPr="009D0A58">
              <w:rPr>
                <w:b w:val="0"/>
              </w:rPr>
              <w:t xml:space="preserve">. Įvertinus ir tai, kad Europos teisės departamentas </w:t>
            </w:r>
            <w:r w:rsidRPr="00A03561">
              <w:t>veikia teisingumo ministrui pavestose valdymo srityse</w:t>
            </w:r>
            <w:r w:rsidRPr="009D0A58">
              <w:rPr>
                <w:b w:val="0"/>
              </w:rPr>
              <w:t xml:space="preserve"> (nacionalinės teisinės sistemos plėtra; tarptautinis teisinis bendradarbiavimas ir atstovavimo Lietuvos Respublikos interesams tarptautiniuose teismuose koordinavimas (užtikrinimas)), Europos teisės departamento funkcijos galėtų būti perduodamos vykdyti Teisingumo ministerijai.</w:t>
            </w:r>
          </w:p>
          <w:p w:rsidR="00A03561" w:rsidRPr="005B2D98" w:rsidRDefault="00CD1EA0" w:rsidP="00CD1EA0">
            <w:pPr>
              <w:pStyle w:val="Pavadinimas"/>
              <w:jc w:val="both"/>
              <w:rPr>
                <w:b w:val="0"/>
              </w:rPr>
            </w:pPr>
            <w:r>
              <w:rPr>
                <w:b w:val="0"/>
              </w:rPr>
              <w:t xml:space="preserve">Taip pat Nutarimo projekto lydraštyje išsamiai aprašyta laukiama reorganizavimo nauda. Be kita ko </w:t>
            </w:r>
            <w:r>
              <w:rPr>
                <w:b w:val="0"/>
                <w:bCs w:val="0"/>
              </w:rPr>
              <w:t>n</w:t>
            </w:r>
            <w:r w:rsidR="00A03561" w:rsidRPr="00A03561">
              <w:rPr>
                <w:b w:val="0"/>
                <w:bCs w:val="0"/>
              </w:rPr>
              <w:t xml:space="preserve">umatoma, kad dėl reorganizavimo sutaupytas darbo užmokesčio lėšas </w:t>
            </w:r>
            <w:r>
              <w:rPr>
                <w:b w:val="0"/>
                <w:bCs w:val="0"/>
              </w:rPr>
              <w:t xml:space="preserve">bus </w:t>
            </w:r>
            <w:r w:rsidR="00A03561" w:rsidRPr="00A03561">
              <w:rPr>
                <w:b w:val="0"/>
                <w:bCs w:val="0"/>
              </w:rPr>
              <w:t xml:space="preserve">galima panaudoti siekiant išlaikyti ir motyvuoti esamus aukštos kvalifikacijos darbuotojus, šiuo metu dirbančius tiek </w:t>
            </w:r>
            <w:r w:rsidR="00A03561">
              <w:rPr>
                <w:b w:val="0"/>
                <w:bCs w:val="0"/>
              </w:rPr>
              <w:t>Europos teisės departamente</w:t>
            </w:r>
            <w:r w:rsidR="00A03561" w:rsidRPr="00A03561">
              <w:rPr>
                <w:b w:val="0"/>
                <w:bCs w:val="0"/>
              </w:rPr>
              <w:t>, tiek Teisingumo ministerijoje, tuo pačiu užtikrinant galimybę išnaudoti sukauptą patirtį, žinias ir kompetenciją bei užtikrinti vykdomų funkcijų tęstinumą.</w:t>
            </w:r>
          </w:p>
          <w:p w:rsidR="00CD1EA0" w:rsidRDefault="00CD1EA0" w:rsidP="00CD1EA0">
            <w:pPr>
              <w:pStyle w:val="Pavadinimas"/>
              <w:jc w:val="both"/>
              <w:rPr>
                <w:b w:val="0"/>
              </w:rPr>
            </w:pPr>
            <w:r>
              <w:rPr>
                <w:b w:val="0"/>
              </w:rPr>
              <w:t>Pažymėtina, kad po</w:t>
            </w:r>
            <w:r w:rsidRPr="00CD1EA0">
              <w:rPr>
                <w:b w:val="0"/>
              </w:rPr>
              <w:t xml:space="preserve"> reorganizavimo esamas Europos teisės departamento funkcijas vykdys savarankiškas Teisingumo ministerijos administracijos padalinys</w:t>
            </w:r>
            <w:r>
              <w:rPr>
                <w:b w:val="0"/>
              </w:rPr>
              <w:t>, į kurį bus perkeliami Europos teisės departamento darbuotojai. Ministerijos vertinimu, esamų 3 pareigybių Europos teisės departamente atsisakymas nepadarys neigiamo poveikio Europos teisės departamento vykdomų funkcijų atlikimo efektyvumui ir sklandumui</w:t>
            </w:r>
            <w:r w:rsidR="00D35CB6">
              <w:rPr>
                <w:b w:val="0"/>
              </w:rPr>
              <w:t>, nes šios pareigybės nėra ekspertines funkcijas vykdančios pareigybės</w:t>
            </w:r>
            <w:r>
              <w:rPr>
                <w:b w:val="0"/>
              </w:rPr>
              <w:t xml:space="preserve">. </w:t>
            </w:r>
          </w:p>
          <w:p w:rsidR="000900E9" w:rsidRPr="00CD1EA0" w:rsidRDefault="000900E9" w:rsidP="00B65026">
            <w:pPr>
              <w:pStyle w:val="Pavadinimas"/>
              <w:jc w:val="both"/>
              <w:rPr>
                <w:b w:val="0"/>
              </w:rPr>
            </w:pPr>
            <w:r>
              <w:rPr>
                <w:b w:val="0"/>
              </w:rPr>
              <w:t xml:space="preserve">Dėl užsienio šalių praktikos įvertinimo, pažymėtina, kad pagal Užsienio reikalų ministerijos </w:t>
            </w:r>
            <w:r w:rsidRPr="000900E9">
              <w:rPr>
                <w:b w:val="0"/>
              </w:rPr>
              <w:t>2019-02-06 rašt</w:t>
            </w:r>
            <w:r>
              <w:rPr>
                <w:b w:val="0"/>
              </w:rPr>
              <w:t>e</w:t>
            </w:r>
            <w:r w:rsidRPr="000900E9">
              <w:rPr>
                <w:b w:val="0"/>
              </w:rPr>
              <w:t xml:space="preserve"> Nr. (22.29)3-471</w:t>
            </w:r>
            <w:r w:rsidR="00D35CB6">
              <w:rPr>
                <w:b w:val="0"/>
              </w:rPr>
              <w:t xml:space="preserve"> </w:t>
            </w:r>
            <w:r>
              <w:rPr>
                <w:b w:val="0"/>
              </w:rPr>
              <w:t>pateiktą informaciją, valstybių narių praktika šioje srityje yra įvairi. A</w:t>
            </w:r>
            <w:r w:rsidRPr="000900E9">
              <w:rPr>
                <w:b w:val="0"/>
              </w:rPr>
              <w:t xml:space="preserve">nalogiškos </w:t>
            </w:r>
            <w:r w:rsidRPr="000900E9">
              <w:rPr>
                <w:b w:val="0"/>
              </w:rPr>
              <w:lastRenderedPageBreak/>
              <w:t xml:space="preserve">institucijos/struktūros </w:t>
            </w:r>
            <w:r>
              <w:rPr>
                <w:b w:val="0"/>
              </w:rPr>
              <w:t xml:space="preserve">valstybėse narėse </w:t>
            </w:r>
            <w:r w:rsidRPr="000900E9">
              <w:rPr>
                <w:b w:val="0"/>
              </w:rPr>
              <w:t xml:space="preserve">veikia prie </w:t>
            </w:r>
            <w:r w:rsidR="00D35CB6">
              <w:rPr>
                <w:b w:val="0"/>
              </w:rPr>
              <w:t>V</w:t>
            </w:r>
            <w:r w:rsidRPr="000900E9">
              <w:rPr>
                <w:b w:val="0"/>
              </w:rPr>
              <w:t xml:space="preserve">yriausybės kanceliarijos, prie užsienio reikalų ministerijos, </w:t>
            </w:r>
            <w:r>
              <w:rPr>
                <w:b w:val="0"/>
              </w:rPr>
              <w:t>prie teisingumo ministerijos arba funkcijos yra padalintos skirtingoms institucijoms.</w:t>
            </w:r>
            <w:r w:rsidR="00AB37D1">
              <w:rPr>
                <w:b w:val="0"/>
              </w:rPr>
              <w:t xml:space="preserve"> Taigi atsižvelgiant į </w:t>
            </w:r>
            <w:r w:rsidR="00223B05">
              <w:rPr>
                <w:b w:val="0"/>
              </w:rPr>
              <w:t xml:space="preserve">Nutarimo projekto lydraštyje </w:t>
            </w:r>
            <w:r w:rsidR="00B65026">
              <w:rPr>
                <w:b w:val="0"/>
              </w:rPr>
              <w:t xml:space="preserve">išdėstytą </w:t>
            </w:r>
            <w:r w:rsidR="00223B05">
              <w:rPr>
                <w:b w:val="0"/>
              </w:rPr>
              <w:t xml:space="preserve">reorganizavimo naudą bei siekiant </w:t>
            </w:r>
            <w:r w:rsidR="00223B05" w:rsidRPr="009D0A58">
              <w:rPr>
                <w:b w:val="0"/>
              </w:rPr>
              <w:t>sumažint</w:t>
            </w:r>
            <w:r w:rsidR="00223B05">
              <w:rPr>
                <w:b w:val="0"/>
              </w:rPr>
              <w:t>i</w:t>
            </w:r>
            <w:r w:rsidR="00223B05" w:rsidRPr="009D0A58">
              <w:rPr>
                <w:b w:val="0"/>
              </w:rPr>
              <w:t xml:space="preserve"> Teisingumo ministerijai pavaldžių biudžetinių įstaigų </w:t>
            </w:r>
            <w:r w:rsidR="00B65026" w:rsidRPr="009D0A58">
              <w:rPr>
                <w:b w:val="0"/>
              </w:rPr>
              <w:t>skaiči</w:t>
            </w:r>
            <w:r w:rsidR="00B65026">
              <w:rPr>
                <w:b w:val="0"/>
              </w:rPr>
              <w:t>ų</w:t>
            </w:r>
            <w:r w:rsidR="00223B05" w:rsidRPr="009D0A58">
              <w:rPr>
                <w:b w:val="0"/>
              </w:rPr>
              <w:t>, optimizuot</w:t>
            </w:r>
            <w:r w:rsidR="00223B05">
              <w:rPr>
                <w:b w:val="0"/>
              </w:rPr>
              <w:t>i</w:t>
            </w:r>
            <w:r w:rsidR="00223B05" w:rsidRPr="009D0A58">
              <w:rPr>
                <w:b w:val="0"/>
              </w:rPr>
              <w:t xml:space="preserve"> biudžetinių įstaigų veikl</w:t>
            </w:r>
            <w:r w:rsidR="00223B05">
              <w:rPr>
                <w:b w:val="0"/>
              </w:rPr>
              <w:t xml:space="preserve">ą bei </w:t>
            </w:r>
            <w:r w:rsidR="00223B05" w:rsidRPr="009D0A58">
              <w:rPr>
                <w:b w:val="0"/>
              </w:rPr>
              <w:t>racionaliau naudo</w:t>
            </w:r>
            <w:r w:rsidR="00223B05">
              <w:rPr>
                <w:b w:val="0"/>
              </w:rPr>
              <w:t>ti</w:t>
            </w:r>
            <w:r w:rsidR="00223B05" w:rsidRPr="009D0A58">
              <w:rPr>
                <w:b w:val="0"/>
              </w:rPr>
              <w:t xml:space="preserve"> materialini</w:t>
            </w:r>
            <w:r w:rsidR="00223B05">
              <w:rPr>
                <w:b w:val="0"/>
              </w:rPr>
              <w:t>us</w:t>
            </w:r>
            <w:r w:rsidR="00223B05" w:rsidRPr="009D0A58">
              <w:rPr>
                <w:b w:val="0"/>
              </w:rPr>
              <w:t>, finansini</w:t>
            </w:r>
            <w:r w:rsidR="00223B05">
              <w:rPr>
                <w:b w:val="0"/>
              </w:rPr>
              <w:t>us</w:t>
            </w:r>
            <w:r w:rsidR="00223B05" w:rsidRPr="009D0A58">
              <w:rPr>
                <w:b w:val="0"/>
              </w:rPr>
              <w:t xml:space="preserve"> ir žmogišk</w:t>
            </w:r>
            <w:r w:rsidR="00223B05">
              <w:rPr>
                <w:b w:val="0"/>
              </w:rPr>
              <w:t>uosius</w:t>
            </w:r>
            <w:r w:rsidR="00223B05" w:rsidRPr="009D0A58">
              <w:rPr>
                <w:b w:val="0"/>
              </w:rPr>
              <w:t xml:space="preserve"> ištekli</w:t>
            </w:r>
            <w:r w:rsidR="00223B05">
              <w:rPr>
                <w:b w:val="0"/>
              </w:rPr>
              <w:t xml:space="preserve">us, manome, kad pasirinktas reorganizavimo būdas yra pagrįstas ir efektyviausias, be to užtikrinsiantis Europos teisės departamento vykdytų funkcijų tęstinumą. </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t>2. ETD koordinuoja ES teisės įgyvendinimą visų ministerijų kompetencijos srityse. Neaišku, koks ES reikalų koordinavimo modelis būtų taikomas reorganizacijos atveju, kaip būtų užtikrintas veiklos efektyvumas ir tęstinumas, išlaikoma kompetencija ir institucinė atmintis, stiprinama koordinavimo funkcija, vykdoma institucijų veiksmų įgyvendinant ES teisę priežiūra.</w:t>
            </w:r>
          </w:p>
        </w:tc>
        <w:tc>
          <w:tcPr>
            <w:tcW w:w="7200" w:type="dxa"/>
          </w:tcPr>
          <w:p w:rsidR="00BC191B" w:rsidRDefault="005B2D98" w:rsidP="005B2D98">
            <w:pPr>
              <w:pStyle w:val="Pavadinimas"/>
              <w:jc w:val="both"/>
              <w:rPr>
                <w:b w:val="0"/>
              </w:rPr>
            </w:pPr>
            <w:r>
              <w:rPr>
                <w:b w:val="0"/>
                <w:u w:val="single"/>
              </w:rPr>
              <w:t>Neatsižvelgta.</w:t>
            </w:r>
            <w:r w:rsidRPr="00BC191B">
              <w:rPr>
                <w:b w:val="0"/>
              </w:rPr>
              <w:t xml:space="preserve"> </w:t>
            </w:r>
            <w:r w:rsidRPr="005B2D98">
              <w:rPr>
                <w:b w:val="0"/>
              </w:rPr>
              <w:t xml:space="preserve">Pažymėtina, </w:t>
            </w:r>
            <w:r>
              <w:rPr>
                <w:b w:val="0"/>
              </w:rPr>
              <w:t xml:space="preserve">Nutarimo projekte nustatoma, kad po reorganizavimo visas Europos teisės departamento funkcijas vykdys Teisingumo ministerija, t.y. </w:t>
            </w:r>
            <w:r w:rsidRPr="00CD1EA0">
              <w:rPr>
                <w:b w:val="0"/>
              </w:rPr>
              <w:t>savarankiškas Teisingumo ministerijos administracijos padalinys</w:t>
            </w:r>
            <w:r>
              <w:rPr>
                <w:b w:val="0"/>
              </w:rPr>
              <w:t>, į kurį bus perkeliami Europos teisės departamento darbuotojai. D</w:t>
            </w:r>
            <w:r w:rsidRPr="005B2D98">
              <w:rPr>
                <w:b w:val="0"/>
              </w:rPr>
              <w:t>ėl reorganizavimo sutaupytas darbo užmokesčio lėšas bus galima panaudoti siekiant išlaikyti ir motyvuoti esamus aukštos kvalifikacijos darbuotojus, šiuo metu dirbančius tiek Europos teisės departamente, tiek Teisingumo ministerijoje, tuo pačiu užtikrinant galimybę išnaudoti sukauptą patirtį, žinias ir kompetenciją bei užtikrinti vykdomų funkcijų tęstinumą.</w:t>
            </w:r>
          </w:p>
          <w:p w:rsidR="007F7E72" w:rsidRDefault="005B2D98" w:rsidP="005B2D98">
            <w:pPr>
              <w:pStyle w:val="Pavadinimas"/>
              <w:jc w:val="both"/>
              <w:rPr>
                <w:b w:val="0"/>
                <w:u w:val="single"/>
              </w:rPr>
            </w:pPr>
            <w:r>
              <w:rPr>
                <w:b w:val="0"/>
              </w:rPr>
              <w:t xml:space="preserve">Pastebėtina, </w:t>
            </w:r>
            <w:r w:rsidRPr="005B2D98">
              <w:rPr>
                <w:b w:val="0"/>
              </w:rPr>
              <w:t>kad sutelkus Europos Sąjungos (toliau – ES) teisės perkėlimo ir įgyvendinimo koordinavimo funkciją Teisingumo ministerijoje, būtų užtikrinta, kad ES teisės perkėlimas būtų suderinamas su nacionalinės teisės sistemos plėtros interesais. Be to, taip būtų išvengta organizaciniu požiūriu ydingos situacijos, kai įstaiga prie ministerijos koordinuoja ministerijų veiklą.</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BC191B">
            <w:pPr>
              <w:pStyle w:val="Pavadinimas"/>
              <w:tabs>
                <w:tab w:val="left" w:pos="317"/>
              </w:tabs>
              <w:ind w:left="34"/>
              <w:jc w:val="both"/>
              <w:rPr>
                <w:b w:val="0"/>
                <w:bCs w:val="0"/>
              </w:rPr>
            </w:pPr>
            <w:r w:rsidRPr="007F7E72">
              <w:rPr>
                <w:b w:val="0"/>
                <w:bCs w:val="0"/>
              </w:rPr>
              <w:t>3. ETD veiklos modelis paremtas ekspertiniu vertinimu, o ne politikos formavimu. Tai suteikia galimybę E</w:t>
            </w:r>
            <w:r w:rsidR="00BC191B">
              <w:rPr>
                <w:b w:val="0"/>
                <w:bCs w:val="0"/>
              </w:rPr>
              <w:t>TD</w:t>
            </w:r>
            <w:r w:rsidRPr="007F7E72">
              <w:rPr>
                <w:b w:val="0"/>
                <w:bCs w:val="0"/>
              </w:rPr>
              <w:t xml:space="preserve"> teikti objektyvias, nepriklausomas nuo ministerijų pozicijų ir politinių aspektų ekspertinio pobūdžio išvadas dėl teisės aktų projektų atitikties ES teisei, tokiu būdu užkertant kelią galimiems ES teisės pažeidimams. Neaišku, kaip reorganizacijos </w:t>
            </w:r>
            <w:r w:rsidRPr="007F7E72">
              <w:rPr>
                <w:b w:val="0"/>
                <w:bCs w:val="0"/>
              </w:rPr>
              <w:lastRenderedPageBreak/>
              <w:t>atveju būtų išlaikomas nešališkumo ir objektyvumo principas.</w:t>
            </w:r>
          </w:p>
        </w:tc>
        <w:tc>
          <w:tcPr>
            <w:tcW w:w="7200" w:type="dxa"/>
          </w:tcPr>
          <w:p w:rsidR="007F7E72" w:rsidRDefault="00BC191B" w:rsidP="001D497F">
            <w:pPr>
              <w:pStyle w:val="Pavadinimas"/>
              <w:jc w:val="both"/>
              <w:rPr>
                <w:b w:val="0"/>
              </w:rPr>
            </w:pPr>
            <w:r>
              <w:rPr>
                <w:b w:val="0"/>
                <w:u w:val="single"/>
              </w:rPr>
              <w:lastRenderedPageBreak/>
              <w:t>Neatsižvelgta.</w:t>
            </w:r>
            <w:r w:rsidRPr="00BC191B">
              <w:rPr>
                <w:b w:val="0"/>
              </w:rPr>
              <w:t xml:space="preserve"> Pagal Teisingumo ministerijos nuostat</w:t>
            </w:r>
            <w:r>
              <w:rPr>
                <w:b w:val="0"/>
              </w:rPr>
              <w:t>us</w:t>
            </w:r>
            <w:r w:rsidRPr="00BC191B">
              <w:rPr>
                <w:b w:val="0"/>
              </w:rPr>
              <w:t>, patvirtint</w:t>
            </w:r>
            <w:r>
              <w:rPr>
                <w:b w:val="0"/>
              </w:rPr>
              <w:t>us</w:t>
            </w:r>
            <w:r w:rsidRPr="00BC191B">
              <w:rPr>
                <w:b w:val="0"/>
              </w:rPr>
              <w:t xml:space="preserve"> Lietuvos Respublikos Vyriausybės 1998 m. liepos 9 d. nutarimu Nr. 851 „Dėl Lietuvos Respublikos teisingumo ministerijos nuostatų patvirtinimo“</w:t>
            </w:r>
            <w:r>
              <w:rPr>
                <w:b w:val="0"/>
              </w:rPr>
              <w:t xml:space="preserve">, Teisingumo ministerija </w:t>
            </w:r>
            <w:r w:rsidRPr="00BC191B">
              <w:rPr>
                <w:b w:val="0"/>
              </w:rPr>
              <w:t>formuoja valstybės politiką, organizuoja, koordinuoja ir kontroliuoja jo</w:t>
            </w:r>
            <w:r>
              <w:rPr>
                <w:b w:val="0"/>
              </w:rPr>
              <w:t xml:space="preserve">s įgyvendinimą. </w:t>
            </w:r>
            <w:r w:rsidRPr="00BC191B">
              <w:rPr>
                <w:b w:val="0"/>
              </w:rPr>
              <w:t xml:space="preserve">Teisingumo ministerija savo veikloje vadovaujasi Lietuvos Respublikos Konstitucija, Lietuvos Respublikos Vyriausybės įstatymu, Lietuvos Respublikos viešojo administravimo įstatymu, kitais Lietuvos </w:t>
            </w:r>
            <w:r w:rsidRPr="00BC191B">
              <w:rPr>
                <w:b w:val="0"/>
              </w:rPr>
              <w:lastRenderedPageBreak/>
              <w:t>Respublikos Seimo priimtais įstatymais ir teisės aktais, Lietuvos Respublikos tarptautinėmis sutartimis, Respublikos Prezidento dekretais, L</w:t>
            </w:r>
            <w:r w:rsidR="001D497F">
              <w:rPr>
                <w:b w:val="0"/>
              </w:rPr>
              <w:t>ietuvos Respublikos Vyriausybės</w:t>
            </w:r>
            <w:r w:rsidRPr="00BC191B">
              <w:rPr>
                <w:b w:val="0"/>
              </w:rPr>
              <w:t xml:space="preserve"> nutarimais, Ministro Pirmininko potvarkiais, taip pat </w:t>
            </w:r>
            <w:r w:rsidR="001D497F">
              <w:rPr>
                <w:b w:val="0"/>
              </w:rPr>
              <w:t>Teisingumo ministerijos</w:t>
            </w:r>
            <w:r w:rsidRPr="00BC191B">
              <w:rPr>
                <w:b w:val="0"/>
              </w:rPr>
              <w:t xml:space="preserve"> nuostatais. </w:t>
            </w:r>
            <w:r w:rsidR="001D497F">
              <w:rPr>
                <w:b w:val="0"/>
              </w:rPr>
              <w:t xml:space="preserve">Pažymėtina, kad </w:t>
            </w:r>
            <w:r>
              <w:rPr>
                <w:b w:val="0"/>
              </w:rPr>
              <w:t>t</w:t>
            </w:r>
            <w:r w:rsidRPr="00BC191B">
              <w:rPr>
                <w:b w:val="0"/>
              </w:rPr>
              <w:t xml:space="preserve">eisės aktų nustatytais atvejais ir tvarka </w:t>
            </w:r>
            <w:r w:rsidR="001D497F">
              <w:rPr>
                <w:b w:val="0"/>
              </w:rPr>
              <w:t xml:space="preserve">ministerija </w:t>
            </w:r>
            <w:r w:rsidRPr="00BC191B">
              <w:rPr>
                <w:b w:val="0"/>
              </w:rPr>
              <w:t>teik</w:t>
            </w:r>
            <w:r>
              <w:rPr>
                <w:b w:val="0"/>
              </w:rPr>
              <w:t>ia</w:t>
            </w:r>
            <w:r w:rsidRPr="00BC191B">
              <w:rPr>
                <w:b w:val="0"/>
              </w:rPr>
              <w:t xml:space="preserve"> išvadas dėl teisės aktų, tarptautinių sutarčių ir kitų susitarimų projektų, analizuo</w:t>
            </w:r>
            <w:r>
              <w:rPr>
                <w:b w:val="0"/>
              </w:rPr>
              <w:t>ja</w:t>
            </w:r>
            <w:r w:rsidRPr="00BC191B">
              <w:rPr>
                <w:b w:val="0"/>
              </w:rPr>
              <w:t xml:space="preserve"> Europos Sąjungos teisę, jos taikymo ir aiškinimo Europos Sąjungos institucijose praktiką, informuoja valstybės institucijas apie galiojančių Lietuvos Respublikos teisės aktų ir Europos Sąjungos teisės neatitikimą, Europos Sąjungos teisės taikymo ir aiškinimo praktiką, teikia valstybės institucijoms metodinę pagalbą nacionalinės teisės derinimo su Europos Sąjungos teise klausimais, analizuoti Lietuvos Respublikos teisės aktų atitiktį asmens teisėms ir laisvėms ir teikia išvadas Vyriausybei.</w:t>
            </w:r>
          </w:p>
          <w:p w:rsidR="001D497F" w:rsidRPr="00BC191B" w:rsidRDefault="001D497F" w:rsidP="001D497F">
            <w:pPr>
              <w:pStyle w:val="Pavadinimas"/>
              <w:jc w:val="both"/>
              <w:rPr>
                <w:b w:val="0"/>
              </w:rPr>
            </w:pPr>
            <w:r w:rsidRPr="001D497F">
              <w:t xml:space="preserve">Nacionalinės teisės aktų ir jų projektų atitikties ES teisei vertinimo funkcijos perkėlimas į Teisingumo ministeriją užtikrintų, </w:t>
            </w:r>
            <w:r w:rsidRPr="001D497F">
              <w:rPr>
                <w:b w:val="0"/>
              </w:rPr>
              <w:t xml:space="preserve">kad ES teisė nebūtų vertinama atsietai nuo nacionalinės teisės, o </w:t>
            </w:r>
            <w:r w:rsidRPr="009C119E">
              <w:t>atitikties ES teisei vertinimas nebūtų dirbtinai atskiriamas nuo atitikties asmens teisėms ir laisvėms (kurias numato ir nacionalinė, ir ES ir tarptautinė teisė) vertinimo.</w:t>
            </w:r>
            <w:r w:rsidRPr="001D497F">
              <w:rPr>
                <w:b w:val="0"/>
              </w:rPr>
              <w:t xml:space="preserve"> Tai padėtų užtikrinti darnią nacionalinės teisės sistemos plėtrą. Šios funkcijos perkėlimas į Teisingumo ministeriją taip pat </w:t>
            </w:r>
            <w:r w:rsidRPr="001D497F">
              <w:t>leistų užtikrinti nuoseklų teisėkūros procesą ir leistų išvengti situacijų,</w:t>
            </w:r>
            <w:r w:rsidRPr="001D497F">
              <w:rPr>
                <w:b w:val="0"/>
              </w:rPr>
              <w:t xml:space="preserve"> kai įstatymų leidžiamosios institucijos tiesiogiai kreipiasi į vieną iš vykdomosios valdžios institucijų (Europos teisės departamentą), prašydamos pateikti išvadą (nuomonę) dėl parengto įstatymo projekto. Ši institucija, būdama vykdomosios valdžios dalis, nederindama išvados (nuomonės) su vykdomosios valdžios institucija (Vyriausybe), tiesiogiai teikia išvadą (nuomonę), tokiu būdu „apeidama“ nustatyta teisėkūros proceso etapą, kai Vyriausybė, Seimui paprašius, teikia išvadą dėl įstatymo projekto</w:t>
            </w:r>
            <w:r w:rsidR="00223B05">
              <w:rPr>
                <w:b w:val="0"/>
              </w:rPr>
              <w:t>.</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t>4. Viena ETD funkcijų – tarpinstitucinių ginčų sprendimas. ETD, kaip atskira įstaiga, turi visas galimybes būti nešališka ir objektyvi.</w:t>
            </w:r>
          </w:p>
        </w:tc>
        <w:tc>
          <w:tcPr>
            <w:tcW w:w="7200" w:type="dxa"/>
          </w:tcPr>
          <w:p w:rsidR="007F7E72" w:rsidRPr="00ED016C" w:rsidRDefault="00223B05" w:rsidP="00ED016C">
            <w:pPr>
              <w:pStyle w:val="Pavadinimas"/>
              <w:jc w:val="both"/>
              <w:rPr>
                <w:b w:val="0"/>
              </w:rPr>
            </w:pPr>
            <w:r>
              <w:rPr>
                <w:b w:val="0"/>
                <w:u w:val="single"/>
              </w:rPr>
              <w:t xml:space="preserve">Neatsižvelgta. </w:t>
            </w:r>
            <w:r w:rsidRPr="00223B05">
              <w:rPr>
                <w:b w:val="0"/>
              </w:rPr>
              <w:t>Pagal Teisingumo ministerijos nuostatus, patvirtintus Lietuvos Respublikos Vyriausybės 1998 m. liepos 9 d. nutarimu Nr. 851 „Dėl Lietuvos Respublikos teisingumo minis</w:t>
            </w:r>
            <w:r>
              <w:rPr>
                <w:b w:val="0"/>
              </w:rPr>
              <w:t xml:space="preserve">terijos nuostatų patvirtinimo“, </w:t>
            </w:r>
            <w:r w:rsidRPr="00223B05">
              <w:rPr>
                <w:b w:val="0"/>
              </w:rPr>
              <w:t xml:space="preserve">Teisingumo ministerija savo veikloje vadovaujasi </w:t>
            </w:r>
            <w:r w:rsidRPr="00223B05">
              <w:rPr>
                <w:b w:val="0"/>
              </w:rPr>
              <w:lastRenderedPageBreak/>
              <w:t>Lietuvos Respublikos Konstitucija, Lietuvos Respublikos Vyriausybės įstatymu, Lietuvos Respublikos viešojo administravimo įstatymu, kitais Lietuvos Respublikos Seimo priimtais įstatymais ir teisės aktais, Lietuvos Respublikos tarptautinėmis sutartimis, Respublikos Prezidento dekretais, Lietuvos Respublikos Vyriausybės nutarimais, Ministro Pirmininko potvarkiais, taip pat Teisingumo ministerijos nuostatais.</w:t>
            </w:r>
            <w:r>
              <w:rPr>
                <w:b w:val="0"/>
              </w:rPr>
              <w:t xml:space="preserve"> Atsižvelgiant į tai, nereikėtų abejoti </w:t>
            </w:r>
            <w:r w:rsidR="007A37BC">
              <w:rPr>
                <w:b w:val="0"/>
              </w:rPr>
              <w:t xml:space="preserve">Teisingumo ministerijos galimu šališkumu ar objektyvumu. </w:t>
            </w:r>
            <w:r w:rsidR="00ED016C">
              <w:rPr>
                <w:b w:val="0"/>
              </w:rPr>
              <w:t>Ministerija savo veiklą grindžia</w:t>
            </w:r>
            <w:r w:rsidR="00ED016C" w:rsidRPr="00ED016C">
              <w:rPr>
                <w:b w:val="0"/>
              </w:rPr>
              <w:t xml:space="preserve"> įsta</w:t>
            </w:r>
            <w:r w:rsidR="00ED016C">
              <w:rPr>
                <w:b w:val="0"/>
              </w:rPr>
              <w:t>tymo viršenybės, objektyvumo,</w:t>
            </w:r>
            <w:r w:rsidR="00ED016C" w:rsidRPr="00ED016C">
              <w:rPr>
                <w:b w:val="0"/>
              </w:rPr>
              <w:t xml:space="preserve"> proporcingumo, </w:t>
            </w:r>
            <w:r w:rsidR="00ED016C">
              <w:rPr>
                <w:b w:val="0"/>
              </w:rPr>
              <w:t xml:space="preserve">nepiktnaudžiavimo </w:t>
            </w:r>
            <w:r w:rsidR="00ED016C" w:rsidRPr="00ED016C">
              <w:rPr>
                <w:b w:val="0"/>
              </w:rPr>
              <w:t>valdžia,  tarnybini</w:t>
            </w:r>
            <w:r w:rsidR="00ED016C">
              <w:rPr>
                <w:b w:val="0"/>
              </w:rPr>
              <w:t xml:space="preserve">o bendradarbiavimo ir kitais Lietuvos </w:t>
            </w:r>
            <w:r w:rsidR="00ED016C" w:rsidRPr="00ED016C">
              <w:rPr>
                <w:b w:val="0"/>
              </w:rPr>
              <w:t>Respublikos vie</w:t>
            </w:r>
            <w:r w:rsidR="00ED016C">
              <w:rPr>
                <w:b w:val="0"/>
              </w:rPr>
              <w:t>šojo  administravimo  įstatyme</w:t>
            </w:r>
            <w:r w:rsidR="00ED016C" w:rsidRPr="00ED016C">
              <w:rPr>
                <w:b w:val="0"/>
              </w:rPr>
              <w:t xml:space="preserve"> nustatytais principais. </w:t>
            </w:r>
            <w:r w:rsidR="00ED016C">
              <w:rPr>
                <w:b w:val="0"/>
              </w:rPr>
              <w:t>T</w:t>
            </w:r>
            <w:r w:rsidR="007A5A2D">
              <w:rPr>
                <w:b w:val="0"/>
              </w:rPr>
              <w:t xml:space="preserve">odėl </w:t>
            </w:r>
            <w:r w:rsidR="007A37BC">
              <w:rPr>
                <w:b w:val="0"/>
              </w:rPr>
              <w:t>perimamos Europos teisės departamento funkcijos, tarp jų ir tarpinstitucinių ginčų sprendimas, bus vykdomos nešališkai ir objektyviai</w:t>
            </w:r>
            <w:r w:rsidR="00EF225D">
              <w:rPr>
                <w:b w:val="0"/>
              </w:rPr>
              <w:t>, siekiant rasti visoms pusėms priimtiną sprendimą.</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9C119E">
              <w:rPr>
                <w:b w:val="0"/>
                <w:bCs w:val="0"/>
              </w:rPr>
              <w:t>5. Siekiant laikytis nustatytų ES teisės įgyvendinimo terminų, daugelis klausimų su ETD derinama bendraujant neformaliai. Tokiu būdu ministerijos operatyviai gauna pagalbą sprendžiant su ES teisės aktų įgyvendinimu, ES teisės taikymu, ES teisės pažeidimo procedūromis susijusius klausimus. Neaišku, ar neformalaus bendravimo praktiką, padedančią užtikrinti efektyvų ES teisės įgyvendinimą, būtų įmanoma išlaikyti po reorganizacijos. Atsakymai į formalius paklausimus iš ETD taip pat gaunami labai operatyviai. ETD funkcijas perėmus Teisingumo ministerijai, sprendimų priėmimo ir išvadų teikimo terminai neišvengiamai ilgėtų dėl didelės struktūros ir derinimo procedūrų.</w:t>
            </w:r>
          </w:p>
        </w:tc>
        <w:tc>
          <w:tcPr>
            <w:tcW w:w="7200" w:type="dxa"/>
          </w:tcPr>
          <w:p w:rsidR="007F7E72" w:rsidRDefault="00EF225D" w:rsidP="00641F80">
            <w:pPr>
              <w:pStyle w:val="Pavadinimas"/>
              <w:jc w:val="both"/>
              <w:rPr>
                <w:b w:val="0"/>
                <w:u w:val="single"/>
              </w:rPr>
            </w:pPr>
            <w:r w:rsidRPr="009C119E">
              <w:rPr>
                <w:b w:val="0"/>
                <w:u w:val="single"/>
              </w:rPr>
              <w:t>Neatsižvelgta.</w:t>
            </w:r>
            <w:r w:rsidR="00CE2F34">
              <w:rPr>
                <w:b w:val="0"/>
                <w:u w:val="single"/>
              </w:rPr>
              <w:t xml:space="preserve"> </w:t>
            </w:r>
            <w:r w:rsidR="00D35CB6">
              <w:rPr>
                <w:b w:val="0"/>
              </w:rPr>
              <w:t xml:space="preserve">Atsižvelgiant į tai, kad numatoma, jog šiuo metu Europos teisės departamento vykdomas funkcijas vykdys </w:t>
            </w:r>
            <w:r w:rsidR="00D35CB6" w:rsidRPr="00CD1EA0">
              <w:rPr>
                <w:b w:val="0"/>
              </w:rPr>
              <w:t>savarankiškas Teisingumo ministerijos administracijos padalinys</w:t>
            </w:r>
            <w:r w:rsidR="00D35CB6">
              <w:rPr>
                <w:b w:val="0"/>
              </w:rPr>
              <w:t>, į kurį bus perkeliami Europos teisės departamento darbuotojai, konstatuotina, kad reorganizavimu nėra siekiama daryti reikšmingos intervencijos į darbo organizavimo klausimus dalykinėje srityje. Pažymėtina, kad ir šiuo metu Teisingumo ministerijos darbuotojai nuolat pagal savo kompetencijos sritis bendradarbiauja su suinteresuotomis institucijomis neformaliai. Atsižvelgian</w:t>
            </w:r>
            <w:r w:rsidR="006A13BA">
              <w:rPr>
                <w:b w:val="0"/>
              </w:rPr>
              <w:t xml:space="preserve">t į tai, nėra prielaidų teigti, kad naujas Teisingumo ministerijos administracijos padalinys negalės taikyti ankstesnės gerosios darbo organizavimo praktikos </w:t>
            </w:r>
            <w:r w:rsidR="006A13BA">
              <w:rPr>
                <w:b w:val="0"/>
                <w:u w:val="single"/>
              </w:rPr>
              <w:t>ir po reorganizavimo.</w:t>
            </w:r>
            <w:r w:rsidR="00641F80">
              <w:rPr>
                <w:b w:val="0"/>
                <w:u w:val="single"/>
              </w:rPr>
              <w:t xml:space="preserve"> Tuo pačiu pažymėtina, kad siekiama užtikrinti ne tik vykdomų procesų operatyvumą, bet ir ekspertinių konsultacijų, teikiamų išvadų pagrįstumą, išsamumą ir visapusiškumą, kas sudaro prielaidas išvengti laiko ir kitų išteklių praradimo ilgalaikėje perspektyvoje.</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t xml:space="preserve">6. Vadovaujantis Lietuvos Respublikos Vyriausybės įstatymu, ministerija formuoja valstybės politiką. Įstaiga prie ministerijos įgyvendina valstybės politiką ir aptarnauja šios politikos formavimą ir įgyvendinimą. Savo esme </w:t>
            </w:r>
            <w:r w:rsidRPr="007F7E72">
              <w:rPr>
                <w:b w:val="0"/>
                <w:bCs w:val="0"/>
              </w:rPr>
              <w:lastRenderedPageBreak/>
              <w:t>ETD funkcijos yra įgyvendinančios ir koordinuojančios. Įvykdžius reorganizaciją, Teisingumo ministerija vykdytų valstybės politikos įgyvendinimo funkcijas, kas prieštarautų Vyriausybės įstatymui.</w:t>
            </w:r>
          </w:p>
        </w:tc>
        <w:tc>
          <w:tcPr>
            <w:tcW w:w="7200" w:type="dxa"/>
          </w:tcPr>
          <w:p w:rsidR="007F7E72" w:rsidRDefault="00EF225D" w:rsidP="00BC6C97">
            <w:pPr>
              <w:pStyle w:val="Pavadinimas"/>
              <w:jc w:val="both"/>
              <w:rPr>
                <w:b w:val="0"/>
                <w:u w:val="single"/>
              </w:rPr>
            </w:pPr>
            <w:r w:rsidRPr="00EF225D">
              <w:rPr>
                <w:b w:val="0"/>
                <w:u w:val="single"/>
              </w:rPr>
              <w:lastRenderedPageBreak/>
              <w:t>Neatsižvelgta.</w:t>
            </w:r>
            <w:r>
              <w:rPr>
                <w:b w:val="0"/>
                <w:u w:val="single"/>
              </w:rPr>
              <w:t xml:space="preserve"> </w:t>
            </w:r>
            <w:r w:rsidRPr="00EF225D">
              <w:rPr>
                <w:b w:val="0"/>
              </w:rPr>
              <w:t xml:space="preserve">Atkreipiame dėmesį į tai, kad pagal Europos teisės departamento nuostatus, patvirtintus Lietuvos Respublikos teisingumo ministro 2014 m. liepos 2 d. įsakymu Nr. 1R-204 „Dėl Europos teisės departamento prie Lietuvos Respublikos teisingumo ministerijos nuostatų patvirtinimo“, iš esmės visos Europos departamento vykdomos </w:t>
            </w:r>
            <w:r w:rsidRPr="007C63C2">
              <w:lastRenderedPageBreak/>
              <w:t>funkcijos  yra susijusios su dalyvavimu formuojant valstybės politiką, jos koordinavimu ir įgyvendinimo kontroliavimu</w:t>
            </w:r>
            <w:r w:rsidRPr="00EF225D">
              <w:rPr>
                <w:b w:val="0"/>
              </w:rPr>
              <w:t>, kas iš esmės atitinka Vyriausybės 29 straipsnyje nustatytus ministerijų steigimo tikslus („ministerija steigiama formuoti valstybės politiką, taip pat organizuoti, koordinuoti ir kontroliuoti jos įgyvendinimą ministrui pavestose valdymo srityse“). Nematome, kokios konkrečiai Europos teisės departamento vykdomos funkcijos galėtų būti priskiriamos prie valstybės politikos įgyvendinimo funkcijų, todėl poreikio įstatymu ministerijai pavesti jas vykdyti laikinai neįžvelgiame.</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t>7. Bet kurios reorganizacijos tikslas turėtų būti veiklos efektyvumo didinimas. Šiuo atveju ketinama reorganizuoti ypač efektyviai ir sklandžiai veikiančią įstaigą, nepagrindžiant reorganizacijos poreikio ir nepateikiant informacijos apie būsimą modelį, kuris užtikrintų sklandų ir efektyvų ES reikalų koordinavimą.</w:t>
            </w:r>
          </w:p>
        </w:tc>
        <w:tc>
          <w:tcPr>
            <w:tcW w:w="7200" w:type="dxa"/>
          </w:tcPr>
          <w:p w:rsidR="007F7E72" w:rsidRDefault="00EF225D" w:rsidP="00ED016C">
            <w:pPr>
              <w:pStyle w:val="Pavadinimas"/>
              <w:jc w:val="both"/>
              <w:rPr>
                <w:b w:val="0"/>
                <w:u w:val="single"/>
              </w:rPr>
            </w:pPr>
            <w:r w:rsidRPr="00EF225D">
              <w:rPr>
                <w:b w:val="0"/>
                <w:u w:val="single"/>
              </w:rPr>
              <w:t>Neatsižvelgta.</w:t>
            </w:r>
            <w:r>
              <w:rPr>
                <w:b w:val="0"/>
                <w:u w:val="single"/>
              </w:rPr>
              <w:t xml:space="preserve"> </w:t>
            </w:r>
            <w:r w:rsidRPr="00ED016C">
              <w:rPr>
                <w:b w:val="0"/>
              </w:rPr>
              <w:t>Teisingumo ministerijos darbo tvarką nustato Lietuvos Respublikos teisingumo ministerijos darbo reglamentas, patvirtintas Lietuvos Respublikos teisingumo ministro 2011 m. lapkričio 25 d. įsakymu Nr. 1R-271.</w:t>
            </w:r>
            <w:r w:rsidR="00ED016C">
              <w:rPr>
                <w:b w:val="0"/>
              </w:rPr>
              <w:t xml:space="preserve"> Siekiant kuo rezultatyviau vykdyti ministerijai nustatytas</w:t>
            </w:r>
            <w:r w:rsidR="00ED016C" w:rsidRPr="00ED016C">
              <w:rPr>
                <w:b w:val="0"/>
              </w:rPr>
              <w:t xml:space="preserve"> funkci</w:t>
            </w:r>
            <w:r w:rsidR="00ED016C">
              <w:rPr>
                <w:b w:val="0"/>
              </w:rPr>
              <w:t xml:space="preserve">jas, gerinti </w:t>
            </w:r>
            <w:r w:rsidR="00ED016C" w:rsidRPr="00ED016C">
              <w:rPr>
                <w:b w:val="0"/>
              </w:rPr>
              <w:t xml:space="preserve">veiklos </w:t>
            </w:r>
            <w:r w:rsidR="00ED016C">
              <w:rPr>
                <w:b w:val="0"/>
              </w:rPr>
              <w:t xml:space="preserve">rezultatus, </w:t>
            </w:r>
            <w:r w:rsidR="00ED016C" w:rsidRPr="00ED016C">
              <w:rPr>
                <w:b w:val="0"/>
              </w:rPr>
              <w:t xml:space="preserve">ministerijoje įdiegta kokybės vadybos sistema, atitinkanti standarto LST EN ISO </w:t>
            </w:r>
            <w:r w:rsidR="00ED016C">
              <w:rPr>
                <w:b w:val="0"/>
              </w:rPr>
              <w:t>9001  „Kokybės vadybos sistemos“ reikalavimus ir apimanti visą</w:t>
            </w:r>
            <w:r w:rsidR="00ED016C" w:rsidRPr="00ED016C">
              <w:rPr>
                <w:b w:val="0"/>
              </w:rPr>
              <w:t xml:space="preserve"> ministerijos  vykdomą veiklą. </w:t>
            </w:r>
            <w:r w:rsidR="00ED016C">
              <w:rPr>
                <w:b w:val="0"/>
              </w:rPr>
              <w:t xml:space="preserve">Taip pat pažymėtina, kad ES reikalų koordinavimo modelis yra įtvirtintas ES reikalų koordinavimo taisyklėse, </w:t>
            </w:r>
            <w:r w:rsidR="00ED016C" w:rsidRPr="00ED016C">
              <w:rPr>
                <w:b w:val="0"/>
              </w:rPr>
              <w:t>patvirtintose Lietuvos Respublikos Vyriausybės 2004 m. sausio 9 nutarimu Nr. 21 „Dėl Europos Sąjungos reikalų koordinavimo“</w:t>
            </w:r>
            <w:r w:rsidR="00ED016C">
              <w:rPr>
                <w:b w:val="0"/>
              </w:rPr>
              <w:t xml:space="preserve">. Visa tai, užtikrina, kad po reorganizacijos perimtos Europos teisės departamento funkcijos bus toliau vykdomos efektyviai, bus išvengta </w:t>
            </w:r>
            <w:r w:rsidR="00ED016C" w:rsidRPr="00ED016C">
              <w:rPr>
                <w:b w:val="0"/>
              </w:rPr>
              <w:t>organizaciniu požiūriu ydingos situacijos, kai įstaiga prie ministerijos koordinuoja ministerijų veiklą</w:t>
            </w:r>
            <w:r w:rsidR="00ED016C">
              <w:rPr>
                <w:b w:val="0"/>
              </w:rPr>
              <w:t xml:space="preserve">. Taip pat </w:t>
            </w:r>
            <w:r w:rsidR="00ED016C" w:rsidRPr="00ED016C">
              <w:rPr>
                <w:b w:val="0"/>
              </w:rPr>
              <w:t>atstovavimo ES teismuose (ir Komisijoje) funkcijų perkėlimas į Teisingumo ministeriją atitiktų teisės funkcijų konsolidavimo tikslus tuo aspektu, kad atstovavimo tarptautiniuose teismuose funkcija būtų sutelkiama vienoje institucijoje (Teisingumo ministerijoje), turinčioje kompetentingų darbuotojų tokios rūšies funkcijoms vykdyti ir galinčioje užtikrinti atstovavimo Lietuvos Respublikai tarptautiniuose teismuose nuoseklumą ir tęstinumą</w:t>
            </w:r>
            <w:r w:rsidR="00ED016C">
              <w:rPr>
                <w:b w:val="0"/>
              </w:rPr>
              <w:t xml:space="preserve">. </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val="restart"/>
          </w:tcPr>
          <w:p w:rsidR="007F7E72" w:rsidRDefault="007F7E72" w:rsidP="003B6E66">
            <w:pPr>
              <w:pStyle w:val="Pavadinimas"/>
              <w:rPr>
                <w:b w:val="0"/>
                <w:bCs w:val="0"/>
              </w:rPr>
            </w:pPr>
            <w:r>
              <w:rPr>
                <w:b w:val="0"/>
                <w:bCs w:val="0"/>
              </w:rPr>
              <w:t xml:space="preserve">Lietuvos Respublikos užsienio reikalų </w:t>
            </w:r>
            <w:r>
              <w:rPr>
                <w:b w:val="0"/>
                <w:bCs w:val="0"/>
              </w:rPr>
              <w:lastRenderedPageBreak/>
              <w:t>ministerija</w:t>
            </w:r>
          </w:p>
          <w:p w:rsidR="007F7E72" w:rsidRDefault="007F7E72" w:rsidP="003B6E66">
            <w:pPr>
              <w:pStyle w:val="Pavadinimas"/>
              <w:rPr>
                <w:b w:val="0"/>
                <w:bCs w:val="0"/>
              </w:rPr>
            </w:pPr>
            <w:r>
              <w:rPr>
                <w:b w:val="0"/>
                <w:bCs w:val="0"/>
              </w:rPr>
              <w:t>(2019-02-06 raštas Nr. (22.29)3-471)</w:t>
            </w: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lastRenderedPageBreak/>
              <w:t xml:space="preserve">Kaip pagrindinį reformos tikslą Nutarimo projekto rengėjai nurodo siekį sumažinti Lietuvos Respublikos teisingumo ministerijai pavaldžių biudžetinių įstaigų skaičių, </w:t>
            </w:r>
            <w:r w:rsidRPr="007F7E72">
              <w:rPr>
                <w:b w:val="0"/>
                <w:bCs w:val="0"/>
              </w:rPr>
              <w:lastRenderedPageBreak/>
              <w:t>optimizuoti biudžetinių įstaigų veiklą, racionaliau naudoti materialinius, finansinius ir žmogiškuosius išteklius. Lietuvos Respublikos užsienio reikalų ministerija abejoja, ar siūlomas Nutarimo projektas yra vienintelis kelias pasiekti išsikeltų tikslų ir ar tokiu būdu nepažeidžiamas Įstatyme įtvirtintas tikslingumo principas, reiškiantis, kad teisės akto projektas turi būti rengiamas ir teisės aktas priimamas tik tuo atveju, kai siekiamų tikslų negalima pasiekti kitomis priemonėmis.</w:t>
            </w:r>
          </w:p>
        </w:tc>
        <w:tc>
          <w:tcPr>
            <w:tcW w:w="7200" w:type="dxa"/>
          </w:tcPr>
          <w:p w:rsidR="007F7E72" w:rsidRDefault="00F51D6E" w:rsidP="00BC6C97">
            <w:pPr>
              <w:pStyle w:val="Pavadinimas"/>
              <w:jc w:val="both"/>
              <w:rPr>
                <w:b w:val="0"/>
                <w:u w:val="single"/>
              </w:rPr>
            </w:pPr>
            <w:r>
              <w:rPr>
                <w:b w:val="0"/>
                <w:u w:val="single"/>
              </w:rPr>
              <w:lastRenderedPageBreak/>
              <w:t xml:space="preserve">Neatsižvelgta. </w:t>
            </w:r>
            <w:r w:rsidRPr="00F51D6E">
              <w:rPr>
                <w:b w:val="0"/>
              </w:rPr>
              <w:t>Žr. argumentus, pate</w:t>
            </w:r>
            <w:r w:rsidR="00FD49A5">
              <w:rPr>
                <w:b w:val="0"/>
              </w:rPr>
              <w:t>i</w:t>
            </w:r>
            <w:r w:rsidRPr="00F51D6E">
              <w:rPr>
                <w:b w:val="0"/>
              </w:rPr>
              <w:t>ktus lentelės 1-oje eilutėje.</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503789">
              <w:rPr>
                <w:b w:val="0"/>
                <w:bCs w:val="0"/>
              </w:rPr>
              <w:t xml:space="preserve">Nutarimo projekto rengėjai svarsto tik vieną reorganizacijos variantą, nors Įstatyme įtvirtintas efektyvumo principas įpareigoja rengiant teisės akto projektą įvertinti visas galimas teisinio reguliavimo alternatyvas ir pasirinkti geriausią iš jų, o teisės akte įtvirtinti veiksmingiausiai ir ekonomiškiausiai teisinio reguliavimo tikslą leisiančias pasiekti priemones. Užsienio reikalų ministerija atkreipia dėmesį, kad Nutarimo projekto rengėjų pasirinktas būdas – Europos teisės departamentą prie Lietuvos Respublikos teisingumo ministerijos (toliau – Europos teisės departamentas) reorganizuoti jungimo būdu ir prijungti prie Teisingumo ministerijos – Europos Sąjungos šalyse ypač retas, o kitos alternatyvos, pvz., pakeisti Europos teisės departamento pavaldumą, nenagrinėtos. Atkreiptinas dėmesys, kad daugelyje valstybių narių analogiškos institucijos/struktūros veikia arba prie vyriausybės kanceliarijos, arba prie užsienio reikalų ministerijos, arba funkcijos padalytos tarp šių institucijų, tik trijose iš dvidešimt aštuonių valstybių narių, įskaitant Lietuvą, </w:t>
            </w:r>
            <w:r w:rsidRPr="00503789">
              <w:rPr>
                <w:b w:val="0"/>
                <w:bCs w:val="0"/>
              </w:rPr>
              <w:lastRenderedPageBreak/>
              <w:t>veikia prie teisingumo ministerijų.</w:t>
            </w:r>
          </w:p>
        </w:tc>
        <w:tc>
          <w:tcPr>
            <w:tcW w:w="7200" w:type="dxa"/>
          </w:tcPr>
          <w:p w:rsidR="007F7E72" w:rsidRDefault="00F51D6E" w:rsidP="00503789">
            <w:pPr>
              <w:pStyle w:val="Pavadinimas"/>
              <w:jc w:val="both"/>
              <w:rPr>
                <w:b w:val="0"/>
                <w:u w:val="single"/>
              </w:rPr>
            </w:pPr>
            <w:r w:rsidRPr="00503789">
              <w:rPr>
                <w:b w:val="0"/>
                <w:u w:val="single"/>
              </w:rPr>
              <w:lastRenderedPageBreak/>
              <w:t>Neatsižvelgta.</w:t>
            </w:r>
            <w:r w:rsidR="009C119E" w:rsidRPr="00F51D6E">
              <w:rPr>
                <w:b w:val="0"/>
              </w:rPr>
              <w:t xml:space="preserve"> Žr. argumentus, pate</w:t>
            </w:r>
            <w:r w:rsidR="00FD49A5">
              <w:rPr>
                <w:b w:val="0"/>
              </w:rPr>
              <w:t>i</w:t>
            </w:r>
            <w:r w:rsidR="009C119E" w:rsidRPr="00F51D6E">
              <w:rPr>
                <w:b w:val="0"/>
              </w:rPr>
              <w:t xml:space="preserve">ktus lentelės </w:t>
            </w:r>
            <w:r w:rsidR="009C119E">
              <w:rPr>
                <w:b w:val="0"/>
              </w:rPr>
              <w:t>1-oje ir 3</w:t>
            </w:r>
            <w:r w:rsidR="009C119E" w:rsidRPr="00F51D6E">
              <w:rPr>
                <w:b w:val="0"/>
              </w:rPr>
              <w:t>-oje eilutė</w:t>
            </w:r>
            <w:r w:rsidR="009C119E">
              <w:rPr>
                <w:b w:val="0"/>
              </w:rPr>
              <w:t>se</w:t>
            </w:r>
            <w:r w:rsidR="009C119E" w:rsidRPr="00F51D6E">
              <w:rPr>
                <w:b w:val="0"/>
              </w:rPr>
              <w:t>.</w:t>
            </w:r>
            <w:r w:rsidR="009C119E">
              <w:rPr>
                <w:b w:val="0"/>
              </w:rPr>
              <w:t xml:space="preserve"> </w:t>
            </w:r>
            <w:r w:rsidR="009C119E" w:rsidRPr="009C119E">
              <w:rPr>
                <w:b w:val="0"/>
              </w:rPr>
              <w:t>Europos teisės departamentas veikia teisingumo ministrui pavestose valdymo srityse (nacionalinės teisinės sistemos plėtra; tarptautinis teisinis bendradarbiavimas ir atstovavimo Lietuvos Respublikos interesams tarptautiniuose teismuose koordinavimas (užtikrinimas)),</w:t>
            </w:r>
            <w:r w:rsidR="00503789">
              <w:rPr>
                <w:b w:val="0"/>
              </w:rPr>
              <w:t xml:space="preserve"> o jo</w:t>
            </w:r>
            <w:r w:rsidR="00503789" w:rsidRPr="00503789">
              <w:rPr>
                <w:b w:val="0"/>
              </w:rPr>
              <w:t xml:space="preserve"> vykdomos funkcijos iš esmės yra giminingos Teisingumo ministerijos vykdomoms funkcijoms</w:t>
            </w:r>
            <w:r w:rsidR="00503789">
              <w:rPr>
                <w:b w:val="0"/>
              </w:rPr>
              <w:t xml:space="preserve">. Atsižvelgiant į tai, šios įstaigos pavaldumo pakeitimas nėra svarstytinas. </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t xml:space="preserve">Nutarimo projekto rengėjai nenurodo, kokiomis priemonėmis bus užtikrintas reorganizuoto Europos teisės departamento veiklos efektyvumas: teikime nurodoma, kad šiuo metu Europos teisės departamentui nustatytas didžiausias leistinas pareigybių skaičius yra 17 pareigybių, o įgyvendinus reorganizaciją Teisingumo ministerijos pareigybių skaičių reikės padidinti tik 14 pareigybių. </w:t>
            </w:r>
            <w:r w:rsidRPr="00503789">
              <w:rPr>
                <w:b w:val="0"/>
                <w:bCs w:val="0"/>
              </w:rPr>
              <w:t>Atsižvelgiant į tai, kad Nutarimo projektu siūloma nustatyti, kad Teisingumo ministerija atliks visas Europos teisės departamento nuostatų 8 punkte nurodytas funkcijas, kyla klausimų, ar galimai sumažėjus pareigybių skaičiui bus išlaikyta atliekamo darbo kokybė.</w:t>
            </w:r>
            <w:r w:rsidRPr="007F7E72">
              <w:rPr>
                <w:b w:val="0"/>
                <w:bCs w:val="0"/>
              </w:rPr>
              <w:t xml:space="preserve"> Užsienio reikalų ministerija pasigenda argumentų, kad po reorganizacijos būtų išsaugota nuo 1997 metų daugiau ar mažiau savarankiškai veikiančio Europos teisės departamento sukaupta institucinė atmintis ir ekspertinė kvalifikacija.</w:t>
            </w:r>
          </w:p>
        </w:tc>
        <w:tc>
          <w:tcPr>
            <w:tcW w:w="7200" w:type="dxa"/>
          </w:tcPr>
          <w:p w:rsidR="007F7E72" w:rsidRDefault="00F51D6E" w:rsidP="00F51D6E">
            <w:pPr>
              <w:pStyle w:val="Pavadinimas"/>
              <w:jc w:val="both"/>
              <w:rPr>
                <w:b w:val="0"/>
                <w:u w:val="single"/>
              </w:rPr>
            </w:pPr>
            <w:r w:rsidRPr="00503789">
              <w:rPr>
                <w:b w:val="0"/>
                <w:u w:val="single"/>
              </w:rPr>
              <w:t xml:space="preserve">Neatsižvelgta. </w:t>
            </w:r>
            <w:r w:rsidRPr="00503789">
              <w:rPr>
                <w:b w:val="0"/>
              </w:rPr>
              <w:t>Žr. argumentus, pate</w:t>
            </w:r>
            <w:r w:rsidR="00FD49A5">
              <w:rPr>
                <w:b w:val="0"/>
              </w:rPr>
              <w:t>i</w:t>
            </w:r>
            <w:r w:rsidRPr="00503789">
              <w:rPr>
                <w:b w:val="0"/>
              </w:rPr>
              <w:t xml:space="preserve">ktus lentelės </w:t>
            </w:r>
            <w:r w:rsidR="00503789" w:rsidRPr="00503789">
              <w:rPr>
                <w:b w:val="0"/>
              </w:rPr>
              <w:t xml:space="preserve">1-oje, </w:t>
            </w:r>
            <w:r w:rsidRPr="00503789">
              <w:rPr>
                <w:b w:val="0"/>
              </w:rPr>
              <w:t>2-oje ir 7-oje eilutė</w:t>
            </w:r>
            <w:r w:rsidR="00FD49A5">
              <w:rPr>
                <w:b w:val="0"/>
              </w:rPr>
              <w:t>s</w:t>
            </w:r>
            <w:r w:rsidRPr="00503789">
              <w:rPr>
                <w:b w:val="0"/>
              </w:rPr>
              <w:t>e.</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F7E72" w:rsidRDefault="007F7E72" w:rsidP="00634D37">
            <w:pPr>
              <w:pStyle w:val="Pavadinimas"/>
              <w:tabs>
                <w:tab w:val="left" w:pos="317"/>
              </w:tabs>
              <w:ind w:left="34"/>
              <w:jc w:val="both"/>
              <w:rPr>
                <w:b w:val="0"/>
                <w:bCs w:val="0"/>
              </w:rPr>
            </w:pPr>
            <w:r w:rsidRPr="007F7E72">
              <w:rPr>
                <w:b w:val="0"/>
                <w:bCs w:val="0"/>
              </w:rPr>
              <w:t xml:space="preserve">Atkreiptinas dėmesys, kad galiojantis įstatyminis reguliavimas, pavyzdžiui, Seimo statuto 136 straipsnis ir su juo susijusios kitos nuostatos, numato Europos teisės departamentui tam tikras funkcijas įstatymų leidybos procese,  todėl priėmus Nutarimo projektą, jis galimai neatitiktų Įstatyme įtvirtino sistemiškumo principo, reiškiančio, kad teisės normos turi derėti tarpusavyje, žemesnės teisinės galios teisės aktai neturi prieštarauti aukštesnės teisinės galios teisės aktams, įstatymo įgyvendinamieji teisės aktai turi būti rengiami ir priimami taip, kad </w:t>
            </w:r>
            <w:r w:rsidRPr="007F7E72">
              <w:rPr>
                <w:b w:val="0"/>
                <w:bCs w:val="0"/>
              </w:rPr>
              <w:lastRenderedPageBreak/>
              <w:t>įsigaliotų kartu su įstatymu ar atskiromis jo nuostatomis, kurias šie teisės aktai įgyvendina.</w:t>
            </w:r>
          </w:p>
        </w:tc>
        <w:tc>
          <w:tcPr>
            <w:tcW w:w="7200" w:type="dxa"/>
          </w:tcPr>
          <w:p w:rsidR="007F7E72" w:rsidRDefault="00F51D6E" w:rsidP="00F51D6E">
            <w:pPr>
              <w:pStyle w:val="Pavadinimas"/>
              <w:jc w:val="both"/>
              <w:rPr>
                <w:b w:val="0"/>
                <w:u w:val="single"/>
              </w:rPr>
            </w:pPr>
            <w:r>
              <w:rPr>
                <w:b w:val="0"/>
                <w:u w:val="single"/>
              </w:rPr>
              <w:lastRenderedPageBreak/>
              <w:t>Neatsižvelgta.</w:t>
            </w:r>
            <w:r w:rsidRPr="00F51D6E">
              <w:rPr>
                <w:b w:val="0"/>
              </w:rPr>
              <w:t xml:space="preserve"> </w:t>
            </w:r>
            <w:r>
              <w:rPr>
                <w:b w:val="0"/>
              </w:rPr>
              <w:t>V</w:t>
            </w:r>
            <w:r w:rsidRPr="00F51D6E">
              <w:rPr>
                <w:b w:val="0"/>
              </w:rPr>
              <w:t xml:space="preserve">isų pirma pažymėtina, kad, siekiant laikytis valdžių padalijimo principo, Vyriausybė negali savo iniciatyva inicijuoti Seimo statuto pakeitimų. Kita vertus, Seimo statuto, kaip jo vidaus darbo tvarkai reglamentuoti skirto dokumento, nuostatos neturėtų riboti Vyriausybės diskrecijos spręsti dėl vykdomosios valdžios funkcijų įgyvendinimo vienokiu ar kitokiu būdu ir įgyvendinti reikalingas pertvarkas savo srityje. Inicijuojant reikalingus įstatymų pakeitimus dar nepriėmus Vyriausybės nutarimo dėl sutikimo reorganizuoti Europos teisės departamentą, būtų sunku numatyti įstatymų pakeitimų įsigaliojimo datą, be to, laukiant Seimo apsisprendimo dėl tokių įstatymų pakeitimo reali situacija dėl įstatymų įsigaliojimo gali nesutapti su Vyriausybės ketinama numatyti reorganizavimo pabaigos </w:t>
            </w:r>
            <w:r w:rsidRPr="00F51D6E">
              <w:rPr>
                <w:b w:val="0"/>
              </w:rPr>
              <w:lastRenderedPageBreak/>
              <w:t>data ar apskritai su siekiu reorganizuoti šią įstaigą kiek įmanoma skubiau. Taip pat atkreipiame dėmesį, kad praktikoje yra pavyzdžių, kai iš pradžių buvo priimti Vyriausybės sprendimai dėl įstaigos reorganizavimo/ likvidavimo, o tik po to priimti reikalingi teisės aktų pakeitimai (pvz., Valstybinio turizmo departamento prie Ūkio ministerijos likvidavimas). Bet kuriuo atveju, reorganizuojant Europos teisės departamentą, įstaigos teises ir pareigas perims Teisingumo ministerija ir jas toliau įgyvendins, tuo pačiu užtikrindama Europos teisės departamento funkcijų vykdymo tęstinumą. Todėl, jeigu iškiltų tokia situacija, kai dėl vienokių ar kitokių priežasčių nebūtų priimti Seimo statuto pakeitimai, iš esmės didelių problemų dėl to nekiltų, nes vietoj teisės aktų tekstuose nurodyto Europos teisės departamento atitinkamos nuostatos turėtų būti taikomos visas jo teises ir pareigas perėmusiai Teisingumo ministerijai.</w:t>
            </w:r>
          </w:p>
        </w:tc>
      </w:tr>
      <w:tr w:rsidR="007F7E72" w:rsidTr="00EC0AE1">
        <w:tblPrEx>
          <w:tblCellMar>
            <w:top w:w="0" w:type="dxa"/>
            <w:bottom w:w="0" w:type="dxa"/>
          </w:tblCellMar>
        </w:tblPrEx>
        <w:trPr>
          <w:trHeight w:val="516"/>
        </w:trPr>
        <w:tc>
          <w:tcPr>
            <w:tcW w:w="720" w:type="dxa"/>
          </w:tcPr>
          <w:p w:rsidR="007F7E72" w:rsidRDefault="007F7E72" w:rsidP="006424BA">
            <w:pPr>
              <w:pStyle w:val="Pavadinimas"/>
              <w:numPr>
                <w:ilvl w:val="0"/>
                <w:numId w:val="21"/>
              </w:numPr>
              <w:rPr>
                <w:b w:val="0"/>
                <w:bCs w:val="0"/>
              </w:rPr>
            </w:pPr>
          </w:p>
        </w:tc>
        <w:tc>
          <w:tcPr>
            <w:tcW w:w="1690" w:type="dxa"/>
            <w:vMerge/>
          </w:tcPr>
          <w:p w:rsidR="007F7E72" w:rsidRDefault="007F7E72" w:rsidP="003B6E66">
            <w:pPr>
              <w:pStyle w:val="Pavadinimas"/>
              <w:rPr>
                <w:b w:val="0"/>
                <w:bCs w:val="0"/>
              </w:rPr>
            </w:pPr>
          </w:p>
        </w:tc>
        <w:tc>
          <w:tcPr>
            <w:tcW w:w="4970" w:type="dxa"/>
          </w:tcPr>
          <w:p w:rsidR="007F7E72" w:rsidRPr="007C63C2" w:rsidRDefault="007F7E72" w:rsidP="007F7E72">
            <w:pPr>
              <w:pStyle w:val="Pavadinimas"/>
              <w:tabs>
                <w:tab w:val="left" w:pos="317"/>
              </w:tabs>
              <w:ind w:left="34"/>
              <w:jc w:val="both"/>
              <w:rPr>
                <w:b w:val="0"/>
                <w:bCs w:val="0"/>
              </w:rPr>
            </w:pPr>
            <w:r w:rsidRPr="007C63C2">
              <w:rPr>
                <w:b w:val="0"/>
                <w:bCs w:val="0"/>
              </w:rPr>
              <w:t xml:space="preserve">Teisingumo ministerijos teikime taip pat nurodoma, kad „Nutarimo projektu iš esmės nėra keičiamas esamas teisinis reguliavimas, todėl numatomo teisinio reguliavimo poveikio vertinimas &lt;...&gt; neatliekamas.“ Užsienio reikalų ministerijos vertinimu, įgyvendinus Nutarimo projekte numatytą reorganizavimą, turėtų keistis Europos Sąjungos teisės aktų perkėlimo į nacionalinę teisę ir jų taikymo užtikrinimo, taip pat Lietuvos Respublikos atstovavimo Europos Sąjungos teismuose mechanizmas. </w:t>
            </w:r>
          </w:p>
          <w:p w:rsidR="007F7E72" w:rsidRPr="007C63C2" w:rsidRDefault="007F7E72" w:rsidP="007F7E72">
            <w:pPr>
              <w:pStyle w:val="Pavadinimas"/>
              <w:tabs>
                <w:tab w:val="left" w:pos="317"/>
              </w:tabs>
              <w:ind w:left="34"/>
              <w:jc w:val="both"/>
              <w:rPr>
                <w:b w:val="0"/>
                <w:bCs w:val="0"/>
              </w:rPr>
            </w:pPr>
            <w:r w:rsidRPr="007C63C2">
              <w:rPr>
                <w:b w:val="0"/>
                <w:bCs w:val="0"/>
              </w:rPr>
              <w:t xml:space="preserve">Atkreipiame dėmesį, kad Numatomo teisinio reguliavimo poveikio vertinimo metodikos, patvirtintos Lietuvos Respublikos Vyriausybės 2003 m. vasario 26 d. nutarimu Nr. 276 (toliau – Metodikos), 2 punktas apibrėžia Metodikos taikymo paskirtį: „numatomo teisinio reguliavimo poveikio vertinimas atliekamas siekiant tobulinti viešosios politikos formavimą, sprendimų priėmimą, suteikti rengiančioms ir </w:t>
            </w:r>
            <w:r w:rsidRPr="007C63C2">
              <w:rPr>
                <w:b w:val="0"/>
                <w:bCs w:val="0"/>
              </w:rPr>
              <w:lastRenderedPageBreak/>
              <w:t>priimančioms sprendimus valstybės institucijoms ir įstaigoms informaciją apie galimas sprendimų alternatyvas ir jų įgyvendinimo pasekmes, sudaryti sąlygas pasirinkti tinkamiausią problemos sprendimo būdą“. Nutarimo projekto rengėjų sprendimas savaip interpretuoti Metodikos 4 punktą ir rengiant Nutarimo projektą šia Metodika nesivadovauti neleidžia įvertinti visų sprendimo alternatyvų ir iš jų išsirinkti geriausią.</w:t>
            </w:r>
          </w:p>
          <w:p w:rsidR="007F7E72" w:rsidRPr="007F7E72" w:rsidRDefault="007F7E72" w:rsidP="007F7E72">
            <w:pPr>
              <w:pStyle w:val="Pavadinimas"/>
              <w:tabs>
                <w:tab w:val="left" w:pos="317"/>
              </w:tabs>
              <w:ind w:left="34"/>
              <w:jc w:val="both"/>
              <w:rPr>
                <w:b w:val="0"/>
                <w:bCs w:val="0"/>
              </w:rPr>
            </w:pPr>
            <w:r w:rsidRPr="007C63C2">
              <w:rPr>
                <w:b w:val="0"/>
                <w:bCs w:val="0"/>
              </w:rPr>
              <w:t>Užsienio reikalų ministerija mano, kad, prieš teikiant Nutarimo projektą Vyriausybei, derėtų įvertinti visas alternatyvas ir sąnaudas, taip pat jį suderinti su visomis suinteresuotomis institucijomis, tarp jų – ir su Lietuvos Respublikos Seimu ir Respublikos Prezidento kanceliarija.</w:t>
            </w:r>
          </w:p>
        </w:tc>
        <w:tc>
          <w:tcPr>
            <w:tcW w:w="7200" w:type="dxa"/>
          </w:tcPr>
          <w:p w:rsidR="007F7E72" w:rsidRPr="007C63C2" w:rsidRDefault="00F51D6E" w:rsidP="007C63C2">
            <w:pPr>
              <w:pStyle w:val="Pavadinimas"/>
              <w:jc w:val="both"/>
              <w:rPr>
                <w:b w:val="0"/>
              </w:rPr>
            </w:pPr>
            <w:r w:rsidRPr="007C63C2">
              <w:rPr>
                <w:b w:val="0"/>
                <w:u w:val="single"/>
              </w:rPr>
              <w:lastRenderedPageBreak/>
              <w:t>Neatsižvelgta.</w:t>
            </w:r>
            <w:r>
              <w:rPr>
                <w:b w:val="0"/>
                <w:u w:val="single"/>
              </w:rPr>
              <w:t xml:space="preserve"> </w:t>
            </w:r>
            <w:r w:rsidR="00FD49A5" w:rsidRPr="00F51D6E">
              <w:rPr>
                <w:b w:val="0"/>
              </w:rPr>
              <w:t xml:space="preserve"> Žr. argumentus, pate</w:t>
            </w:r>
            <w:r w:rsidR="00FD49A5">
              <w:rPr>
                <w:b w:val="0"/>
              </w:rPr>
              <w:t>i</w:t>
            </w:r>
            <w:r w:rsidR="00FD49A5" w:rsidRPr="00F51D6E">
              <w:rPr>
                <w:b w:val="0"/>
              </w:rPr>
              <w:t xml:space="preserve">ktus lentelės </w:t>
            </w:r>
            <w:r w:rsidR="00FD49A5">
              <w:rPr>
                <w:b w:val="0"/>
              </w:rPr>
              <w:t>9</w:t>
            </w:r>
            <w:r w:rsidR="00FD49A5" w:rsidRPr="00F51D6E">
              <w:rPr>
                <w:b w:val="0"/>
              </w:rPr>
              <w:t>-oje eilutė</w:t>
            </w:r>
            <w:r w:rsidR="00FD49A5">
              <w:rPr>
                <w:b w:val="0"/>
              </w:rPr>
              <w:t>je</w:t>
            </w:r>
            <w:r w:rsidR="00FD49A5" w:rsidRPr="00F51D6E">
              <w:rPr>
                <w:b w:val="0"/>
              </w:rPr>
              <w:t>.</w:t>
            </w:r>
            <w:r w:rsidR="00F5620F">
              <w:rPr>
                <w:b w:val="0"/>
              </w:rPr>
              <w:t xml:space="preserve"> Taip pat pažymėtina, kad, a</w:t>
            </w:r>
            <w:r w:rsidR="00F5620F" w:rsidRPr="00F5620F">
              <w:rPr>
                <w:b w:val="0"/>
              </w:rPr>
              <w:t>tsižvelgiant į nusistovėjusią tokio pobūdžio Vyriausybės priimamų nutarimų praktiką</w:t>
            </w:r>
            <w:r w:rsidR="00F5620F">
              <w:rPr>
                <w:b w:val="0"/>
              </w:rPr>
              <w:t xml:space="preserve">, </w:t>
            </w:r>
            <w:r w:rsidR="00F5620F" w:rsidRPr="00F5620F">
              <w:rPr>
                <w:b w:val="0"/>
              </w:rPr>
              <w:t>numatomo teisinio reguliavimo poveikio vertinimas neatliekamas</w:t>
            </w:r>
            <w:r w:rsidR="00F5620F">
              <w:rPr>
                <w:b w:val="0"/>
              </w:rPr>
              <w:t>.</w:t>
            </w:r>
            <w:r w:rsidR="00D855D9">
              <w:rPr>
                <w:b w:val="0"/>
              </w:rPr>
              <w:t xml:space="preserve"> Pvz., poveikio vertinimas nebuvo atliktas dėl Lietuvos Respublikos </w:t>
            </w:r>
            <w:r w:rsidR="00D855D9" w:rsidRPr="00F5620F">
              <w:rPr>
                <w:b w:val="0"/>
              </w:rPr>
              <w:t xml:space="preserve">Vyriausybės nutarimo </w:t>
            </w:r>
            <w:r w:rsidR="00D855D9">
              <w:rPr>
                <w:b w:val="0"/>
              </w:rPr>
              <w:t>„</w:t>
            </w:r>
            <w:r w:rsidR="00D855D9" w:rsidRPr="00F5620F">
              <w:rPr>
                <w:b w:val="0"/>
              </w:rPr>
              <w:t>Dėl Valstybinio turizmo departamento prie Ūkio ministerijos likvidavimo</w:t>
            </w:r>
            <w:r w:rsidR="00D855D9">
              <w:rPr>
                <w:b w:val="0"/>
              </w:rPr>
              <w:t>“,</w:t>
            </w:r>
            <w:r w:rsidR="00D855D9" w:rsidRPr="00F5620F">
              <w:rPr>
                <w:b w:val="0"/>
              </w:rPr>
              <w:t xml:space="preserve"> </w:t>
            </w:r>
            <w:r w:rsidR="00D855D9">
              <w:rPr>
                <w:b w:val="0"/>
              </w:rPr>
              <w:t xml:space="preserve">Lietuvos Respublikos </w:t>
            </w:r>
            <w:r w:rsidR="00D855D9" w:rsidRPr="00F5620F">
              <w:rPr>
                <w:b w:val="0"/>
              </w:rPr>
              <w:t xml:space="preserve">Vyriausybės nutarimo „Dėl sutikimo reorganizuoti vyriausybės atstovų tarnybas“ </w:t>
            </w:r>
            <w:r w:rsidR="00D855D9">
              <w:rPr>
                <w:b w:val="0"/>
              </w:rPr>
              <w:t xml:space="preserve">ir kitų panašaus pobūdžio nutarimų. </w:t>
            </w:r>
            <w:r w:rsidR="00D855D9" w:rsidRPr="00D855D9">
              <w:rPr>
                <w:b w:val="0"/>
              </w:rPr>
              <w:t>Vadovaujantis Lietuvos Respublikos teisėkūros pagrindų įstatymo 15 straipsnio 1 dalimi</w:t>
            </w:r>
            <w:r w:rsidR="00D855D9">
              <w:rPr>
                <w:b w:val="0"/>
              </w:rPr>
              <w:t>, n</w:t>
            </w:r>
            <w:r w:rsidR="00D855D9" w:rsidRPr="00D855D9">
              <w:rPr>
                <w:b w:val="0"/>
              </w:rPr>
              <w:t>umatomo teisinio reguliavimo poveikio vertinim</w:t>
            </w:r>
            <w:r w:rsidR="00D855D9">
              <w:rPr>
                <w:b w:val="0"/>
              </w:rPr>
              <w:t>ą</w:t>
            </w:r>
            <w:r w:rsidR="007C63C2">
              <w:rPr>
                <w:b w:val="0"/>
              </w:rPr>
              <w:t xml:space="preserve"> privaloma atlikti</w:t>
            </w:r>
            <w:r w:rsidR="00D855D9">
              <w:rPr>
                <w:b w:val="0"/>
              </w:rPr>
              <w:t>, kai</w:t>
            </w:r>
            <w:r w:rsidR="00D855D9">
              <w:t xml:space="preserve"> </w:t>
            </w:r>
            <w:r w:rsidR="00D855D9" w:rsidRPr="007C63C2">
              <w:rPr>
                <w:b w:val="0"/>
              </w:rPr>
              <w:t>rengiamas teisės akto,</w:t>
            </w:r>
            <w:r w:rsidR="00D855D9">
              <w:t xml:space="preserve"> </w:t>
            </w:r>
            <w:r w:rsidR="00D855D9" w:rsidRPr="00D855D9">
              <w:rPr>
                <w:b w:val="0"/>
              </w:rPr>
              <w:t>kuriuo numatoma reglamentuoti iki tol nereglamentuotus santykius, taip pat kuriuo iš esmės keičiamas teisinis reguliavimas, projekt</w:t>
            </w:r>
            <w:r w:rsidR="00D855D9">
              <w:rPr>
                <w:b w:val="0"/>
              </w:rPr>
              <w:t xml:space="preserve">as. </w:t>
            </w:r>
            <w:r w:rsidR="007C63C2">
              <w:rPr>
                <w:b w:val="0"/>
              </w:rPr>
              <w:t xml:space="preserve">Ministerijos vertinimu, Nutarimo projektu </w:t>
            </w:r>
            <w:r w:rsidR="007C63C2" w:rsidRPr="007C63C2">
              <w:rPr>
                <w:b w:val="0"/>
              </w:rPr>
              <w:t>iš esmės nėra keičiamas esamas teisinis reguliavimas, todėl numatomo teisinio regul</w:t>
            </w:r>
            <w:r w:rsidR="007C63C2">
              <w:rPr>
                <w:b w:val="0"/>
              </w:rPr>
              <w:t>iavimo poveikio vertinimas</w:t>
            </w:r>
            <w:r w:rsidR="007C63C2" w:rsidRPr="007C63C2">
              <w:rPr>
                <w:b w:val="0"/>
              </w:rPr>
              <w:t xml:space="preserve"> neatliekamas</w:t>
            </w:r>
            <w:r w:rsidR="007C63C2">
              <w:rPr>
                <w:b w:val="0"/>
              </w:rPr>
              <w:t>.</w:t>
            </w:r>
          </w:p>
        </w:tc>
      </w:tr>
      <w:tr w:rsidR="00C046A4" w:rsidTr="00EC0AE1">
        <w:tblPrEx>
          <w:tblCellMar>
            <w:top w:w="0" w:type="dxa"/>
            <w:bottom w:w="0" w:type="dxa"/>
          </w:tblCellMar>
        </w:tblPrEx>
        <w:trPr>
          <w:trHeight w:val="516"/>
        </w:trPr>
        <w:tc>
          <w:tcPr>
            <w:tcW w:w="720" w:type="dxa"/>
          </w:tcPr>
          <w:p w:rsidR="00C046A4" w:rsidRDefault="00C046A4" w:rsidP="006424BA">
            <w:pPr>
              <w:pStyle w:val="Pavadinimas"/>
              <w:numPr>
                <w:ilvl w:val="0"/>
                <w:numId w:val="21"/>
              </w:numPr>
              <w:rPr>
                <w:b w:val="0"/>
                <w:bCs w:val="0"/>
              </w:rPr>
            </w:pPr>
          </w:p>
        </w:tc>
        <w:tc>
          <w:tcPr>
            <w:tcW w:w="1690" w:type="dxa"/>
            <w:vMerge w:val="restart"/>
          </w:tcPr>
          <w:p w:rsidR="00C046A4" w:rsidRDefault="00C046A4" w:rsidP="00C046A4">
            <w:pPr>
              <w:pStyle w:val="Pavadinimas"/>
              <w:rPr>
                <w:b w:val="0"/>
                <w:bCs w:val="0"/>
              </w:rPr>
            </w:pPr>
            <w:r w:rsidRPr="00C046A4">
              <w:rPr>
                <w:b w:val="0"/>
                <w:bCs w:val="0"/>
              </w:rPr>
              <w:t>Vyriaus</w:t>
            </w:r>
            <w:r>
              <w:rPr>
                <w:b w:val="0"/>
                <w:bCs w:val="0"/>
              </w:rPr>
              <w:t>ybės kanceliarijos Teisės grupė</w:t>
            </w:r>
            <w:r w:rsidRPr="00C046A4">
              <w:rPr>
                <w:b w:val="0"/>
                <w:bCs w:val="0"/>
              </w:rPr>
              <w:t xml:space="preserve"> </w:t>
            </w:r>
            <w:r>
              <w:rPr>
                <w:b w:val="0"/>
                <w:bCs w:val="0"/>
              </w:rPr>
              <w:t>(2019-01-</w:t>
            </w:r>
            <w:r w:rsidRPr="00C046A4">
              <w:rPr>
                <w:b w:val="0"/>
                <w:bCs w:val="0"/>
              </w:rPr>
              <w:t>17 d. išvad</w:t>
            </w:r>
            <w:r>
              <w:rPr>
                <w:b w:val="0"/>
                <w:bCs w:val="0"/>
              </w:rPr>
              <w:t>a</w:t>
            </w:r>
            <w:r w:rsidRPr="00C046A4">
              <w:rPr>
                <w:b w:val="0"/>
                <w:bCs w:val="0"/>
              </w:rPr>
              <w:t xml:space="preserve"> Nr. NV-143</w:t>
            </w:r>
            <w:r>
              <w:rPr>
                <w:b w:val="0"/>
                <w:bCs w:val="0"/>
              </w:rPr>
              <w:t>)</w:t>
            </w:r>
          </w:p>
        </w:tc>
        <w:tc>
          <w:tcPr>
            <w:tcW w:w="4970" w:type="dxa"/>
          </w:tcPr>
          <w:p w:rsidR="00C046A4" w:rsidRPr="00C046A4" w:rsidRDefault="00C046A4" w:rsidP="00C046A4">
            <w:pPr>
              <w:pStyle w:val="Pavadinimas"/>
              <w:tabs>
                <w:tab w:val="left" w:pos="317"/>
              </w:tabs>
              <w:ind w:left="34"/>
              <w:jc w:val="both"/>
              <w:rPr>
                <w:b w:val="0"/>
                <w:bCs w:val="0"/>
              </w:rPr>
            </w:pPr>
            <w:r>
              <w:rPr>
                <w:b w:val="0"/>
                <w:bCs w:val="0"/>
              </w:rPr>
              <w:t xml:space="preserve">1. </w:t>
            </w:r>
            <w:r w:rsidRPr="00C046A4">
              <w:rPr>
                <w:b w:val="0"/>
                <w:bCs w:val="0"/>
              </w:rPr>
              <w:t xml:space="preserve">Projektu siūloma Vyriausybei sutikti, kad Europos teisės departamentas prie Lietuvos Respublikos teisingumo ministerijos būtų reorganizuojamas jungimo būdu, prijungiant jį prie Lietuvos Respublikos teisingumo ministerijos. </w:t>
            </w:r>
          </w:p>
          <w:p w:rsidR="00C046A4" w:rsidRPr="007F7E72" w:rsidRDefault="00C046A4" w:rsidP="00C046A4">
            <w:pPr>
              <w:pStyle w:val="Pavadinimas"/>
              <w:tabs>
                <w:tab w:val="left" w:pos="317"/>
              </w:tabs>
              <w:ind w:left="34"/>
              <w:jc w:val="both"/>
              <w:rPr>
                <w:b w:val="0"/>
                <w:bCs w:val="0"/>
              </w:rPr>
            </w:pPr>
            <w:r w:rsidRPr="00C046A4">
              <w:rPr>
                <w:b w:val="0"/>
                <w:bCs w:val="0"/>
              </w:rPr>
              <w:t xml:space="preserve">Aptariamo reguliavimo kontekste atkreiptinas dėmesys į įstatyminį reguliavimą, kuriame  Europos teisės departamentas prie Lietuvos Respublikos teisingumo ministerijos yra įvardijamas kaip atskira įstaiga, pvz., Lietuvos Respublikos reglamentuojamų profesinių kvalifikacijų pripažinimo įstatymo 64 straipsnyje minimas šio departamento atstovas kaip apeliacinės komisijos narys, Lietuvos Respublikos Seimo statute minėtam departamentui taip pat yra priskirtos atitinkamos </w:t>
            </w:r>
            <w:r w:rsidRPr="00C046A4">
              <w:rPr>
                <w:b w:val="0"/>
                <w:bCs w:val="0"/>
              </w:rPr>
              <w:lastRenderedPageBreak/>
              <w:t>funkcijos įstatymų leidybos procese vertinant Seime registruotų projektų atitiktį Europos Sąjungos teisei. Reorganizavus šią įstaigą ir jos funkcijas perdavus vykdyti Teisingumo ministerijai, galiojantis įstatyminis reguliavimas tam tikra apimtimi neatitiks faktinės situacijos, todėl visų pirma atitinkamai turėtų būti koreguojamas, be kita ko, siekiant užtikrinti teisės aktų hierarchijos principo laikymąsi.</w:t>
            </w:r>
          </w:p>
        </w:tc>
        <w:tc>
          <w:tcPr>
            <w:tcW w:w="7200" w:type="dxa"/>
          </w:tcPr>
          <w:p w:rsidR="00C046A4" w:rsidRDefault="00C046A4" w:rsidP="00C046A4">
            <w:pPr>
              <w:pStyle w:val="Pavadinimas"/>
              <w:jc w:val="both"/>
              <w:rPr>
                <w:b w:val="0"/>
                <w:u w:val="single"/>
              </w:rPr>
            </w:pPr>
            <w:r w:rsidRPr="00C046A4">
              <w:rPr>
                <w:b w:val="0"/>
                <w:u w:val="single"/>
              </w:rPr>
              <w:lastRenderedPageBreak/>
              <w:t xml:space="preserve">Neatsižvelgta. </w:t>
            </w:r>
            <w:r w:rsidRPr="00C046A4">
              <w:rPr>
                <w:b w:val="0"/>
              </w:rPr>
              <w:t>Žr. argumentus, pate</w:t>
            </w:r>
            <w:r w:rsidR="00FD49A5">
              <w:rPr>
                <w:b w:val="0"/>
              </w:rPr>
              <w:t>i</w:t>
            </w:r>
            <w:r w:rsidRPr="00C046A4">
              <w:rPr>
                <w:b w:val="0"/>
              </w:rPr>
              <w:t>ktus lentelės 11-oje eilutėje.</w:t>
            </w:r>
          </w:p>
        </w:tc>
      </w:tr>
      <w:tr w:rsidR="00C046A4" w:rsidTr="00EC0AE1">
        <w:tblPrEx>
          <w:tblCellMar>
            <w:top w:w="0" w:type="dxa"/>
            <w:bottom w:w="0" w:type="dxa"/>
          </w:tblCellMar>
        </w:tblPrEx>
        <w:trPr>
          <w:trHeight w:val="516"/>
        </w:trPr>
        <w:tc>
          <w:tcPr>
            <w:tcW w:w="720" w:type="dxa"/>
          </w:tcPr>
          <w:p w:rsidR="00C046A4" w:rsidRDefault="00C046A4" w:rsidP="006424BA">
            <w:pPr>
              <w:pStyle w:val="Pavadinimas"/>
              <w:numPr>
                <w:ilvl w:val="0"/>
                <w:numId w:val="21"/>
              </w:numPr>
              <w:rPr>
                <w:b w:val="0"/>
                <w:bCs w:val="0"/>
              </w:rPr>
            </w:pPr>
          </w:p>
        </w:tc>
        <w:tc>
          <w:tcPr>
            <w:tcW w:w="1690" w:type="dxa"/>
            <w:vMerge/>
          </w:tcPr>
          <w:p w:rsidR="00C046A4" w:rsidRDefault="00C046A4" w:rsidP="003B6E66">
            <w:pPr>
              <w:pStyle w:val="Pavadinimas"/>
              <w:rPr>
                <w:b w:val="0"/>
                <w:bCs w:val="0"/>
              </w:rPr>
            </w:pPr>
          </w:p>
        </w:tc>
        <w:tc>
          <w:tcPr>
            <w:tcW w:w="4970" w:type="dxa"/>
          </w:tcPr>
          <w:p w:rsidR="00C046A4" w:rsidRPr="007F7E72" w:rsidRDefault="00C046A4" w:rsidP="00C046A4">
            <w:pPr>
              <w:pStyle w:val="Pavadinimas"/>
              <w:tabs>
                <w:tab w:val="left" w:pos="317"/>
              </w:tabs>
              <w:ind w:left="34"/>
              <w:jc w:val="both"/>
              <w:rPr>
                <w:b w:val="0"/>
                <w:bCs w:val="0"/>
              </w:rPr>
            </w:pPr>
            <w:r>
              <w:rPr>
                <w:b w:val="0"/>
                <w:bCs w:val="0"/>
              </w:rPr>
              <w:t xml:space="preserve">2. </w:t>
            </w:r>
            <w:r w:rsidRPr="00C046A4">
              <w:rPr>
                <w:b w:val="0"/>
                <w:bCs w:val="0"/>
              </w:rPr>
              <w:t>Vyriausybės įstatymo 29 straipsnyje nustatyta, kad ministerija steigiama formuoti valstybės politiką, taip pat organizuoti, koordinuoti ir kontroliuoti jos įgyvendinimą ministrui pavestose valdymo srityse, valstybės politikos įgyvendinimo funkcijos ministerijai gali būti pavestos tik įstatymų nustatytais atvejais ir nustatytam terminui, tuo tarpu pagal minėto įstatymo 30 straipsnį įstaiga prie ministerijos steigiama valstybės politikai ministrui pavestose valdymo srityse įgyvendinti ir šios politikos formavimui ir įgyvendinimui aptarnauti, įstatymų nustatytais atvejais įstaigai prie ministerijos gali būti pavesta vykdyti dalyvavimo formuojant valstybės politiką ministrui pavestoje srityje funkcijas. Šio įstatyminio reguliavimo kontekste Projekto nuostatos (Projekto 2.5 papunktis) suponuoja tai, kad ministerijai, pakeitus Vyriausybės tvirtinamus nuostatus,  būtų perduotos įstaigos prie ministerijos vykdomos valstybės politikos įgyvendinimo funkcijos, nors, kaip nurodyta anksčiau, tai turėtų būti atliekama įstatymų numatytais atvejais ir tik nustatytam terminui.</w:t>
            </w:r>
          </w:p>
        </w:tc>
        <w:tc>
          <w:tcPr>
            <w:tcW w:w="7200" w:type="dxa"/>
          </w:tcPr>
          <w:p w:rsidR="00C046A4" w:rsidRDefault="00C046A4" w:rsidP="00C046A4">
            <w:pPr>
              <w:pStyle w:val="Pavadinimas"/>
              <w:jc w:val="both"/>
              <w:rPr>
                <w:b w:val="0"/>
                <w:u w:val="single"/>
              </w:rPr>
            </w:pPr>
            <w:r w:rsidRPr="00C046A4">
              <w:rPr>
                <w:b w:val="0"/>
                <w:u w:val="single"/>
              </w:rPr>
              <w:t xml:space="preserve">Neatsižvelgta. </w:t>
            </w:r>
            <w:r w:rsidRPr="00C046A4">
              <w:rPr>
                <w:b w:val="0"/>
              </w:rPr>
              <w:t>Žr. argumentus, pate</w:t>
            </w:r>
            <w:r w:rsidR="00FD49A5">
              <w:rPr>
                <w:b w:val="0"/>
              </w:rPr>
              <w:t>i</w:t>
            </w:r>
            <w:r w:rsidRPr="00C046A4">
              <w:rPr>
                <w:b w:val="0"/>
              </w:rPr>
              <w:t xml:space="preserve">ktus lentelės </w:t>
            </w:r>
            <w:r>
              <w:rPr>
                <w:b w:val="0"/>
              </w:rPr>
              <w:t>6</w:t>
            </w:r>
            <w:r w:rsidRPr="00C046A4">
              <w:rPr>
                <w:b w:val="0"/>
              </w:rPr>
              <w:t>-oje eilutėje.</w:t>
            </w:r>
          </w:p>
        </w:tc>
      </w:tr>
    </w:tbl>
    <w:p w:rsidR="009E0791" w:rsidRDefault="009E0791" w:rsidP="00D102CF">
      <w:pPr>
        <w:pStyle w:val="Pavadinimas"/>
        <w:jc w:val="both"/>
        <w:rPr>
          <w:b w:val="0"/>
          <w:bCs w:val="0"/>
        </w:rPr>
      </w:pPr>
    </w:p>
    <w:sectPr w:rsidR="009E0791">
      <w:headerReference w:type="even" r:id="rId8"/>
      <w:headerReference w:type="default" r:id="rId9"/>
      <w:pgSz w:w="16838" w:h="11906"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35D" w:rsidRDefault="0004735D">
      <w:r>
        <w:separator/>
      </w:r>
    </w:p>
  </w:endnote>
  <w:endnote w:type="continuationSeparator" w:id="0">
    <w:p w:rsidR="0004735D" w:rsidRDefault="000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35D" w:rsidRDefault="0004735D">
      <w:r>
        <w:separator/>
      </w:r>
    </w:p>
  </w:footnote>
  <w:footnote w:type="continuationSeparator" w:id="0">
    <w:p w:rsidR="0004735D" w:rsidRDefault="00047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0F" w:rsidRDefault="000B6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640F" w:rsidRDefault="000B640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0F" w:rsidRDefault="000B6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45AC">
      <w:rPr>
        <w:rStyle w:val="Puslapionumeris"/>
        <w:noProof/>
      </w:rPr>
      <w:t>2</w:t>
    </w:r>
    <w:r>
      <w:rPr>
        <w:rStyle w:val="Puslapionumeris"/>
      </w:rPr>
      <w:fldChar w:fldCharType="end"/>
    </w:r>
  </w:p>
  <w:p w:rsidR="000B640F" w:rsidRDefault="000B64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DE8"/>
    <w:multiLevelType w:val="hybridMultilevel"/>
    <w:tmpl w:val="67520B8E"/>
    <w:lvl w:ilvl="0" w:tplc="41FCBDA2">
      <w:start w:val="1"/>
      <w:numFmt w:val="decimal"/>
      <w:lvlText w:val="%1."/>
      <w:lvlJc w:val="left"/>
      <w:pPr>
        <w:ind w:left="1607" w:hanging="360"/>
      </w:pPr>
      <w:rPr>
        <w:rFonts w:cs="Times New Roman" w:hint="default"/>
      </w:rPr>
    </w:lvl>
    <w:lvl w:ilvl="1" w:tplc="04270019" w:tentative="1">
      <w:start w:val="1"/>
      <w:numFmt w:val="lowerLetter"/>
      <w:lvlText w:val="%2."/>
      <w:lvlJc w:val="left"/>
      <w:pPr>
        <w:ind w:left="2327" w:hanging="360"/>
      </w:pPr>
      <w:rPr>
        <w:rFonts w:cs="Times New Roman"/>
      </w:rPr>
    </w:lvl>
    <w:lvl w:ilvl="2" w:tplc="0427001B" w:tentative="1">
      <w:start w:val="1"/>
      <w:numFmt w:val="lowerRoman"/>
      <w:lvlText w:val="%3."/>
      <w:lvlJc w:val="right"/>
      <w:pPr>
        <w:ind w:left="3047" w:hanging="180"/>
      </w:pPr>
      <w:rPr>
        <w:rFonts w:cs="Times New Roman"/>
      </w:rPr>
    </w:lvl>
    <w:lvl w:ilvl="3" w:tplc="0427000F" w:tentative="1">
      <w:start w:val="1"/>
      <w:numFmt w:val="decimal"/>
      <w:lvlText w:val="%4."/>
      <w:lvlJc w:val="left"/>
      <w:pPr>
        <w:ind w:left="3767" w:hanging="360"/>
      </w:pPr>
      <w:rPr>
        <w:rFonts w:cs="Times New Roman"/>
      </w:rPr>
    </w:lvl>
    <w:lvl w:ilvl="4" w:tplc="04270019" w:tentative="1">
      <w:start w:val="1"/>
      <w:numFmt w:val="lowerLetter"/>
      <w:lvlText w:val="%5."/>
      <w:lvlJc w:val="left"/>
      <w:pPr>
        <w:ind w:left="4487" w:hanging="360"/>
      </w:pPr>
      <w:rPr>
        <w:rFonts w:cs="Times New Roman"/>
      </w:rPr>
    </w:lvl>
    <w:lvl w:ilvl="5" w:tplc="0427001B" w:tentative="1">
      <w:start w:val="1"/>
      <w:numFmt w:val="lowerRoman"/>
      <w:lvlText w:val="%6."/>
      <w:lvlJc w:val="right"/>
      <w:pPr>
        <w:ind w:left="5207" w:hanging="180"/>
      </w:pPr>
      <w:rPr>
        <w:rFonts w:cs="Times New Roman"/>
      </w:rPr>
    </w:lvl>
    <w:lvl w:ilvl="6" w:tplc="0427000F" w:tentative="1">
      <w:start w:val="1"/>
      <w:numFmt w:val="decimal"/>
      <w:lvlText w:val="%7."/>
      <w:lvlJc w:val="left"/>
      <w:pPr>
        <w:ind w:left="5927" w:hanging="360"/>
      </w:pPr>
      <w:rPr>
        <w:rFonts w:cs="Times New Roman"/>
      </w:rPr>
    </w:lvl>
    <w:lvl w:ilvl="7" w:tplc="04270019" w:tentative="1">
      <w:start w:val="1"/>
      <w:numFmt w:val="lowerLetter"/>
      <w:lvlText w:val="%8."/>
      <w:lvlJc w:val="left"/>
      <w:pPr>
        <w:ind w:left="6647" w:hanging="360"/>
      </w:pPr>
      <w:rPr>
        <w:rFonts w:cs="Times New Roman"/>
      </w:rPr>
    </w:lvl>
    <w:lvl w:ilvl="8" w:tplc="0427001B" w:tentative="1">
      <w:start w:val="1"/>
      <w:numFmt w:val="lowerRoman"/>
      <w:lvlText w:val="%9."/>
      <w:lvlJc w:val="right"/>
      <w:pPr>
        <w:ind w:left="7367" w:hanging="180"/>
      </w:pPr>
      <w:rPr>
        <w:rFonts w:cs="Times New Roman"/>
      </w:rPr>
    </w:lvl>
  </w:abstractNum>
  <w:abstractNum w:abstractNumId="1" w15:restartNumberingAfterBreak="0">
    <w:nsid w:val="04F6777C"/>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345A7"/>
    <w:multiLevelType w:val="hybridMultilevel"/>
    <w:tmpl w:val="74C2960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7F40E62"/>
    <w:multiLevelType w:val="hybridMultilevel"/>
    <w:tmpl w:val="6E203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A645B"/>
    <w:multiLevelType w:val="hybridMultilevel"/>
    <w:tmpl w:val="94C6FD2E"/>
    <w:lvl w:ilvl="0" w:tplc="590E038C">
      <w:start w:val="2"/>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5" w15:restartNumberingAfterBreak="0">
    <w:nsid w:val="1B497EC1"/>
    <w:multiLevelType w:val="hybridMultilevel"/>
    <w:tmpl w:val="59045E02"/>
    <w:lvl w:ilvl="0" w:tplc="0E4E4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6" w15:restartNumberingAfterBreak="0">
    <w:nsid w:val="39D446D7"/>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56A1E"/>
    <w:multiLevelType w:val="hybridMultilevel"/>
    <w:tmpl w:val="99049E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2560FAF"/>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CB0791"/>
    <w:multiLevelType w:val="hybridMultilevel"/>
    <w:tmpl w:val="E440F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AF39D5"/>
    <w:multiLevelType w:val="hybridMultilevel"/>
    <w:tmpl w:val="E7949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95CAC"/>
    <w:multiLevelType w:val="hybridMultilevel"/>
    <w:tmpl w:val="9D9E2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83032A"/>
    <w:multiLevelType w:val="hybridMultilevel"/>
    <w:tmpl w:val="D902A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7213CE"/>
    <w:multiLevelType w:val="hybridMultilevel"/>
    <w:tmpl w:val="7A5C9100"/>
    <w:lvl w:ilvl="0" w:tplc="579676D6">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4" w15:restartNumberingAfterBreak="0">
    <w:nsid w:val="66B926F9"/>
    <w:multiLevelType w:val="hybridMultilevel"/>
    <w:tmpl w:val="37145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34476C"/>
    <w:multiLevelType w:val="hybridMultilevel"/>
    <w:tmpl w:val="3E745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6F2088"/>
    <w:multiLevelType w:val="hybridMultilevel"/>
    <w:tmpl w:val="871E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FC3BE3"/>
    <w:multiLevelType w:val="hybridMultilevel"/>
    <w:tmpl w:val="8DCAEEF8"/>
    <w:lvl w:ilvl="0" w:tplc="0427000F">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8" w15:restartNumberingAfterBreak="0">
    <w:nsid w:val="71CE384A"/>
    <w:multiLevelType w:val="hybridMultilevel"/>
    <w:tmpl w:val="D2C0C1BC"/>
    <w:lvl w:ilvl="0" w:tplc="BC72EF6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9" w15:restartNumberingAfterBreak="0">
    <w:nsid w:val="75CF6427"/>
    <w:multiLevelType w:val="hybridMultilevel"/>
    <w:tmpl w:val="B380D56A"/>
    <w:lvl w:ilvl="0" w:tplc="005C37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7FDE2AFE"/>
    <w:multiLevelType w:val="hybridMultilevel"/>
    <w:tmpl w:val="4F76F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5"/>
  </w:num>
  <w:num w:numId="3">
    <w:abstractNumId w:val="16"/>
  </w:num>
  <w:num w:numId="4">
    <w:abstractNumId w:val="10"/>
  </w:num>
  <w:num w:numId="5">
    <w:abstractNumId w:val="19"/>
  </w:num>
  <w:num w:numId="6">
    <w:abstractNumId w:val="12"/>
  </w:num>
  <w:num w:numId="7">
    <w:abstractNumId w:val="7"/>
  </w:num>
  <w:num w:numId="8">
    <w:abstractNumId w:val="3"/>
  </w:num>
  <w:num w:numId="9">
    <w:abstractNumId w:val="14"/>
  </w:num>
  <w:num w:numId="10">
    <w:abstractNumId w:val="2"/>
  </w:num>
  <w:num w:numId="11">
    <w:abstractNumId w:val="0"/>
  </w:num>
  <w:num w:numId="12">
    <w:abstractNumId w:val="15"/>
  </w:num>
  <w:num w:numId="13">
    <w:abstractNumId w:val="17"/>
  </w:num>
  <w:num w:numId="14">
    <w:abstractNumId w:val="18"/>
  </w:num>
  <w:num w:numId="15">
    <w:abstractNumId w:val="4"/>
  </w:num>
  <w:num w:numId="16">
    <w:abstractNumId w:val="9"/>
  </w:num>
  <w:num w:numId="17">
    <w:abstractNumId w:val="6"/>
  </w:num>
  <w:num w:numId="18">
    <w:abstractNumId w:val="8"/>
  </w:num>
  <w:num w:numId="19">
    <w:abstractNumId w:val="11"/>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8"/>
    <w:rsid w:val="000055E7"/>
    <w:rsid w:val="000145F9"/>
    <w:rsid w:val="00016C5A"/>
    <w:rsid w:val="00032FD4"/>
    <w:rsid w:val="000360F6"/>
    <w:rsid w:val="00037630"/>
    <w:rsid w:val="00045798"/>
    <w:rsid w:val="0004735D"/>
    <w:rsid w:val="00070DBB"/>
    <w:rsid w:val="00073B24"/>
    <w:rsid w:val="000754DA"/>
    <w:rsid w:val="000845AC"/>
    <w:rsid w:val="00084F5D"/>
    <w:rsid w:val="000900E9"/>
    <w:rsid w:val="000919E6"/>
    <w:rsid w:val="000A6838"/>
    <w:rsid w:val="000B640F"/>
    <w:rsid w:val="000B6F4C"/>
    <w:rsid w:val="000E7C08"/>
    <w:rsid w:val="000F273A"/>
    <w:rsid w:val="001053BB"/>
    <w:rsid w:val="00111CC8"/>
    <w:rsid w:val="001306D6"/>
    <w:rsid w:val="001420E5"/>
    <w:rsid w:val="00146372"/>
    <w:rsid w:val="001504A3"/>
    <w:rsid w:val="00151566"/>
    <w:rsid w:val="001705D9"/>
    <w:rsid w:val="001761FE"/>
    <w:rsid w:val="001828A4"/>
    <w:rsid w:val="00183F67"/>
    <w:rsid w:val="001842DF"/>
    <w:rsid w:val="001846AB"/>
    <w:rsid w:val="0019458D"/>
    <w:rsid w:val="001A6592"/>
    <w:rsid w:val="001B2A27"/>
    <w:rsid w:val="001D47C0"/>
    <w:rsid w:val="001D497F"/>
    <w:rsid w:val="001D4F5B"/>
    <w:rsid w:val="001D5B2F"/>
    <w:rsid w:val="001F2E3E"/>
    <w:rsid w:val="001F5C6B"/>
    <w:rsid w:val="00223B05"/>
    <w:rsid w:val="002375EF"/>
    <w:rsid w:val="00241B19"/>
    <w:rsid w:val="00251432"/>
    <w:rsid w:val="0027199F"/>
    <w:rsid w:val="0027326E"/>
    <w:rsid w:val="00274CB7"/>
    <w:rsid w:val="00277C0C"/>
    <w:rsid w:val="00280BF9"/>
    <w:rsid w:val="00282940"/>
    <w:rsid w:val="0028732D"/>
    <w:rsid w:val="00290DB3"/>
    <w:rsid w:val="00294D7A"/>
    <w:rsid w:val="002952B7"/>
    <w:rsid w:val="00296A92"/>
    <w:rsid w:val="002B43A1"/>
    <w:rsid w:val="002C0F0F"/>
    <w:rsid w:val="002C5053"/>
    <w:rsid w:val="002C7CDC"/>
    <w:rsid w:val="002C7E8B"/>
    <w:rsid w:val="002E055C"/>
    <w:rsid w:val="002F0FF7"/>
    <w:rsid w:val="002F103F"/>
    <w:rsid w:val="00307533"/>
    <w:rsid w:val="00310B54"/>
    <w:rsid w:val="00315FCC"/>
    <w:rsid w:val="003223F8"/>
    <w:rsid w:val="0033180B"/>
    <w:rsid w:val="003440C0"/>
    <w:rsid w:val="00344CC1"/>
    <w:rsid w:val="003513E6"/>
    <w:rsid w:val="00353801"/>
    <w:rsid w:val="003548BE"/>
    <w:rsid w:val="0035640D"/>
    <w:rsid w:val="00370CAB"/>
    <w:rsid w:val="003816C0"/>
    <w:rsid w:val="003823F6"/>
    <w:rsid w:val="003838D4"/>
    <w:rsid w:val="00385C9D"/>
    <w:rsid w:val="00391B02"/>
    <w:rsid w:val="00394AE8"/>
    <w:rsid w:val="00394B2B"/>
    <w:rsid w:val="003977A5"/>
    <w:rsid w:val="003A1A50"/>
    <w:rsid w:val="003B6E66"/>
    <w:rsid w:val="003B70A6"/>
    <w:rsid w:val="003C017F"/>
    <w:rsid w:val="003C4B31"/>
    <w:rsid w:val="003E7864"/>
    <w:rsid w:val="00411A47"/>
    <w:rsid w:val="00422A95"/>
    <w:rsid w:val="00424F8B"/>
    <w:rsid w:val="00426448"/>
    <w:rsid w:val="00426D40"/>
    <w:rsid w:val="00430C44"/>
    <w:rsid w:val="0043162F"/>
    <w:rsid w:val="00436133"/>
    <w:rsid w:val="00443CD8"/>
    <w:rsid w:val="00446E12"/>
    <w:rsid w:val="0045573F"/>
    <w:rsid w:val="00455C1C"/>
    <w:rsid w:val="00465803"/>
    <w:rsid w:val="004728E8"/>
    <w:rsid w:val="00473B1F"/>
    <w:rsid w:val="00474B71"/>
    <w:rsid w:val="00482417"/>
    <w:rsid w:val="0048698C"/>
    <w:rsid w:val="00486A4A"/>
    <w:rsid w:val="00497976"/>
    <w:rsid w:val="004A59A9"/>
    <w:rsid w:val="004C0686"/>
    <w:rsid w:val="004C4878"/>
    <w:rsid w:val="004C53E4"/>
    <w:rsid w:val="004E0608"/>
    <w:rsid w:val="004E2890"/>
    <w:rsid w:val="004E7660"/>
    <w:rsid w:val="004F11A0"/>
    <w:rsid w:val="00503789"/>
    <w:rsid w:val="00523F07"/>
    <w:rsid w:val="00526088"/>
    <w:rsid w:val="00544E73"/>
    <w:rsid w:val="00560336"/>
    <w:rsid w:val="00560E9D"/>
    <w:rsid w:val="005647D8"/>
    <w:rsid w:val="00566FCA"/>
    <w:rsid w:val="00573598"/>
    <w:rsid w:val="0057390A"/>
    <w:rsid w:val="005B2D98"/>
    <w:rsid w:val="005C3B9F"/>
    <w:rsid w:val="005D6601"/>
    <w:rsid w:val="005E3332"/>
    <w:rsid w:val="005F3C59"/>
    <w:rsid w:val="005F57F6"/>
    <w:rsid w:val="00603C7A"/>
    <w:rsid w:val="00605BC8"/>
    <w:rsid w:val="006076DF"/>
    <w:rsid w:val="00610270"/>
    <w:rsid w:val="006222A3"/>
    <w:rsid w:val="0062234D"/>
    <w:rsid w:val="006300C1"/>
    <w:rsid w:val="00634D37"/>
    <w:rsid w:val="00641655"/>
    <w:rsid w:val="00641F07"/>
    <w:rsid w:val="00641F80"/>
    <w:rsid w:val="006424BA"/>
    <w:rsid w:val="006434A1"/>
    <w:rsid w:val="006477E0"/>
    <w:rsid w:val="00647C5B"/>
    <w:rsid w:val="00665B9F"/>
    <w:rsid w:val="006746BB"/>
    <w:rsid w:val="00677134"/>
    <w:rsid w:val="00681673"/>
    <w:rsid w:val="006832A1"/>
    <w:rsid w:val="00686588"/>
    <w:rsid w:val="0068681B"/>
    <w:rsid w:val="00691137"/>
    <w:rsid w:val="00692842"/>
    <w:rsid w:val="006964A8"/>
    <w:rsid w:val="006A13BA"/>
    <w:rsid w:val="006A4593"/>
    <w:rsid w:val="006B704B"/>
    <w:rsid w:val="006C1D22"/>
    <w:rsid w:val="006C28E2"/>
    <w:rsid w:val="006D72E8"/>
    <w:rsid w:val="006E5192"/>
    <w:rsid w:val="00704D44"/>
    <w:rsid w:val="00710AD3"/>
    <w:rsid w:val="0071670B"/>
    <w:rsid w:val="00740294"/>
    <w:rsid w:val="00741A41"/>
    <w:rsid w:val="00751390"/>
    <w:rsid w:val="00763BD4"/>
    <w:rsid w:val="00763E34"/>
    <w:rsid w:val="00767F30"/>
    <w:rsid w:val="007739F2"/>
    <w:rsid w:val="0077512B"/>
    <w:rsid w:val="00783BD0"/>
    <w:rsid w:val="00785CA0"/>
    <w:rsid w:val="00785DD6"/>
    <w:rsid w:val="00787801"/>
    <w:rsid w:val="007A0A67"/>
    <w:rsid w:val="007A0E61"/>
    <w:rsid w:val="007A37BC"/>
    <w:rsid w:val="007A5A2D"/>
    <w:rsid w:val="007B3A32"/>
    <w:rsid w:val="007B5D17"/>
    <w:rsid w:val="007C143F"/>
    <w:rsid w:val="007C63C2"/>
    <w:rsid w:val="007D247B"/>
    <w:rsid w:val="007D7770"/>
    <w:rsid w:val="007E0DA5"/>
    <w:rsid w:val="007E12F5"/>
    <w:rsid w:val="007E4014"/>
    <w:rsid w:val="007F0F32"/>
    <w:rsid w:val="007F713B"/>
    <w:rsid w:val="007F7E72"/>
    <w:rsid w:val="008316CE"/>
    <w:rsid w:val="008358B6"/>
    <w:rsid w:val="00837B8F"/>
    <w:rsid w:val="00844C51"/>
    <w:rsid w:val="0084650E"/>
    <w:rsid w:val="00850647"/>
    <w:rsid w:val="00851BF3"/>
    <w:rsid w:val="00864683"/>
    <w:rsid w:val="008715EB"/>
    <w:rsid w:val="008918FD"/>
    <w:rsid w:val="008933E2"/>
    <w:rsid w:val="008A6265"/>
    <w:rsid w:val="008C12B0"/>
    <w:rsid w:val="008C27AC"/>
    <w:rsid w:val="008C4CED"/>
    <w:rsid w:val="008D1214"/>
    <w:rsid w:val="008D4D09"/>
    <w:rsid w:val="008E78A1"/>
    <w:rsid w:val="008F1236"/>
    <w:rsid w:val="00925FE6"/>
    <w:rsid w:val="00933EFE"/>
    <w:rsid w:val="0093706E"/>
    <w:rsid w:val="009500F1"/>
    <w:rsid w:val="0095470E"/>
    <w:rsid w:val="009667B2"/>
    <w:rsid w:val="00980F2F"/>
    <w:rsid w:val="00990BC7"/>
    <w:rsid w:val="00990D9D"/>
    <w:rsid w:val="009A4724"/>
    <w:rsid w:val="009B607E"/>
    <w:rsid w:val="009C119E"/>
    <w:rsid w:val="009D0A58"/>
    <w:rsid w:val="009D7CF0"/>
    <w:rsid w:val="009E0791"/>
    <w:rsid w:val="009E33A7"/>
    <w:rsid w:val="009F00AD"/>
    <w:rsid w:val="00A00439"/>
    <w:rsid w:val="00A03561"/>
    <w:rsid w:val="00A174D9"/>
    <w:rsid w:val="00A23FBA"/>
    <w:rsid w:val="00A32202"/>
    <w:rsid w:val="00A41DCB"/>
    <w:rsid w:val="00A51764"/>
    <w:rsid w:val="00A54E51"/>
    <w:rsid w:val="00A55C8D"/>
    <w:rsid w:val="00A63113"/>
    <w:rsid w:val="00A6385F"/>
    <w:rsid w:val="00A6403B"/>
    <w:rsid w:val="00A65BD0"/>
    <w:rsid w:val="00A711E3"/>
    <w:rsid w:val="00A713BB"/>
    <w:rsid w:val="00A719BD"/>
    <w:rsid w:val="00A81928"/>
    <w:rsid w:val="00A90B04"/>
    <w:rsid w:val="00A91C7D"/>
    <w:rsid w:val="00AB37D1"/>
    <w:rsid w:val="00AB780C"/>
    <w:rsid w:val="00AC26CC"/>
    <w:rsid w:val="00AC5105"/>
    <w:rsid w:val="00AD2FFF"/>
    <w:rsid w:val="00AD543A"/>
    <w:rsid w:val="00AE5543"/>
    <w:rsid w:val="00AE60A8"/>
    <w:rsid w:val="00AE63F6"/>
    <w:rsid w:val="00AE7543"/>
    <w:rsid w:val="00AF7668"/>
    <w:rsid w:val="00B00321"/>
    <w:rsid w:val="00B034A1"/>
    <w:rsid w:val="00B11405"/>
    <w:rsid w:val="00B163FC"/>
    <w:rsid w:val="00B17A25"/>
    <w:rsid w:val="00B2028A"/>
    <w:rsid w:val="00B22082"/>
    <w:rsid w:val="00B26FC6"/>
    <w:rsid w:val="00B27ED8"/>
    <w:rsid w:val="00B554B3"/>
    <w:rsid w:val="00B57D3A"/>
    <w:rsid w:val="00B63537"/>
    <w:rsid w:val="00B65026"/>
    <w:rsid w:val="00B65DE7"/>
    <w:rsid w:val="00B7534F"/>
    <w:rsid w:val="00B77EE0"/>
    <w:rsid w:val="00B827EC"/>
    <w:rsid w:val="00B848F8"/>
    <w:rsid w:val="00B852C8"/>
    <w:rsid w:val="00B95E1E"/>
    <w:rsid w:val="00B97906"/>
    <w:rsid w:val="00BA2DD0"/>
    <w:rsid w:val="00BA7247"/>
    <w:rsid w:val="00BB15C6"/>
    <w:rsid w:val="00BB7D73"/>
    <w:rsid w:val="00BC191B"/>
    <w:rsid w:val="00BC2205"/>
    <w:rsid w:val="00BC6C97"/>
    <w:rsid w:val="00BE3C8F"/>
    <w:rsid w:val="00BE71C6"/>
    <w:rsid w:val="00BE79C1"/>
    <w:rsid w:val="00BF1D10"/>
    <w:rsid w:val="00BF3E09"/>
    <w:rsid w:val="00C046A4"/>
    <w:rsid w:val="00C059E4"/>
    <w:rsid w:val="00C30477"/>
    <w:rsid w:val="00C30F37"/>
    <w:rsid w:val="00C379A5"/>
    <w:rsid w:val="00C430AF"/>
    <w:rsid w:val="00C44C43"/>
    <w:rsid w:val="00C53651"/>
    <w:rsid w:val="00C54013"/>
    <w:rsid w:val="00C620F5"/>
    <w:rsid w:val="00C74805"/>
    <w:rsid w:val="00C814CA"/>
    <w:rsid w:val="00C83CF3"/>
    <w:rsid w:val="00C84360"/>
    <w:rsid w:val="00C9195A"/>
    <w:rsid w:val="00C942BE"/>
    <w:rsid w:val="00C955C5"/>
    <w:rsid w:val="00C97E40"/>
    <w:rsid w:val="00CA1E94"/>
    <w:rsid w:val="00CA77D9"/>
    <w:rsid w:val="00CD1EA0"/>
    <w:rsid w:val="00CD2B95"/>
    <w:rsid w:val="00CE2F34"/>
    <w:rsid w:val="00CE5CE2"/>
    <w:rsid w:val="00CF3B65"/>
    <w:rsid w:val="00D0488A"/>
    <w:rsid w:val="00D102CF"/>
    <w:rsid w:val="00D106AF"/>
    <w:rsid w:val="00D169E8"/>
    <w:rsid w:val="00D21E40"/>
    <w:rsid w:val="00D21E66"/>
    <w:rsid w:val="00D25BB6"/>
    <w:rsid w:val="00D25D50"/>
    <w:rsid w:val="00D326EF"/>
    <w:rsid w:val="00D33742"/>
    <w:rsid w:val="00D3482D"/>
    <w:rsid w:val="00D35CB6"/>
    <w:rsid w:val="00D37C5C"/>
    <w:rsid w:val="00D44A18"/>
    <w:rsid w:val="00D56E2A"/>
    <w:rsid w:val="00D57490"/>
    <w:rsid w:val="00D57E57"/>
    <w:rsid w:val="00D6579E"/>
    <w:rsid w:val="00D67C93"/>
    <w:rsid w:val="00D70DBB"/>
    <w:rsid w:val="00D74597"/>
    <w:rsid w:val="00D855D9"/>
    <w:rsid w:val="00D913B3"/>
    <w:rsid w:val="00DA426F"/>
    <w:rsid w:val="00DB497F"/>
    <w:rsid w:val="00DB5A74"/>
    <w:rsid w:val="00DC4AB7"/>
    <w:rsid w:val="00DC4B7E"/>
    <w:rsid w:val="00DD26AA"/>
    <w:rsid w:val="00DD2EC8"/>
    <w:rsid w:val="00DE1A16"/>
    <w:rsid w:val="00DE4D61"/>
    <w:rsid w:val="00E25CB9"/>
    <w:rsid w:val="00E27A9B"/>
    <w:rsid w:val="00E32E87"/>
    <w:rsid w:val="00E41CDE"/>
    <w:rsid w:val="00E45657"/>
    <w:rsid w:val="00E517EC"/>
    <w:rsid w:val="00E712B8"/>
    <w:rsid w:val="00E749A1"/>
    <w:rsid w:val="00E82FDC"/>
    <w:rsid w:val="00E83A7C"/>
    <w:rsid w:val="00E85367"/>
    <w:rsid w:val="00E918CF"/>
    <w:rsid w:val="00EA38AA"/>
    <w:rsid w:val="00EA3DAB"/>
    <w:rsid w:val="00EA5D8E"/>
    <w:rsid w:val="00EC0AE1"/>
    <w:rsid w:val="00EC0F24"/>
    <w:rsid w:val="00EC6D99"/>
    <w:rsid w:val="00ED016C"/>
    <w:rsid w:val="00ED1BD0"/>
    <w:rsid w:val="00ED7B7C"/>
    <w:rsid w:val="00EF225D"/>
    <w:rsid w:val="00F06EE3"/>
    <w:rsid w:val="00F23393"/>
    <w:rsid w:val="00F26C8B"/>
    <w:rsid w:val="00F36A66"/>
    <w:rsid w:val="00F37655"/>
    <w:rsid w:val="00F428BE"/>
    <w:rsid w:val="00F51D6E"/>
    <w:rsid w:val="00F5620F"/>
    <w:rsid w:val="00F5621A"/>
    <w:rsid w:val="00F578AC"/>
    <w:rsid w:val="00F619FD"/>
    <w:rsid w:val="00F62059"/>
    <w:rsid w:val="00F62F4B"/>
    <w:rsid w:val="00F6470C"/>
    <w:rsid w:val="00F70ED3"/>
    <w:rsid w:val="00F74757"/>
    <w:rsid w:val="00F93596"/>
    <w:rsid w:val="00FA36BB"/>
    <w:rsid w:val="00FC7ABE"/>
    <w:rsid w:val="00FD128E"/>
    <w:rsid w:val="00FD1861"/>
    <w:rsid w:val="00FD49A5"/>
    <w:rsid w:val="00FE172C"/>
    <w:rsid w:val="00FE3BF1"/>
    <w:rsid w:val="00FE6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4BFEA-5F84-4DDE-ACB0-B20B1C1F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pPr>
      <w:jc w:val="center"/>
    </w:pPr>
    <w:rPr>
      <w:b/>
      <w:bC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Pagrindinistekstas">
    <w:name w:val="Body Text"/>
    <w:basedOn w:val="prastasis"/>
    <w:pPr>
      <w:jc w:val="both"/>
    </w:pPr>
    <w:rPr>
      <w:sz w:val="22"/>
      <w:szCs w:val="22"/>
    </w:rPr>
  </w:style>
  <w:style w:type="paragraph" w:styleId="Pagrindinistekstas2">
    <w:name w:val="Body Text 2"/>
    <w:basedOn w:val="prastasis"/>
    <w:pPr>
      <w:jc w:val="both"/>
    </w:pPr>
    <w:rPr>
      <w:szCs w:val="22"/>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szCs w:val="20"/>
      <w:lang w:val="x-none"/>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Komentarotema">
    <w:name w:val="annotation subject"/>
    <w:basedOn w:val="Komentarotekstas"/>
    <w:next w:val="Komentarotekstas"/>
    <w:rsid w:val="00E32E87"/>
    <w:rPr>
      <w:b/>
      <w:bCs/>
    </w:rPr>
  </w:style>
  <w:style w:type="character" w:customStyle="1" w:styleId="KomentarotekstasDiagrama">
    <w:name w:val="Komentaro tekstas Diagrama"/>
    <w:link w:val="Komentarotekstas"/>
    <w:semiHidden/>
    <w:rsid w:val="00E32E87"/>
    <w:rPr>
      <w:lang w:eastAsia="en-US"/>
    </w:rPr>
  </w:style>
  <w:style w:type="character" w:customStyle="1" w:styleId="CommentSubjectChar">
    <w:name w:val="Comment Subject Char"/>
    <w:basedOn w:val="KomentarotekstasDiagrama"/>
    <w:link w:val="Komentarotema"/>
    <w:rsid w:val="00E32E87"/>
    <w:rPr>
      <w:lang w:eastAsia="en-US"/>
    </w:rPr>
  </w:style>
  <w:style w:type="paragraph" w:styleId="Debesliotekstas">
    <w:name w:val="Balloon Text"/>
    <w:basedOn w:val="prastasis"/>
    <w:link w:val="DebesliotekstasDiagrama"/>
    <w:rsid w:val="00E32E87"/>
    <w:rPr>
      <w:rFonts w:ascii="Tahoma" w:hAnsi="Tahoma"/>
      <w:sz w:val="16"/>
      <w:szCs w:val="16"/>
      <w:lang w:val="x-none"/>
    </w:rPr>
  </w:style>
  <w:style w:type="character" w:customStyle="1" w:styleId="DebesliotekstasDiagrama">
    <w:name w:val="Debesėlio tekstas Diagrama"/>
    <w:link w:val="Debesliotekstas"/>
    <w:rsid w:val="00E32E87"/>
    <w:rPr>
      <w:rFonts w:ascii="Tahoma" w:hAnsi="Tahoma" w:cs="Tahoma"/>
      <w:sz w:val="16"/>
      <w:szCs w:val="16"/>
      <w:lang w:eastAsia="en-US"/>
    </w:rPr>
  </w:style>
  <w:style w:type="paragraph" w:customStyle="1" w:styleId="Tekstas">
    <w:name w:val="Tekstas"/>
    <w:basedOn w:val="prastasis"/>
    <w:rsid w:val="000B640F"/>
    <w:pPr>
      <w:spacing w:before="40" w:after="40"/>
      <w:ind w:right="40" w:firstLine="1247"/>
      <w:jc w:val="both"/>
    </w:pPr>
  </w:style>
  <w:style w:type="paragraph" w:styleId="Betarp">
    <w:name w:val="No Spacing"/>
    <w:uiPriority w:val="1"/>
    <w:qFormat/>
    <w:rsid w:val="00D44A18"/>
    <w:rPr>
      <w:sz w:val="24"/>
      <w:szCs w:val="24"/>
      <w:lang w:eastAsia="en-US"/>
    </w:rPr>
  </w:style>
  <w:style w:type="paragraph" w:styleId="Sraopastraipa">
    <w:name w:val="List Paragraph"/>
    <w:basedOn w:val="prastasis"/>
    <w:uiPriority w:val="34"/>
    <w:qFormat/>
    <w:rsid w:val="00785DD6"/>
    <w:pPr>
      <w:ind w:left="1296"/>
    </w:pPr>
  </w:style>
  <w:style w:type="paragraph" w:styleId="Porat">
    <w:name w:val="footer"/>
    <w:basedOn w:val="prastasis"/>
    <w:link w:val="PoratDiagrama"/>
    <w:rsid w:val="00EA38AA"/>
    <w:pPr>
      <w:tabs>
        <w:tab w:val="center" w:pos="4819"/>
        <w:tab w:val="right" w:pos="9638"/>
      </w:tabs>
    </w:pPr>
    <w:rPr>
      <w:lang w:val="x-none"/>
    </w:rPr>
  </w:style>
  <w:style w:type="character" w:customStyle="1" w:styleId="PoratDiagrama">
    <w:name w:val="Poraštė Diagrama"/>
    <w:link w:val="Porat"/>
    <w:rsid w:val="00EA38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5303">
      <w:bodyDiv w:val="1"/>
      <w:marLeft w:val="0"/>
      <w:marRight w:val="0"/>
      <w:marTop w:val="0"/>
      <w:marBottom w:val="150"/>
      <w:divBdr>
        <w:top w:val="none" w:sz="0" w:space="0" w:color="auto"/>
        <w:left w:val="none" w:sz="0" w:space="0" w:color="auto"/>
        <w:bottom w:val="none" w:sz="0" w:space="0" w:color="auto"/>
        <w:right w:val="none" w:sz="0" w:space="0" w:color="auto"/>
      </w:divBdr>
      <w:divsChild>
        <w:div w:id="509174114">
          <w:marLeft w:val="615"/>
          <w:marRight w:val="0"/>
          <w:marTop w:val="0"/>
          <w:marBottom w:val="0"/>
          <w:divBdr>
            <w:top w:val="none" w:sz="0" w:space="0" w:color="auto"/>
            <w:left w:val="none" w:sz="0" w:space="0" w:color="auto"/>
            <w:bottom w:val="none" w:sz="0" w:space="0" w:color="auto"/>
            <w:right w:val="none" w:sz="0" w:space="0" w:color="auto"/>
          </w:divBdr>
          <w:divsChild>
            <w:div w:id="1337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9266">
      <w:bodyDiv w:val="1"/>
      <w:marLeft w:val="0"/>
      <w:marRight w:val="0"/>
      <w:marTop w:val="0"/>
      <w:marBottom w:val="0"/>
      <w:divBdr>
        <w:top w:val="none" w:sz="0" w:space="0" w:color="auto"/>
        <w:left w:val="none" w:sz="0" w:space="0" w:color="auto"/>
        <w:bottom w:val="none" w:sz="0" w:space="0" w:color="auto"/>
        <w:right w:val="none" w:sz="0" w:space="0" w:color="auto"/>
      </w:divBdr>
      <w:divsChild>
        <w:div w:id="1566842531">
          <w:marLeft w:val="0"/>
          <w:marRight w:val="0"/>
          <w:marTop w:val="0"/>
          <w:marBottom w:val="0"/>
          <w:divBdr>
            <w:top w:val="none" w:sz="0" w:space="0" w:color="auto"/>
            <w:left w:val="none" w:sz="0" w:space="0" w:color="auto"/>
            <w:bottom w:val="none" w:sz="0" w:space="0" w:color="auto"/>
            <w:right w:val="none" w:sz="0" w:space="0" w:color="auto"/>
          </w:divBdr>
          <w:divsChild>
            <w:div w:id="36928533">
              <w:marLeft w:val="0"/>
              <w:marRight w:val="0"/>
              <w:marTop w:val="0"/>
              <w:marBottom w:val="0"/>
              <w:divBdr>
                <w:top w:val="none" w:sz="0" w:space="0" w:color="auto"/>
                <w:left w:val="none" w:sz="0" w:space="0" w:color="auto"/>
                <w:bottom w:val="none" w:sz="0" w:space="0" w:color="auto"/>
                <w:right w:val="none" w:sz="0" w:space="0" w:color="auto"/>
              </w:divBdr>
              <w:divsChild>
                <w:div w:id="868882926">
                  <w:marLeft w:val="0"/>
                  <w:marRight w:val="0"/>
                  <w:marTop w:val="0"/>
                  <w:marBottom w:val="0"/>
                  <w:divBdr>
                    <w:top w:val="none" w:sz="0" w:space="0" w:color="auto"/>
                    <w:left w:val="none" w:sz="0" w:space="0" w:color="auto"/>
                    <w:bottom w:val="none" w:sz="0" w:space="0" w:color="auto"/>
                    <w:right w:val="none" w:sz="0" w:space="0" w:color="auto"/>
                  </w:divBdr>
                </w:div>
                <w:div w:id="15178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F61A1-0759-44EA-BAA0-4D98733B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17283</Words>
  <Characters>9852</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27081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2019-02-12T06:34:00Z</dcterms:created>
  <dc:creator>Jolanta</dc:creator>
  <cp:lastModifiedBy>Petras Butrimas</cp:lastModifiedBy>
  <cp:lastPrinted>2012-07-20T06:38:00Z</cp:lastPrinted>
  <dcterms:modified xsi:type="dcterms:W3CDTF">2019-02-12T06:34:00Z</dcterms:modified>
  <cp:revision>2</cp:revision>
  <dc:title>DERINIMO PAŽYMA</dc:title>
</cp:coreProperties>
</file>