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283"/>
        <w:gridCol w:w="1418"/>
        <w:gridCol w:w="567"/>
        <w:gridCol w:w="1983"/>
      </w:tblGrid>
      <w:tr w:rsidR="00796197" w14:paraId="6CCF3A47" w14:textId="77777777" w:rsidTr="001C4CD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4E0489D4" w14:textId="77777777" w:rsidR="00796197" w:rsidRDefault="008314B2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041DC562" wp14:editId="0529FEF2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85D1D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6A88E5DE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iudžetinė įstaiga, A. Jakšto g. 4/9, LT-01105 Vilnius,</w:t>
            </w:r>
          </w:p>
          <w:p w14:paraId="20E768AA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(8~5) 266 3661, faks. (8~5) 266 3663,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http://www.am.lt.</w:t>
            </w:r>
          </w:p>
          <w:p w14:paraId="68A714A0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7C0E284A" w14:textId="77777777" w:rsidTr="001C4CD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22ABC" w14:textId="77777777" w:rsidR="00E926E1" w:rsidRDefault="00E926E1">
            <w:pPr>
              <w:pStyle w:val="TableContents"/>
            </w:pPr>
          </w:p>
        </w:tc>
      </w:tr>
      <w:tr w:rsidR="00796197" w14:paraId="67138634" w14:textId="77777777" w:rsidTr="00464B53">
        <w:trPr>
          <w:cantSplit/>
          <w:trHeight w:val="374"/>
        </w:trPr>
        <w:tc>
          <w:tcPr>
            <w:tcW w:w="538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D3AE" w14:textId="7857AEDB" w:rsidR="00796197" w:rsidRDefault="007530C8" w:rsidP="004B0CD8">
            <w:pPr>
              <w:pStyle w:val="TableContents"/>
              <w:rPr>
                <w:spacing w:val="10"/>
              </w:rPr>
            </w:pPr>
            <w:r w:rsidRPr="007D68AC">
              <w:rPr>
                <w:position w:val="6"/>
              </w:rPr>
              <w:t>Lietuvos Respublikos</w:t>
            </w:r>
            <w:r>
              <w:rPr>
                <w:position w:val="6"/>
              </w:rPr>
              <w:t xml:space="preserve"> </w:t>
            </w:r>
            <w:r w:rsidR="004B0CD8">
              <w:rPr>
                <w:position w:val="6"/>
              </w:rPr>
              <w:t>Vyriausybei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9E3E" w14:textId="7766669E" w:rsidR="00B50C54" w:rsidRDefault="00B50C54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76CE" w14:textId="1749A18D" w:rsidR="00035D90" w:rsidRDefault="007530C8" w:rsidP="00E7414E">
            <w:pPr>
              <w:pStyle w:val="TableContents"/>
              <w:ind w:right="67"/>
            </w:pPr>
            <w:r>
              <w:t>2020-</w:t>
            </w:r>
          </w:p>
        </w:tc>
        <w:tc>
          <w:tcPr>
            <w:tcW w:w="567" w:type="dxa"/>
          </w:tcPr>
          <w:p w14:paraId="29B2A536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1983" w:type="dxa"/>
          </w:tcPr>
          <w:p w14:paraId="49BCB25D" w14:textId="7EC7555E" w:rsidR="00796197" w:rsidRDefault="004C7FF1" w:rsidP="00E7414E">
            <w:pPr>
              <w:pStyle w:val="TableContents"/>
            </w:pPr>
            <w:r>
              <w:t xml:space="preserve"> </w:t>
            </w:r>
            <w:r w:rsidRPr="004C7FF1">
              <w:t>(14)-D8(E)-</w:t>
            </w:r>
          </w:p>
        </w:tc>
      </w:tr>
      <w:tr w:rsidR="00796197" w14:paraId="5C31C961" w14:textId="77777777" w:rsidTr="001C4CD7">
        <w:trPr>
          <w:cantSplit/>
          <w:trHeight w:val="340"/>
        </w:trPr>
        <w:tc>
          <w:tcPr>
            <w:tcW w:w="538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72B9" w14:textId="77777777" w:rsidR="00796197" w:rsidRDefault="00796197"/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E0A62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3017" w14:textId="77777777" w:rsidR="00796197" w:rsidRDefault="00796197" w:rsidP="00C746B5">
            <w:pPr>
              <w:pStyle w:val="TableContents"/>
              <w:ind w:right="67"/>
            </w:pPr>
          </w:p>
        </w:tc>
        <w:tc>
          <w:tcPr>
            <w:tcW w:w="567" w:type="dxa"/>
          </w:tcPr>
          <w:p w14:paraId="4A8E97B4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</w:tc>
        <w:tc>
          <w:tcPr>
            <w:tcW w:w="1983" w:type="dxa"/>
          </w:tcPr>
          <w:p w14:paraId="5B5EBAD1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17279FDC" w14:textId="77777777" w:rsidTr="004B0CD8">
        <w:trPr>
          <w:cantSplit/>
          <w:trHeight w:val="485"/>
        </w:trPr>
        <w:tc>
          <w:tcPr>
            <w:tcW w:w="538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65D3" w14:textId="77777777" w:rsidR="00796197" w:rsidRDefault="00796197"/>
        </w:tc>
        <w:tc>
          <w:tcPr>
            <w:tcW w:w="425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5CD2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</w:tbl>
    <w:p w14:paraId="662C7DE8" w14:textId="4D6C7B53" w:rsidR="003E3D87" w:rsidRPr="00B330F3" w:rsidRDefault="00C53011" w:rsidP="00B330F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bookmarkStart w:id="1" w:name="OLE_LINK1"/>
      <w:r>
        <w:rPr>
          <w:b/>
        </w:rPr>
        <w:t xml:space="preserve">DĖL </w:t>
      </w:r>
      <w:bookmarkEnd w:id="1"/>
      <w:r w:rsidR="00A55636" w:rsidRPr="00A55636">
        <w:rPr>
          <w:b/>
        </w:rPr>
        <w:t xml:space="preserve">LIETUVOS RESPUBLIKOS VYRIAUSYBĖS </w:t>
      </w:r>
      <w:r w:rsidR="00E7414E" w:rsidRPr="00A55636">
        <w:rPr>
          <w:rFonts w:cs="Times New Roman"/>
          <w:b/>
        </w:rPr>
        <w:t xml:space="preserve">2008 M. </w:t>
      </w:r>
      <w:r w:rsidR="00E7414E">
        <w:rPr>
          <w:rFonts w:cs="Times New Roman"/>
          <w:b/>
        </w:rPr>
        <w:t xml:space="preserve">GEGUŽĖS 28 </w:t>
      </w:r>
      <w:r w:rsidR="00E7414E" w:rsidRPr="00A55636">
        <w:rPr>
          <w:rFonts w:cs="Times New Roman"/>
          <w:b/>
        </w:rPr>
        <w:t xml:space="preserve"> </w:t>
      </w:r>
      <w:r w:rsidR="00A55636" w:rsidRPr="00A55636">
        <w:rPr>
          <w:rFonts w:cs="Times New Roman"/>
          <w:b/>
        </w:rPr>
        <w:t>D. NUTARIM</w:t>
      </w:r>
      <w:r w:rsidR="00A55636" w:rsidRPr="00A55636">
        <w:rPr>
          <w:b/>
        </w:rPr>
        <w:t>O</w:t>
      </w:r>
      <w:r w:rsidR="00A55636" w:rsidRPr="00A55636">
        <w:rPr>
          <w:rFonts w:cs="Times New Roman"/>
          <w:b/>
        </w:rPr>
        <w:t xml:space="preserve"> NR. </w:t>
      </w:r>
      <w:r w:rsidR="00E7414E">
        <w:rPr>
          <w:rFonts w:cs="Times New Roman"/>
          <w:b/>
        </w:rPr>
        <w:t>534</w:t>
      </w:r>
      <w:r w:rsidR="00A55636" w:rsidRPr="00A55636">
        <w:rPr>
          <w:rFonts w:cs="Times New Roman"/>
          <w:b/>
        </w:rPr>
        <w:t xml:space="preserve"> PAKEITIMO </w:t>
      </w:r>
      <w:r w:rsidR="00E926E1">
        <w:rPr>
          <w:b/>
        </w:rPr>
        <w:t>PROJEKTO</w:t>
      </w:r>
    </w:p>
    <w:p w14:paraId="0C80B541" w14:textId="50228E4E" w:rsidR="007B13B4" w:rsidRDefault="007B13B4" w:rsidP="003E3D87">
      <w:pPr>
        <w:tabs>
          <w:tab w:val="left" w:pos="851"/>
        </w:tabs>
        <w:jc w:val="both"/>
      </w:pPr>
    </w:p>
    <w:p w14:paraId="7C6BD6F6" w14:textId="77777777" w:rsidR="00A55636" w:rsidRDefault="00A55636" w:rsidP="003E3D87">
      <w:pPr>
        <w:tabs>
          <w:tab w:val="left" w:pos="851"/>
        </w:tabs>
        <w:jc w:val="both"/>
      </w:pPr>
    </w:p>
    <w:p w14:paraId="6C3EED91" w14:textId="56DBED9C" w:rsidR="007530C8" w:rsidRPr="001F472F" w:rsidRDefault="00877014" w:rsidP="007530C8">
      <w:pPr>
        <w:pStyle w:val="Pagrindinistekstas"/>
        <w:spacing w:line="276" w:lineRule="auto"/>
      </w:pPr>
      <w:r>
        <w:t xml:space="preserve">Aplinkos ministerija </w:t>
      </w:r>
      <w:r w:rsidR="00516202">
        <w:t xml:space="preserve">parengė ir </w:t>
      </w:r>
      <w:r>
        <w:t xml:space="preserve">teikia </w:t>
      </w:r>
      <w:r w:rsidR="00E7414E" w:rsidRPr="00A86D2F">
        <w:t xml:space="preserve">Lietuvos Respublikos Vyriausybės </w:t>
      </w:r>
      <w:r w:rsidR="00E7414E">
        <w:t xml:space="preserve">nutarimo „Dėl </w:t>
      </w:r>
      <w:r w:rsidR="00E7414E" w:rsidRPr="00A86D2F">
        <w:t xml:space="preserve">Lietuvos Respublikos Vyriausybės 2008 m. gegužės 28 d. nutarimo Nr. 534 „Dėl </w:t>
      </w:r>
      <w:r w:rsidR="00D25E2A">
        <w:t>K</w:t>
      </w:r>
      <w:r w:rsidR="00E7414E" w:rsidRPr="00A86D2F">
        <w:t>remavimo veiklos licencijavimo taisyklių patvirtinimo“ pakeitimo</w:t>
      </w:r>
      <w:r w:rsidR="00E7414E">
        <w:t>“</w:t>
      </w:r>
      <w:r w:rsidR="007530C8" w:rsidRPr="001F472F">
        <w:t xml:space="preserve"> projektą (toliau – Projektas).</w:t>
      </w:r>
    </w:p>
    <w:p w14:paraId="1FCE5AB2" w14:textId="556C43CB" w:rsidR="00E7414E" w:rsidRDefault="00877014" w:rsidP="00A92E38">
      <w:pPr>
        <w:pStyle w:val="Pagrindinistekstas"/>
        <w:spacing w:line="276" w:lineRule="auto"/>
      </w:pPr>
      <w:r>
        <w:t>Projekto tikslas –</w:t>
      </w:r>
      <w:r w:rsidR="007530C8">
        <w:t xml:space="preserve"> </w:t>
      </w:r>
      <w:r w:rsidR="00E7414E">
        <w:t xml:space="preserve">įgyvendinti </w:t>
      </w:r>
      <w:r w:rsidR="00E7414E">
        <w:rPr>
          <w:rFonts w:cs="Times New Roman"/>
        </w:rPr>
        <w:t xml:space="preserve">Specialiųjų tyrimų tarnybos (toliau – STT) </w:t>
      </w:r>
      <w:r w:rsidR="00E7414E">
        <w:t>2020-02-14</w:t>
      </w:r>
      <w:r w:rsidR="00E7414E">
        <w:rPr>
          <w:rFonts w:cs="Times New Roman"/>
        </w:rPr>
        <w:t xml:space="preserve"> antikorupcinio vertinimo išvado</w:t>
      </w:r>
      <w:r w:rsidR="004B0CD8">
        <w:rPr>
          <w:rFonts w:cs="Times New Roman"/>
        </w:rPr>
        <w:t>s</w:t>
      </w:r>
      <w:r w:rsidR="00E7414E">
        <w:rPr>
          <w:rFonts w:cs="Times New Roman"/>
        </w:rPr>
        <w:t xml:space="preserve"> Nr. </w:t>
      </w:r>
      <w:r w:rsidR="00E7414E">
        <w:t>4-01-1279</w:t>
      </w:r>
      <w:r w:rsidR="00E7414E">
        <w:rPr>
          <w:rFonts w:cs="Times New Roman"/>
        </w:rPr>
        <w:t xml:space="preserve"> „Dėl kremavimo veiklos licencijavimo“ </w:t>
      </w:r>
      <w:r w:rsidR="00D25E2A">
        <w:rPr>
          <w:rFonts w:cs="Times New Roman"/>
        </w:rPr>
        <w:t xml:space="preserve">(toliau – išvada) </w:t>
      </w:r>
      <w:r w:rsidR="004B0CD8">
        <w:rPr>
          <w:rFonts w:cs="Times New Roman"/>
        </w:rPr>
        <w:t xml:space="preserve">1 punkte </w:t>
      </w:r>
      <w:r w:rsidR="00E7414E">
        <w:rPr>
          <w:rFonts w:cs="Times New Roman"/>
        </w:rPr>
        <w:t>pateiktus siūlymus</w:t>
      </w:r>
      <w:r w:rsidR="00D25E2A">
        <w:rPr>
          <w:rFonts w:cs="Times New Roman"/>
        </w:rPr>
        <w:t>.</w:t>
      </w:r>
    </w:p>
    <w:p w14:paraId="6AE878D3" w14:textId="4E4FEDD1" w:rsidR="00315CA6" w:rsidRPr="00315CA6" w:rsidRDefault="00D25E2A" w:rsidP="00315CA6">
      <w:pPr>
        <w:pStyle w:val="Pagrindinistekstas"/>
        <w:spacing w:line="276" w:lineRule="auto"/>
        <w:rPr>
          <w:rFonts w:eastAsia="Times New Roman" w:cs="Times New Roman"/>
          <w:color w:val="000000"/>
          <w:lang w:val="en-GB" w:eastAsia="en-GB" w:bidi="ar-SA"/>
        </w:rPr>
      </w:pPr>
      <w:r>
        <w:t>Atsižvengiant į išvadoje pateiktus siūlymus</w:t>
      </w:r>
      <w:r w:rsidR="00402100">
        <w:t>,</w:t>
      </w:r>
      <w:r>
        <w:t xml:space="preserve"> patikslint</w:t>
      </w:r>
      <w:r w:rsidR="00624A0C">
        <w:t>as</w:t>
      </w:r>
      <w:r>
        <w:t xml:space="preserve"> K</w:t>
      </w:r>
      <w:r w:rsidRPr="00A86D2F">
        <w:t>remavimo veiklos licencijavimo taisyklių</w:t>
      </w:r>
      <w:r>
        <w:t xml:space="preserve">, patvirtintų </w:t>
      </w:r>
      <w:r w:rsidRPr="00A86D2F">
        <w:t>Lietuvos Respublikos Vyriausybės 2008 m. gegužės 28 d. nutarim</w:t>
      </w:r>
      <w:r w:rsidR="00402100">
        <w:t>u</w:t>
      </w:r>
      <w:r w:rsidRPr="00A86D2F">
        <w:t xml:space="preserve"> Nr. 534 „Dėl </w:t>
      </w:r>
      <w:r>
        <w:t>K</w:t>
      </w:r>
      <w:r w:rsidRPr="00A86D2F">
        <w:t>remavimo veiklos licencijavimo taisyklių patvirtinimo“</w:t>
      </w:r>
      <w:r w:rsidR="00624A0C">
        <w:t xml:space="preserve"> (toliau – Taisyklės)</w:t>
      </w:r>
      <w:r>
        <w:t xml:space="preserve">, 6.2 papunktis nurodant konkrečius dokumentus, kurie įrodo, kad </w:t>
      </w:r>
      <w:r w:rsidRPr="00D25E2A">
        <w:rPr>
          <w:shd w:val="clear" w:color="auto" w:fill="FFFFFF"/>
          <w:lang w:eastAsia="en-GB"/>
        </w:rPr>
        <w:t>pareiškėjo personalas turi reikiamą kvalifikaciją, pareiškėjo įranga ir patalpos, kuriose bus vykdoma kremavimo veikla, atitinka nustatytus aplinkosaugos reikalavimus, taip pat darbuotojų saugos ir sveikatos reikalavimus</w:t>
      </w:r>
      <w:r>
        <w:rPr>
          <w:shd w:val="clear" w:color="auto" w:fill="FFFFFF"/>
          <w:lang w:eastAsia="en-GB"/>
        </w:rPr>
        <w:t>.</w:t>
      </w:r>
      <w:r w:rsidR="00624A0C">
        <w:rPr>
          <w:shd w:val="clear" w:color="auto" w:fill="FFFFFF"/>
          <w:lang w:eastAsia="en-GB"/>
        </w:rPr>
        <w:t xml:space="preserve"> Kremavimo veiklai vykdyti reikalinga personalo kvalifikacija nurodyta </w:t>
      </w:r>
      <w:r w:rsidR="00624A0C" w:rsidRPr="0088695F">
        <w:t xml:space="preserve">Žmonių palaikų paruošimo kremuoti taisyklių, patvirtintų </w:t>
      </w:r>
      <w:r w:rsidR="00624A0C" w:rsidRPr="0088695F">
        <w:rPr>
          <w:lang w:eastAsia="en-GB"/>
        </w:rPr>
        <w:t xml:space="preserve">Lietuvos Respublikos sveikatos apsaugos ministro ir Lietuvos Respublikos švietimo ir mokslo ministro 2008 m. rugpjūčio 13 d. įsakymu Nr. V-772/ISAK-2357 </w:t>
      </w:r>
      <w:r w:rsidR="00624A0C">
        <w:t>„</w:t>
      </w:r>
      <w:r w:rsidR="00624A0C" w:rsidRPr="0088695F">
        <w:rPr>
          <w:bCs/>
        </w:rPr>
        <w:t xml:space="preserve">Dėl </w:t>
      </w:r>
      <w:r w:rsidR="00402100">
        <w:rPr>
          <w:bCs/>
        </w:rPr>
        <w:t>Ž</w:t>
      </w:r>
      <w:r w:rsidR="00624A0C" w:rsidRPr="0088695F">
        <w:rPr>
          <w:bCs/>
        </w:rPr>
        <w:t>monių palaikų paruošimo kremuoti taisyklių patvirtinimo</w:t>
      </w:r>
      <w:r w:rsidR="00624A0C">
        <w:rPr>
          <w:bCs/>
        </w:rPr>
        <w:t xml:space="preserve">“, 9 punkte. </w:t>
      </w:r>
      <w:r w:rsidR="00315CA6">
        <w:rPr>
          <w:bCs/>
        </w:rPr>
        <w:t xml:space="preserve">Atsižvelgiant į </w:t>
      </w:r>
      <w:r w:rsidR="00315CA6">
        <w:rPr>
          <w:color w:val="000000"/>
        </w:rPr>
        <w:t>Lietuvos medicinos norm</w:t>
      </w:r>
      <w:r w:rsidR="007E6539">
        <w:rPr>
          <w:color w:val="000000"/>
        </w:rPr>
        <w:t>os</w:t>
      </w:r>
      <w:r w:rsidR="00315CA6">
        <w:rPr>
          <w:color w:val="000000"/>
        </w:rPr>
        <w:t xml:space="preserve"> MN 157:2019 „Biomedicinos technologas“, patvirtint</w:t>
      </w:r>
      <w:r w:rsidR="007E6539">
        <w:rPr>
          <w:color w:val="000000"/>
        </w:rPr>
        <w:t>os</w:t>
      </w:r>
      <w:r w:rsidR="00315CA6">
        <w:rPr>
          <w:color w:val="000000"/>
        </w:rPr>
        <w:t xml:space="preserve"> </w:t>
      </w:r>
      <w:r w:rsidR="00315CA6" w:rsidRPr="00315CA6">
        <w:rPr>
          <w:rFonts w:eastAsia="Times New Roman" w:cs="Times New Roman"/>
          <w:color w:val="000000"/>
          <w:lang w:eastAsia="en-GB" w:bidi="ar-SA"/>
        </w:rPr>
        <w:t>Lietuvos Respublikos sveikatos apsaugos ministro 2019 m. birželio 7 d. įsakym</w:t>
      </w:r>
      <w:r w:rsidR="00315CA6">
        <w:rPr>
          <w:rFonts w:eastAsia="Times New Roman" w:cs="Times New Roman"/>
          <w:color w:val="000000"/>
          <w:lang w:eastAsia="en-GB" w:bidi="ar-SA"/>
        </w:rPr>
        <w:t>u</w:t>
      </w:r>
      <w:r w:rsidR="00315CA6" w:rsidRPr="00315CA6">
        <w:rPr>
          <w:rFonts w:eastAsia="Times New Roman" w:cs="Times New Roman"/>
          <w:color w:val="000000"/>
          <w:lang w:eastAsia="en-GB" w:bidi="ar-SA"/>
        </w:rPr>
        <w:t xml:space="preserve"> Nr. V-687</w:t>
      </w:r>
      <w:r w:rsidR="00315CA6">
        <w:rPr>
          <w:rFonts w:eastAsia="Times New Roman" w:cs="Times New Roman"/>
          <w:color w:val="000000"/>
          <w:lang w:eastAsia="en-GB" w:bidi="ar-SA"/>
        </w:rPr>
        <w:t xml:space="preserve"> „Dėl </w:t>
      </w:r>
      <w:r w:rsidR="00315CA6">
        <w:rPr>
          <w:color w:val="000000"/>
        </w:rPr>
        <w:t>Lietuvos medicinos normos MN 157:2019 „Biomedicinos technologas“ patvirtinimo“</w:t>
      </w:r>
      <w:r w:rsidR="007E6539">
        <w:rPr>
          <w:color w:val="000000"/>
        </w:rPr>
        <w:t>, nuostatas</w:t>
      </w:r>
      <w:r w:rsidR="001D070B">
        <w:rPr>
          <w:color w:val="000000"/>
        </w:rPr>
        <w:t>,</w:t>
      </w:r>
      <w:r w:rsidR="007E6539">
        <w:rPr>
          <w:color w:val="000000"/>
        </w:rPr>
        <w:t xml:space="preserve"> Taisyklių 6.2 papunktyje siūloma reikalauti pateikti dokumentą, įrodantį, </w:t>
      </w:r>
      <w:r w:rsidR="007E6539" w:rsidRPr="007E6539">
        <w:rPr>
          <w:shd w:val="clear" w:color="auto" w:fill="FFFFFF"/>
        </w:rPr>
        <w:t>kad pareiškėjo personalas turi</w:t>
      </w:r>
      <w:r w:rsidR="007E6539" w:rsidRPr="00771A49">
        <w:rPr>
          <w:b/>
          <w:shd w:val="clear" w:color="auto" w:fill="FFFFFF"/>
        </w:rPr>
        <w:t xml:space="preserve"> </w:t>
      </w:r>
      <w:r w:rsidR="007E6539">
        <w:rPr>
          <w:color w:val="000000"/>
        </w:rPr>
        <w:t>biomedicinos technologo profesinę kvalifikaciją.</w:t>
      </w:r>
    </w:p>
    <w:p w14:paraId="6A5FE019" w14:textId="6B6346EF" w:rsidR="00624A0C" w:rsidRDefault="00624A0C" w:rsidP="00624A0C">
      <w:pPr>
        <w:pStyle w:val="Pagrindinistekstas"/>
        <w:spacing w:line="276" w:lineRule="auto"/>
        <w:rPr>
          <w:lang w:eastAsia="lt-LT"/>
        </w:rPr>
      </w:pPr>
      <w:r>
        <w:rPr>
          <w:bCs/>
        </w:rPr>
        <w:t>Aplinkosaugos reikalavimai, kuriuos turi atitikti pareiškėjo įranga</w:t>
      </w:r>
      <w:r w:rsidR="001D070B">
        <w:rPr>
          <w:bCs/>
        </w:rPr>
        <w:t>,</w:t>
      </w:r>
      <w:r>
        <w:rPr>
          <w:bCs/>
        </w:rPr>
        <w:t xml:space="preserve"> nustatyti </w:t>
      </w:r>
      <w:r w:rsidRPr="00B74BF4">
        <w:t>Aplinkosaugos reikalavimų kremavimo įmonėms apraš</w:t>
      </w:r>
      <w:r>
        <w:t>e</w:t>
      </w:r>
      <w:r w:rsidRPr="00B74BF4">
        <w:t>, patvirtint</w:t>
      </w:r>
      <w:r>
        <w:t>ame</w:t>
      </w:r>
      <w:r w:rsidRPr="00B74BF4">
        <w:t xml:space="preserve"> aplinkos ministro 2008 m. liepos 2 d. įsakymu Nr. D1-357 „Dėl Aplinkosaugos reikalavimų kremavimo įmonėms aprašo patvirtinimo</w:t>
      </w:r>
      <w:r>
        <w:t>“.</w:t>
      </w:r>
      <w:r w:rsidR="00F73411">
        <w:t xml:space="preserve"> Taisyklių 6.2 papunktyje nurodytas dokumentų sąrašas nekeičiamas ir nepildomas, tik atskleidžiamas j</w:t>
      </w:r>
      <w:r w:rsidR="00754FC9">
        <w:t>o</w:t>
      </w:r>
      <w:r w:rsidR="00F73411">
        <w:t xml:space="preserve"> turinys. </w:t>
      </w:r>
    </w:p>
    <w:p w14:paraId="5475911E" w14:textId="3BE8FD73" w:rsidR="00C704FA" w:rsidRDefault="00624A0C" w:rsidP="00C704FA">
      <w:pPr>
        <w:pStyle w:val="Pagrindinistekstas"/>
        <w:spacing w:line="276" w:lineRule="auto"/>
        <w:rPr>
          <w:lang w:eastAsia="lt-LT"/>
        </w:rPr>
      </w:pPr>
      <w:r>
        <w:t>Į</w:t>
      </w:r>
      <w:r w:rsidR="00516202">
        <w:t>gyvendin</w:t>
      </w:r>
      <w:r>
        <w:t>ant</w:t>
      </w:r>
      <w:r w:rsidR="00516202">
        <w:t xml:space="preserve"> </w:t>
      </w:r>
      <w:r w:rsidR="00516202" w:rsidRPr="001F472F">
        <w:rPr>
          <w:rFonts w:cs="Times New Roman"/>
        </w:rPr>
        <w:t>Lietuvos Respublikos žmonių palaikų laidojimo įstatymo</w:t>
      </w:r>
      <w:r w:rsidR="00516202" w:rsidRPr="00516202">
        <w:rPr>
          <w:b/>
          <w:lang w:eastAsia="lt-LT"/>
        </w:rPr>
        <w:t xml:space="preserve"> </w:t>
      </w:r>
      <w:r w:rsidR="00516202" w:rsidRPr="00516202">
        <w:rPr>
          <w:lang w:eastAsia="lt-LT"/>
        </w:rPr>
        <w:t xml:space="preserve">Nr. X-1404 </w:t>
      </w:r>
      <w:r w:rsidR="00E7414E" w:rsidRPr="00E7414E">
        <w:rPr>
          <w:rFonts w:eastAsia="Times New Roman" w:cs="Times New Roman"/>
          <w:bCs/>
          <w:caps/>
          <w:lang w:eastAsia="en-GB" w:bidi="ar-SA"/>
        </w:rPr>
        <w:t>11</w:t>
      </w:r>
      <w:r w:rsidR="00E7414E" w:rsidRPr="00E7414E">
        <w:rPr>
          <w:rFonts w:eastAsia="Times New Roman" w:cs="Times New Roman"/>
          <w:bCs/>
          <w:caps/>
          <w:vertAlign w:val="superscript"/>
          <w:lang w:eastAsia="en-GB" w:bidi="ar-SA"/>
        </w:rPr>
        <w:t>1</w:t>
      </w:r>
      <w:r w:rsidR="00516202" w:rsidRPr="00516202">
        <w:rPr>
          <w:lang w:eastAsia="lt-LT"/>
        </w:rPr>
        <w:t xml:space="preserve"> straipsnio</w:t>
      </w:r>
      <w:r w:rsidR="00E7414E">
        <w:rPr>
          <w:lang w:eastAsia="lt-LT"/>
        </w:rPr>
        <w:t xml:space="preserve"> 17 dalies nuostatas</w:t>
      </w:r>
      <w:r>
        <w:rPr>
          <w:lang w:eastAsia="lt-LT"/>
        </w:rPr>
        <w:t>, patikslint</w:t>
      </w:r>
      <w:r w:rsidR="00754FC9">
        <w:rPr>
          <w:lang w:eastAsia="lt-LT"/>
        </w:rPr>
        <w:t>i</w:t>
      </w:r>
      <w:r>
        <w:rPr>
          <w:lang w:eastAsia="lt-LT"/>
        </w:rPr>
        <w:t xml:space="preserve"> </w:t>
      </w:r>
      <w:r w:rsidRPr="00F112B6">
        <w:rPr>
          <w:lang w:eastAsia="lt-LT"/>
        </w:rPr>
        <w:t xml:space="preserve">Taisyklių </w:t>
      </w:r>
      <w:r w:rsidR="00F112B6" w:rsidRPr="00F112B6">
        <w:rPr>
          <w:lang w:eastAsia="lt-LT"/>
        </w:rPr>
        <w:t xml:space="preserve">4.3 ir </w:t>
      </w:r>
      <w:r w:rsidRPr="00F112B6">
        <w:rPr>
          <w:lang w:eastAsia="lt-LT"/>
        </w:rPr>
        <w:t>4.4 papunk</w:t>
      </w:r>
      <w:r w:rsidR="00F112B6" w:rsidRPr="00F112B6">
        <w:rPr>
          <w:lang w:eastAsia="lt-LT"/>
        </w:rPr>
        <w:t>čiai</w:t>
      </w:r>
      <w:r w:rsidRPr="00F112B6">
        <w:rPr>
          <w:lang w:eastAsia="lt-LT"/>
        </w:rPr>
        <w:t>.</w:t>
      </w:r>
    </w:p>
    <w:p w14:paraId="1280EA89" w14:textId="77777777" w:rsidR="003C4915" w:rsidRDefault="003C4915" w:rsidP="00C704FA">
      <w:pPr>
        <w:pStyle w:val="Pagrindinistekstas"/>
        <w:spacing w:line="276" w:lineRule="auto"/>
        <w:rPr>
          <w:lang w:eastAsia="lt-LT"/>
        </w:rPr>
      </w:pPr>
    </w:p>
    <w:p w14:paraId="23CF2C1B" w14:textId="1C729FB0" w:rsidR="00C704FA" w:rsidRPr="009A3940" w:rsidRDefault="00C704FA" w:rsidP="00C704FA">
      <w:pPr>
        <w:pStyle w:val="Pagrindinistekstas"/>
        <w:spacing w:line="276" w:lineRule="auto"/>
      </w:pPr>
      <w:r>
        <w:rPr>
          <w:lang w:eastAsia="lt-LT"/>
        </w:rPr>
        <w:lastRenderedPageBreak/>
        <w:t>Atsižvelgiant į tai, kad n</w:t>
      </w:r>
      <w:r w:rsidRPr="009A3940">
        <w:t>uostatos dėl</w:t>
      </w:r>
      <w:r w:rsidRPr="009A3940">
        <w:rPr>
          <w:b/>
        </w:rPr>
        <w:t xml:space="preserve"> </w:t>
      </w:r>
      <w:r w:rsidRPr="009A3940">
        <w:t xml:space="preserve">kremavimo veiklos licencijos dublikato išdavimo įteisintos Lietuvos Respublikos žmonių palaikų laidojimo įstatymo </w:t>
      </w:r>
      <w:r w:rsidRPr="009A3940">
        <w:rPr>
          <w:bCs/>
        </w:rPr>
        <w:t>11</w:t>
      </w:r>
      <w:r w:rsidRPr="009A3940">
        <w:rPr>
          <w:bCs/>
          <w:vertAlign w:val="superscript"/>
        </w:rPr>
        <w:t xml:space="preserve">1 </w:t>
      </w:r>
      <w:r w:rsidRPr="009A3940">
        <w:rPr>
          <w:bCs/>
        </w:rPr>
        <w:t>straipsn</w:t>
      </w:r>
      <w:r>
        <w:rPr>
          <w:bCs/>
        </w:rPr>
        <w:t xml:space="preserve">yje, </w:t>
      </w:r>
      <w:r w:rsidR="00EC2EEE">
        <w:rPr>
          <w:bCs/>
        </w:rPr>
        <w:t xml:space="preserve"> </w:t>
      </w:r>
      <w:r>
        <w:rPr>
          <w:bCs/>
        </w:rPr>
        <w:t>jų neatsisakoma.</w:t>
      </w:r>
    </w:p>
    <w:p w14:paraId="725706F0" w14:textId="19125FED" w:rsidR="00877014" w:rsidRDefault="00DF2C06" w:rsidP="00D12052">
      <w:pPr>
        <w:pStyle w:val="TableContents"/>
        <w:spacing w:line="276" w:lineRule="auto"/>
        <w:ind w:firstLine="567"/>
        <w:jc w:val="both"/>
      </w:pPr>
      <w:r>
        <w:rPr>
          <w:rFonts w:cs="Times New Roman"/>
        </w:rPr>
        <w:t>P</w:t>
      </w:r>
      <w:r w:rsidR="00877014">
        <w:t>rojektas neprieštarauja Lietuvos Respublikos Vyriausybės programai, neperkelia ir neįgyvendina Europos Sąjungos teisės aktų.</w:t>
      </w:r>
    </w:p>
    <w:p w14:paraId="0FB21150" w14:textId="78D77370" w:rsidR="00877014" w:rsidRDefault="00877014" w:rsidP="007D68AC">
      <w:pPr>
        <w:pStyle w:val="Pagrindinistekstas"/>
        <w:spacing w:line="276" w:lineRule="auto"/>
      </w:pPr>
      <w:r>
        <w:t>Projektas nenotifikuotinas Europos Komisijai.</w:t>
      </w:r>
    </w:p>
    <w:p w14:paraId="3D4EE1BC" w14:textId="77777777" w:rsidR="00877014" w:rsidRDefault="00877014" w:rsidP="007D68AC">
      <w:pPr>
        <w:pStyle w:val="Pagrindinistekstas"/>
        <w:spacing w:line="276" w:lineRule="auto"/>
      </w:pPr>
      <w:r>
        <w:t>Projekto poveikio vertinimas pateikiamas numatomo teisinio reguliavimo poveikio vertinimo pažymoje.</w:t>
      </w:r>
    </w:p>
    <w:p w14:paraId="1636C191" w14:textId="1AE13C45" w:rsidR="00877014" w:rsidRDefault="00877014" w:rsidP="007D68AC">
      <w:pPr>
        <w:pStyle w:val="Pagrindinistekstas"/>
        <w:spacing w:line="276" w:lineRule="auto"/>
      </w:pPr>
      <w:r>
        <w:t>Priėmus Projektą, neigiamų pasekmių nenumatoma.</w:t>
      </w:r>
    </w:p>
    <w:p w14:paraId="18A7D65F" w14:textId="0D826972" w:rsidR="003B2A75" w:rsidRDefault="00877014" w:rsidP="003B2A75">
      <w:pPr>
        <w:pStyle w:val="Pagrindinistekstas"/>
        <w:spacing w:line="276" w:lineRule="auto"/>
      </w:pPr>
      <w:r>
        <w:t>Priėmus Projektą, nereikės priimti naujų teisės aktų, nereikės keisti ar pripažinti netekusiais galios galiojančių teisės aktų.</w:t>
      </w:r>
    </w:p>
    <w:p w14:paraId="79DBFA48" w14:textId="2A42D056" w:rsidR="005D405D" w:rsidRDefault="005D405D" w:rsidP="003B2A75">
      <w:pPr>
        <w:pStyle w:val="Pagrindinistekstas"/>
        <w:spacing w:line="276" w:lineRule="auto"/>
      </w:pPr>
      <w:r>
        <w:t xml:space="preserve">Projektas derintas su Sveikatos apsaugos ministerija, Švietimo, mokslo ir sporto ministerija, Teisingumo ministerija, </w:t>
      </w:r>
      <w:r w:rsidR="00371542">
        <w:t>E</w:t>
      </w:r>
      <w:r>
        <w:t>konomikos ir inovacijų ministerija, Specialiųjų tyrimų tarnyba,</w:t>
      </w:r>
      <w:r w:rsidR="00371542">
        <w:t xml:space="preserve"> Lietuvos pramonininkų konfederacija</w:t>
      </w:r>
      <w:r w:rsidR="00535FB4">
        <w:t xml:space="preserve"> ir visuomene</w:t>
      </w:r>
      <w:r w:rsidR="00371542">
        <w:t>. Sveikatos apsaugos ministerija</w:t>
      </w:r>
      <w:r w:rsidR="00535FB4">
        <w:t>,</w:t>
      </w:r>
      <w:r w:rsidR="00371542">
        <w:t xml:space="preserve"> </w:t>
      </w:r>
      <w:r w:rsidR="00F112B6">
        <w:t>S</w:t>
      </w:r>
      <w:r w:rsidR="00371542">
        <w:t>pecialiųjų tyrimų tarnyba</w:t>
      </w:r>
      <w:r w:rsidR="00535FB4">
        <w:t>,</w:t>
      </w:r>
      <w:r w:rsidR="00371542">
        <w:t xml:space="preserve"> </w:t>
      </w:r>
      <w:r w:rsidR="00535FB4">
        <w:t xml:space="preserve">Lietuvos pramonininkų konfederacija ir visuomenė </w:t>
      </w:r>
      <w:r w:rsidR="00371542">
        <w:t>pastabų neturėjo. Projektas patikslintas pagal Švietimo, mokslo ir sporto ministerijos</w:t>
      </w:r>
      <w:r w:rsidR="00535FB4">
        <w:t>, Ekonomikos ir inovacijų ministerijos</w:t>
      </w:r>
      <w:r w:rsidR="00EC2EEE">
        <w:t xml:space="preserve"> ir</w:t>
      </w:r>
      <w:r w:rsidR="00371542">
        <w:t xml:space="preserve"> Teisingumo ministerijos pastabas</w:t>
      </w:r>
      <w:r w:rsidR="00754FC9">
        <w:t xml:space="preserve">, </w:t>
      </w:r>
      <w:r w:rsidR="00EC2EEE">
        <w:t xml:space="preserve"> </w:t>
      </w:r>
      <w:r w:rsidR="00754FC9">
        <w:t>papildomai darbo tvarka suderinta</w:t>
      </w:r>
      <w:r w:rsidR="00E76C1F">
        <w:t>s</w:t>
      </w:r>
      <w:r w:rsidR="00754FC9">
        <w:t xml:space="preserve"> su Sveikatos apsaugos ministerija ir Švietimo, mokslo ir sporto ministerija.</w:t>
      </w:r>
    </w:p>
    <w:p w14:paraId="62B8349A" w14:textId="61F4E592" w:rsidR="00877014" w:rsidRPr="00EF622A" w:rsidRDefault="00877014" w:rsidP="007D68AC">
      <w:pPr>
        <w:spacing w:line="276" w:lineRule="auto"/>
        <w:ind w:firstLine="567"/>
        <w:jc w:val="both"/>
      </w:pPr>
      <w:r>
        <w:t xml:space="preserve">Projektą </w:t>
      </w:r>
      <w:r w:rsidRPr="00EF622A">
        <w:t>parengė Lietuvos Respublikos a</w:t>
      </w:r>
      <w:r w:rsidRPr="00EF622A">
        <w:rPr>
          <w:color w:val="000000"/>
        </w:rPr>
        <w:t xml:space="preserve">plinkos ministerijos Statybos ir teritorijų planavimo </w:t>
      </w:r>
      <w:r>
        <w:rPr>
          <w:color w:val="000000"/>
        </w:rPr>
        <w:t xml:space="preserve">politikos grupės </w:t>
      </w:r>
      <w:r w:rsidRPr="00EF622A">
        <w:rPr>
          <w:color w:val="000000"/>
        </w:rPr>
        <w:t>(</w:t>
      </w:r>
      <w:r>
        <w:rPr>
          <w:color w:val="000000"/>
        </w:rPr>
        <w:t>vadovas</w:t>
      </w:r>
      <w:r w:rsidRPr="00EF622A">
        <w:rPr>
          <w:color w:val="000000"/>
        </w:rPr>
        <w:t xml:space="preserve"> </w:t>
      </w:r>
      <w:r>
        <w:rPr>
          <w:color w:val="000000"/>
        </w:rPr>
        <w:t>Dainius Čergelis</w:t>
      </w:r>
      <w:r w:rsidRPr="00EF622A">
        <w:rPr>
          <w:color w:val="000000"/>
        </w:rPr>
        <w:t xml:space="preserve">, tel. </w:t>
      </w:r>
      <w:r w:rsidRPr="00EF622A">
        <w:t>8~</w:t>
      </w:r>
      <w:r w:rsidR="004626D6">
        <w:t>61</w:t>
      </w:r>
      <w:r w:rsidRPr="00EF622A">
        <w:t xml:space="preserve">6 </w:t>
      </w:r>
      <w:r w:rsidR="004626D6">
        <w:t>98137</w:t>
      </w:r>
      <w:r w:rsidRPr="00EF622A">
        <w:t xml:space="preserve">, el. p. </w:t>
      </w:r>
      <w:hyperlink r:id="rId9" w:history="1">
        <w:r w:rsidRPr="00B52ECF">
          <w:rPr>
            <w:rStyle w:val="Hipersaitas"/>
          </w:rPr>
          <w:t>dainius.cergelis@am.lt</w:t>
        </w:r>
      </w:hyperlink>
      <w:r w:rsidR="004626D6" w:rsidRPr="004626D6">
        <w:rPr>
          <w:rStyle w:val="Hipersaitas"/>
          <w:u w:val="none"/>
        </w:rPr>
        <w:t xml:space="preserve">, </w:t>
      </w:r>
      <w:r w:rsidR="004626D6">
        <w:t xml:space="preserve">vyresnysis patarėjas Ramūnas </w:t>
      </w:r>
      <w:proofErr w:type="spellStart"/>
      <w:r w:rsidR="004626D6">
        <w:t>Šveikauskas</w:t>
      </w:r>
      <w:proofErr w:type="spellEnd"/>
      <w:r w:rsidR="004626D6">
        <w:t>, tel. 8</w:t>
      </w:r>
      <w:r w:rsidR="004626D6" w:rsidRPr="00EF622A">
        <w:t>~</w:t>
      </w:r>
      <w:r w:rsidR="004626D6">
        <w:t>616 05452</w:t>
      </w:r>
      <w:r w:rsidR="00035213">
        <w:t>,</w:t>
      </w:r>
      <w:r w:rsidR="004626D6">
        <w:t xml:space="preserve"> el. p. </w:t>
      </w:r>
      <w:hyperlink r:id="rId10" w:history="1">
        <w:r w:rsidR="004626D6" w:rsidRPr="00943E17">
          <w:rPr>
            <w:rStyle w:val="Hipersaitas"/>
          </w:rPr>
          <w:t>ramunas.sveikauskas@am.lt</w:t>
        </w:r>
      </w:hyperlink>
      <w:r w:rsidR="004626D6">
        <w:t>)</w:t>
      </w:r>
      <w:r w:rsidRPr="00EF622A">
        <w:t xml:space="preserve"> vyriausioji specialistė Vaiva Rumbutienė, tel. </w:t>
      </w:r>
      <w:r w:rsidR="00C178F8" w:rsidRPr="008545D5">
        <w:rPr>
          <w:rFonts w:cs="Times New Roman"/>
        </w:rPr>
        <w:t>8~</w:t>
      </w:r>
      <w:r w:rsidR="00C178F8">
        <w:rPr>
          <w:rFonts w:cs="Times New Roman"/>
        </w:rPr>
        <w:t>695 31922</w:t>
      </w:r>
      <w:r w:rsidRPr="00EF622A">
        <w:t xml:space="preserve">, el. p. </w:t>
      </w:r>
      <w:hyperlink r:id="rId11" w:history="1">
        <w:r w:rsidRPr="00EF622A">
          <w:rPr>
            <w:rStyle w:val="Hipersaitas"/>
          </w:rPr>
          <w:t>vaiva.rumbutiene@am.lt</w:t>
        </w:r>
      </w:hyperlink>
      <w:r w:rsidRPr="00EF622A">
        <w:t>.</w:t>
      </w:r>
    </w:p>
    <w:p w14:paraId="707A2D75" w14:textId="7BC57F79" w:rsidR="00877014" w:rsidRDefault="00877014" w:rsidP="007D68AC">
      <w:pPr>
        <w:pStyle w:val="Pagrindinistekstas"/>
        <w:spacing w:line="276" w:lineRule="auto"/>
      </w:pPr>
      <w:r>
        <w:t>PRIDEDAMA:</w:t>
      </w:r>
    </w:p>
    <w:p w14:paraId="1A2EDCD7" w14:textId="27317D90" w:rsidR="00877014" w:rsidRDefault="001A57DF" w:rsidP="007D68AC">
      <w:pPr>
        <w:pStyle w:val="Pagrindinistekstas"/>
        <w:spacing w:line="276" w:lineRule="auto"/>
      </w:pPr>
      <w:r>
        <w:t xml:space="preserve">1. Projektas, 1 </w:t>
      </w:r>
      <w:r w:rsidR="00877014">
        <w:t>lapas.</w:t>
      </w:r>
    </w:p>
    <w:p w14:paraId="12DAD6FC" w14:textId="398C4F1D" w:rsidR="00877014" w:rsidRDefault="00877014" w:rsidP="007D68AC">
      <w:pPr>
        <w:pStyle w:val="Pagrindinistekstas"/>
        <w:spacing w:line="276" w:lineRule="auto"/>
      </w:pPr>
      <w:r>
        <w:t xml:space="preserve">2. Projekto lyginamasis variantas, </w:t>
      </w:r>
      <w:r w:rsidR="00E76C1F">
        <w:t>2</w:t>
      </w:r>
      <w:r>
        <w:t xml:space="preserve"> lapa</w:t>
      </w:r>
      <w:r w:rsidR="00E76C1F">
        <w:t>i</w:t>
      </w:r>
      <w:r>
        <w:t>.</w:t>
      </w:r>
    </w:p>
    <w:p w14:paraId="707641D5" w14:textId="135D52A1" w:rsidR="00877014" w:rsidRDefault="00877014" w:rsidP="007D68AC">
      <w:pPr>
        <w:pStyle w:val="Pagrindinistekstas"/>
        <w:spacing w:line="276" w:lineRule="auto"/>
      </w:pPr>
      <w:r>
        <w:t>3. Numatomo teisinio reguliavimo pove</w:t>
      </w:r>
      <w:r w:rsidR="0097731A">
        <w:t>ikio vertinimo pažyma, 1 lapas.</w:t>
      </w:r>
    </w:p>
    <w:p w14:paraId="330579C7" w14:textId="09511AE9" w:rsidR="00BE7282" w:rsidRDefault="00BE7282" w:rsidP="007D68AC">
      <w:pPr>
        <w:pStyle w:val="Pagrindinistekstas"/>
        <w:spacing w:line="276" w:lineRule="auto"/>
      </w:pPr>
      <w:r w:rsidRPr="005B6A46">
        <w:t xml:space="preserve">4. Antikorupcinio vertinimo pažyma, </w:t>
      </w:r>
      <w:r w:rsidR="007346C4" w:rsidRPr="005B6A46">
        <w:t xml:space="preserve">5 </w:t>
      </w:r>
      <w:r w:rsidRPr="005B6A46">
        <w:t>lapai.</w:t>
      </w:r>
    </w:p>
    <w:p w14:paraId="1513D970" w14:textId="77777777" w:rsidR="007B13B4" w:rsidRDefault="007B13B4" w:rsidP="007D68AC">
      <w:pPr>
        <w:spacing w:line="276" w:lineRule="auto"/>
        <w:jc w:val="both"/>
      </w:pPr>
    </w:p>
    <w:p w14:paraId="35896745" w14:textId="77777777" w:rsidR="007B13B4" w:rsidRDefault="007B13B4" w:rsidP="007D68AC">
      <w:pPr>
        <w:spacing w:line="276" w:lineRule="auto"/>
        <w:jc w:val="both"/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2"/>
        <w:gridCol w:w="4656"/>
      </w:tblGrid>
      <w:tr w:rsidR="00877014" w:rsidRPr="000065CF" w14:paraId="00F15096" w14:textId="77777777" w:rsidTr="0097731A">
        <w:trPr>
          <w:trHeight w:hRule="exact" w:val="348"/>
        </w:trPr>
        <w:tc>
          <w:tcPr>
            <w:tcW w:w="4842" w:type="dxa"/>
            <w:vAlign w:val="bottom"/>
          </w:tcPr>
          <w:p w14:paraId="3DABA355" w14:textId="39AC693A" w:rsidR="00877014" w:rsidRPr="0055115B" w:rsidRDefault="00877014" w:rsidP="00535FB4">
            <w:pPr>
              <w:pStyle w:val="TableContents"/>
              <w:snapToGrid w:val="0"/>
              <w:spacing w:line="276" w:lineRule="auto"/>
            </w:pPr>
            <w:r w:rsidRPr="0055115B">
              <w:t>Aplinkos ministr</w:t>
            </w:r>
            <w:r>
              <w:t>as</w:t>
            </w:r>
            <w:r w:rsidRPr="0055115B">
              <w:t xml:space="preserve"> </w:t>
            </w:r>
          </w:p>
        </w:tc>
        <w:tc>
          <w:tcPr>
            <w:tcW w:w="4656" w:type="dxa"/>
            <w:vAlign w:val="bottom"/>
          </w:tcPr>
          <w:p w14:paraId="7CA5D535" w14:textId="1AD8C61B" w:rsidR="00877014" w:rsidRPr="0055115B" w:rsidRDefault="00535FB4" w:rsidP="007D68AC">
            <w:pPr>
              <w:snapToGrid w:val="0"/>
              <w:spacing w:line="276" w:lineRule="auto"/>
              <w:ind w:right="34"/>
              <w:jc w:val="right"/>
            </w:pPr>
            <w:r>
              <w:t>Kęstutis Mažeika</w:t>
            </w:r>
          </w:p>
        </w:tc>
      </w:tr>
    </w:tbl>
    <w:p w14:paraId="5B5B15C6" w14:textId="505F40D8" w:rsidR="00E0072B" w:rsidRDefault="00E0072B" w:rsidP="007D68AC">
      <w:pPr>
        <w:spacing w:line="276" w:lineRule="auto"/>
      </w:pPr>
    </w:p>
    <w:p w14:paraId="7147783B" w14:textId="5DDC6080" w:rsidR="00E0072B" w:rsidRDefault="00E0072B" w:rsidP="007D68AC">
      <w:pPr>
        <w:spacing w:line="276" w:lineRule="auto"/>
      </w:pPr>
    </w:p>
    <w:p w14:paraId="5E01590D" w14:textId="77777777" w:rsidR="00EF210B" w:rsidRDefault="00EF210B" w:rsidP="007D68AC">
      <w:pPr>
        <w:spacing w:line="276" w:lineRule="auto"/>
      </w:pPr>
    </w:p>
    <w:p w14:paraId="74C22322" w14:textId="77777777" w:rsidR="00EF210B" w:rsidRDefault="00EF210B" w:rsidP="007D68AC">
      <w:pPr>
        <w:spacing w:line="276" w:lineRule="auto"/>
      </w:pPr>
    </w:p>
    <w:p w14:paraId="56CAC044" w14:textId="77777777" w:rsidR="00EF210B" w:rsidRDefault="00EF210B" w:rsidP="007D68AC">
      <w:pPr>
        <w:spacing w:line="276" w:lineRule="auto"/>
      </w:pPr>
    </w:p>
    <w:p w14:paraId="3B3EE6B7" w14:textId="77777777" w:rsidR="00EF210B" w:rsidRDefault="00EF210B" w:rsidP="007D68AC">
      <w:pPr>
        <w:spacing w:line="276" w:lineRule="auto"/>
      </w:pPr>
    </w:p>
    <w:p w14:paraId="7725D78A" w14:textId="77777777" w:rsidR="00EF210B" w:rsidRDefault="00EF210B" w:rsidP="007D68AC">
      <w:pPr>
        <w:spacing w:line="276" w:lineRule="auto"/>
      </w:pPr>
    </w:p>
    <w:p w14:paraId="01CAB9E7" w14:textId="77777777" w:rsidR="00EF210B" w:rsidRDefault="00EF210B" w:rsidP="007D68AC">
      <w:pPr>
        <w:spacing w:line="276" w:lineRule="auto"/>
      </w:pPr>
    </w:p>
    <w:p w14:paraId="594A94A1" w14:textId="77777777" w:rsidR="00EF210B" w:rsidRDefault="00EF210B" w:rsidP="007D68AC">
      <w:pPr>
        <w:spacing w:line="276" w:lineRule="auto"/>
      </w:pPr>
    </w:p>
    <w:p w14:paraId="1D34C9CC" w14:textId="77777777" w:rsidR="00EF210B" w:rsidRDefault="00EF210B" w:rsidP="007D68AC">
      <w:pPr>
        <w:spacing w:line="276" w:lineRule="auto"/>
      </w:pPr>
    </w:p>
    <w:p w14:paraId="0D2E5168" w14:textId="77777777" w:rsidR="00EF210B" w:rsidRDefault="00EF210B" w:rsidP="007D68AC">
      <w:pPr>
        <w:spacing w:line="276" w:lineRule="auto"/>
      </w:pPr>
    </w:p>
    <w:p w14:paraId="53D30D3C" w14:textId="77777777" w:rsidR="007B13B4" w:rsidRDefault="007B13B4" w:rsidP="007D68AC">
      <w:pPr>
        <w:spacing w:line="276" w:lineRule="auto"/>
      </w:pPr>
    </w:p>
    <w:p w14:paraId="4E2A78F1" w14:textId="77777777" w:rsidR="008B77FD" w:rsidRDefault="008B77FD" w:rsidP="007D68AC">
      <w:pPr>
        <w:spacing w:line="276" w:lineRule="auto"/>
      </w:pPr>
    </w:p>
    <w:p w14:paraId="2A74CDB4" w14:textId="74CF5BC7" w:rsidR="00877014" w:rsidRDefault="00877014" w:rsidP="007D68AC">
      <w:pPr>
        <w:pStyle w:val="TableContents"/>
        <w:snapToGrid w:val="0"/>
        <w:spacing w:line="276" w:lineRule="auto"/>
      </w:pPr>
      <w:r w:rsidRPr="008545D5">
        <w:rPr>
          <w:rFonts w:cs="Times New Roman"/>
        </w:rPr>
        <w:t>V. Rumbutienė, 8~</w:t>
      </w:r>
      <w:r w:rsidR="00C178F8">
        <w:rPr>
          <w:rFonts w:cs="Times New Roman"/>
        </w:rPr>
        <w:t>695 31922</w:t>
      </w:r>
      <w:r w:rsidRPr="008545D5">
        <w:rPr>
          <w:rFonts w:cs="Times New Roman"/>
        </w:rPr>
        <w:t xml:space="preserve">, el. p. </w:t>
      </w:r>
      <w:hyperlink r:id="rId12" w:history="1">
        <w:r w:rsidR="001C3150" w:rsidRPr="005F15FC">
          <w:rPr>
            <w:rStyle w:val="Hipersaitas"/>
            <w:rFonts w:cs="Times New Roman"/>
          </w:rPr>
          <w:t>vaiva.rumbutiene@am.lt</w:t>
        </w:r>
      </w:hyperlink>
    </w:p>
    <w:sectPr w:rsidR="00877014" w:rsidSect="00D25E2A">
      <w:headerReference w:type="even" r:id="rId13"/>
      <w:headerReference w:type="default" r:id="rId14"/>
      <w:footerReference w:type="defaul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32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27C15" w14:textId="77777777" w:rsidR="00DD2129" w:rsidRDefault="00DD2129">
      <w:r>
        <w:separator/>
      </w:r>
    </w:p>
  </w:endnote>
  <w:endnote w:type="continuationSeparator" w:id="0">
    <w:p w14:paraId="1FD41900" w14:textId="77777777" w:rsidR="00DD2129" w:rsidRDefault="00DD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EFAF9" w14:textId="77777777" w:rsidR="00C53011" w:rsidRDefault="00C53011">
    <w:pPr>
      <w:pStyle w:val="Porat"/>
      <w:jc w:val="right"/>
      <w:rPr>
        <w:rFonts w:ascii="Arial" w:hAnsi="Arial"/>
        <w:sz w:val="10"/>
        <w:lang w:val="en-US"/>
      </w:rPr>
    </w:pPr>
  </w:p>
  <w:p w14:paraId="2AEEDAA8" w14:textId="77777777" w:rsidR="00C53011" w:rsidRDefault="00C53011">
    <w:pPr>
      <w:pStyle w:val="Porat"/>
      <w:jc w:val="right"/>
      <w:rPr>
        <w:rFonts w:ascii="Arial" w:hAnsi="Arial"/>
        <w:sz w:val="10"/>
        <w:lang w:val="en-US"/>
      </w:rPr>
    </w:pPr>
  </w:p>
  <w:p w14:paraId="28471B5A" w14:textId="77777777" w:rsidR="00C53011" w:rsidRDefault="00C53011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EDE0C" w14:textId="1A67E5BB" w:rsidR="00C53011" w:rsidRPr="00796197" w:rsidRDefault="005D405D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1EE4EE3C" wp14:editId="4F9434B9">
          <wp:extent cx="466725" cy="762000"/>
          <wp:effectExtent l="19050" t="0" r="952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3BAD6" w14:textId="77777777" w:rsidR="00DD2129" w:rsidRDefault="00DD2129">
      <w:r>
        <w:separator/>
      </w:r>
    </w:p>
  </w:footnote>
  <w:footnote w:type="continuationSeparator" w:id="0">
    <w:p w14:paraId="768AF785" w14:textId="77777777" w:rsidR="00DD2129" w:rsidRDefault="00DD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E074F" w14:textId="77777777" w:rsidR="00C53011" w:rsidRDefault="00BB44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5301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1B2D14" w14:textId="77777777" w:rsidR="00C53011" w:rsidRDefault="00C530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B5954" w14:textId="77777777" w:rsidR="00C53011" w:rsidRDefault="00BB44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5301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60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6EBE29" w14:textId="77777777" w:rsidR="00C53011" w:rsidRDefault="00C530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400100E"/>
    <w:multiLevelType w:val="hybridMultilevel"/>
    <w:tmpl w:val="427843D8"/>
    <w:lvl w:ilvl="0" w:tplc="FDDEC1EE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05A47F5"/>
    <w:multiLevelType w:val="hybridMultilevel"/>
    <w:tmpl w:val="9B1AAC9E"/>
    <w:lvl w:ilvl="0" w:tplc="9D007554">
      <w:start w:val="1"/>
      <w:numFmt w:val="decimal"/>
      <w:lvlText w:val="%1."/>
      <w:lvlJc w:val="left"/>
      <w:pPr>
        <w:ind w:left="1392" w:hanging="82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2E6FAA"/>
    <w:multiLevelType w:val="hybridMultilevel"/>
    <w:tmpl w:val="AACE3EB8"/>
    <w:lvl w:ilvl="0" w:tplc="31723FB0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82"/>
    <w:rsid w:val="00005919"/>
    <w:rsid w:val="00015680"/>
    <w:rsid w:val="00033050"/>
    <w:rsid w:val="00035213"/>
    <w:rsid w:val="00035D90"/>
    <w:rsid w:val="00053B27"/>
    <w:rsid w:val="00061494"/>
    <w:rsid w:val="000A56D8"/>
    <w:rsid w:val="000B3D81"/>
    <w:rsid w:val="000D5113"/>
    <w:rsid w:val="000F17B6"/>
    <w:rsid w:val="000F3D9D"/>
    <w:rsid w:val="000F6925"/>
    <w:rsid w:val="00101FA3"/>
    <w:rsid w:val="00121D30"/>
    <w:rsid w:val="00122317"/>
    <w:rsid w:val="00133368"/>
    <w:rsid w:val="00136964"/>
    <w:rsid w:val="00152C1F"/>
    <w:rsid w:val="001559EC"/>
    <w:rsid w:val="00155D04"/>
    <w:rsid w:val="0016158A"/>
    <w:rsid w:val="00171CE9"/>
    <w:rsid w:val="00197DC4"/>
    <w:rsid w:val="001A57DF"/>
    <w:rsid w:val="001B0822"/>
    <w:rsid w:val="001B7CC6"/>
    <w:rsid w:val="001C3150"/>
    <w:rsid w:val="001C4CD7"/>
    <w:rsid w:val="001D070B"/>
    <w:rsid w:val="001D5184"/>
    <w:rsid w:val="001D6B02"/>
    <w:rsid w:val="001D7F4B"/>
    <w:rsid w:val="001F4673"/>
    <w:rsid w:val="00205479"/>
    <w:rsid w:val="0021112A"/>
    <w:rsid w:val="00223812"/>
    <w:rsid w:val="00245400"/>
    <w:rsid w:val="002601C9"/>
    <w:rsid w:val="0026301C"/>
    <w:rsid w:val="00286F0C"/>
    <w:rsid w:val="0029196E"/>
    <w:rsid w:val="00292187"/>
    <w:rsid w:val="00297230"/>
    <w:rsid w:val="002A3E6C"/>
    <w:rsid w:val="002C133B"/>
    <w:rsid w:val="002C31C0"/>
    <w:rsid w:val="002C60CE"/>
    <w:rsid w:val="00300B05"/>
    <w:rsid w:val="00315CA6"/>
    <w:rsid w:val="003163C8"/>
    <w:rsid w:val="00353A48"/>
    <w:rsid w:val="00367803"/>
    <w:rsid w:val="00371542"/>
    <w:rsid w:val="0038067C"/>
    <w:rsid w:val="003A39D2"/>
    <w:rsid w:val="003A3BA0"/>
    <w:rsid w:val="003A47E7"/>
    <w:rsid w:val="003A632E"/>
    <w:rsid w:val="003B2A75"/>
    <w:rsid w:val="003B6175"/>
    <w:rsid w:val="003C0879"/>
    <w:rsid w:val="003C4915"/>
    <w:rsid w:val="003D6511"/>
    <w:rsid w:val="003E3D87"/>
    <w:rsid w:val="00402100"/>
    <w:rsid w:val="004626D6"/>
    <w:rsid w:val="00464B53"/>
    <w:rsid w:val="0047193C"/>
    <w:rsid w:val="0048504A"/>
    <w:rsid w:val="00491782"/>
    <w:rsid w:val="004B0CD8"/>
    <w:rsid w:val="004B4F3D"/>
    <w:rsid w:val="004C7FF1"/>
    <w:rsid w:val="005047ED"/>
    <w:rsid w:val="00507DEC"/>
    <w:rsid w:val="00516202"/>
    <w:rsid w:val="0053170E"/>
    <w:rsid w:val="00535FB4"/>
    <w:rsid w:val="00544CD8"/>
    <w:rsid w:val="00560F5A"/>
    <w:rsid w:val="005640D4"/>
    <w:rsid w:val="005772D7"/>
    <w:rsid w:val="005B559B"/>
    <w:rsid w:val="005B6A46"/>
    <w:rsid w:val="005D405D"/>
    <w:rsid w:val="005D61E0"/>
    <w:rsid w:val="005E3911"/>
    <w:rsid w:val="005E425F"/>
    <w:rsid w:val="00604B7A"/>
    <w:rsid w:val="00607DD5"/>
    <w:rsid w:val="0061595F"/>
    <w:rsid w:val="00624A0C"/>
    <w:rsid w:val="0063319F"/>
    <w:rsid w:val="00645CC7"/>
    <w:rsid w:val="00645D1F"/>
    <w:rsid w:val="00667EA0"/>
    <w:rsid w:val="00670AD8"/>
    <w:rsid w:val="006A5D12"/>
    <w:rsid w:val="006B3766"/>
    <w:rsid w:val="006C0D1A"/>
    <w:rsid w:val="00707F69"/>
    <w:rsid w:val="00713888"/>
    <w:rsid w:val="0072225F"/>
    <w:rsid w:val="007346C4"/>
    <w:rsid w:val="0074697B"/>
    <w:rsid w:val="007530C8"/>
    <w:rsid w:val="00754FC9"/>
    <w:rsid w:val="00756B3C"/>
    <w:rsid w:val="00782432"/>
    <w:rsid w:val="00783E64"/>
    <w:rsid w:val="00786414"/>
    <w:rsid w:val="00796197"/>
    <w:rsid w:val="007B13B4"/>
    <w:rsid w:val="007D38E2"/>
    <w:rsid w:val="007D68AC"/>
    <w:rsid w:val="007E6539"/>
    <w:rsid w:val="007F7304"/>
    <w:rsid w:val="0080500A"/>
    <w:rsid w:val="00830B08"/>
    <w:rsid w:val="008314B2"/>
    <w:rsid w:val="008317DF"/>
    <w:rsid w:val="008769D1"/>
    <w:rsid w:val="00877014"/>
    <w:rsid w:val="008779EC"/>
    <w:rsid w:val="00882860"/>
    <w:rsid w:val="0088591B"/>
    <w:rsid w:val="00887716"/>
    <w:rsid w:val="0089252D"/>
    <w:rsid w:val="008A103B"/>
    <w:rsid w:val="008B77FD"/>
    <w:rsid w:val="008E3639"/>
    <w:rsid w:val="009210E7"/>
    <w:rsid w:val="0093248E"/>
    <w:rsid w:val="00934545"/>
    <w:rsid w:val="0094266E"/>
    <w:rsid w:val="00945C49"/>
    <w:rsid w:val="00962847"/>
    <w:rsid w:val="009765EC"/>
    <w:rsid w:val="0097731A"/>
    <w:rsid w:val="009975B2"/>
    <w:rsid w:val="009A24B6"/>
    <w:rsid w:val="009A5D07"/>
    <w:rsid w:val="009B7EBC"/>
    <w:rsid w:val="009C5FC4"/>
    <w:rsid w:val="009F4302"/>
    <w:rsid w:val="00A05EF0"/>
    <w:rsid w:val="00A115D8"/>
    <w:rsid w:val="00A15D3D"/>
    <w:rsid w:val="00A173B0"/>
    <w:rsid w:val="00A27E89"/>
    <w:rsid w:val="00A42F8D"/>
    <w:rsid w:val="00A5357A"/>
    <w:rsid w:val="00A55636"/>
    <w:rsid w:val="00A65FD0"/>
    <w:rsid w:val="00A713A1"/>
    <w:rsid w:val="00A7710F"/>
    <w:rsid w:val="00A92E38"/>
    <w:rsid w:val="00A93C31"/>
    <w:rsid w:val="00AA06E2"/>
    <w:rsid w:val="00AB2435"/>
    <w:rsid w:val="00AD4136"/>
    <w:rsid w:val="00AD4407"/>
    <w:rsid w:val="00AE3C8F"/>
    <w:rsid w:val="00B317D3"/>
    <w:rsid w:val="00B32856"/>
    <w:rsid w:val="00B330F3"/>
    <w:rsid w:val="00B50A67"/>
    <w:rsid w:val="00B50C54"/>
    <w:rsid w:val="00B536C9"/>
    <w:rsid w:val="00B5378B"/>
    <w:rsid w:val="00B55A61"/>
    <w:rsid w:val="00B71356"/>
    <w:rsid w:val="00B878BB"/>
    <w:rsid w:val="00B92C76"/>
    <w:rsid w:val="00BB44FB"/>
    <w:rsid w:val="00BE7282"/>
    <w:rsid w:val="00C035C6"/>
    <w:rsid w:val="00C178F8"/>
    <w:rsid w:val="00C3382C"/>
    <w:rsid w:val="00C53011"/>
    <w:rsid w:val="00C704FA"/>
    <w:rsid w:val="00C74037"/>
    <w:rsid w:val="00C746B5"/>
    <w:rsid w:val="00CD1682"/>
    <w:rsid w:val="00CF0C09"/>
    <w:rsid w:val="00D032CD"/>
    <w:rsid w:val="00D12052"/>
    <w:rsid w:val="00D242B1"/>
    <w:rsid w:val="00D25E2A"/>
    <w:rsid w:val="00D45E7A"/>
    <w:rsid w:val="00D76F60"/>
    <w:rsid w:val="00D83F26"/>
    <w:rsid w:val="00D84B4A"/>
    <w:rsid w:val="00D97B89"/>
    <w:rsid w:val="00DA08F7"/>
    <w:rsid w:val="00DB09C8"/>
    <w:rsid w:val="00DB23FC"/>
    <w:rsid w:val="00DD2129"/>
    <w:rsid w:val="00DD601A"/>
    <w:rsid w:val="00DF2C06"/>
    <w:rsid w:val="00E0072B"/>
    <w:rsid w:val="00E10B3E"/>
    <w:rsid w:val="00E15AC6"/>
    <w:rsid w:val="00E25B6B"/>
    <w:rsid w:val="00E353CD"/>
    <w:rsid w:val="00E70367"/>
    <w:rsid w:val="00E7414E"/>
    <w:rsid w:val="00E76C1F"/>
    <w:rsid w:val="00E77687"/>
    <w:rsid w:val="00E903E9"/>
    <w:rsid w:val="00E926E1"/>
    <w:rsid w:val="00EB4A4D"/>
    <w:rsid w:val="00EC2EEE"/>
    <w:rsid w:val="00ED2ED4"/>
    <w:rsid w:val="00EE6A71"/>
    <w:rsid w:val="00EF210B"/>
    <w:rsid w:val="00EF25B9"/>
    <w:rsid w:val="00EF5B8E"/>
    <w:rsid w:val="00F112B6"/>
    <w:rsid w:val="00F14FD9"/>
    <w:rsid w:val="00F25432"/>
    <w:rsid w:val="00F34916"/>
    <w:rsid w:val="00F55357"/>
    <w:rsid w:val="00F6157B"/>
    <w:rsid w:val="00F73411"/>
    <w:rsid w:val="00F75FA7"/>
    <w:rsid w:val="00F92817"/>
    <w:rsid w:val="00F96397"/>
    <w:rsid w:val="00FA4EF1"/>
    <w:rsid w:val="00FB2B1C"/>
    <w:rsid w:val="00FC4A3F"/>
    <w:rsid w:val="00FD0AFB"/>
    <w:rsid w:val="00FF35E0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5364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AC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AC6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0F17B6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F17B6"/>
    <w:rPr>
      <w:rFonts w:ascii="Consolas" w:eastAsiaTheme="minorHAnsi" w:hAnsi="Consolas" w:cstheme="minorBidi"/>
      <w:sz w:val="21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89252D"/>
    <w:pPr>
      <w:widowControl/>
      <w:suppressAutoHyphens w:val="0"/>
      <w:ind w:left="720"/>
    </w:pPr>
    <w:rPr>
      <w:rFonts w:ascii="Calibri" w:eastAsiaTheme="minorHAnsi" w:hAnsi="Calibri" w:cs="Times New Roman"/>
      <w:sz w:val="22"/>
      <w:szCs w:val="22"/>
      <w:lang w:eastAsia="lt-LT" w:bidi="ar-SA"/>
    </w:rPr>
  </w:style>
  <w:style w:type="paragraph" w:styleId="Betarp">
    <w:name w:val="No Spacing"/>
    <w:uiPriority w:val="1"/>
    <w:qFormat/>
    <w:rsid w:val="008E36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E36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Grietas">
    <w:name w:val="Strong"/>
    <w:uiPriority w:val="22"/>
    <w:qFormat/>
    <w:rsid w:val="008E3639"/>
    <w:rPr>
      <w:b/>
      <w:bCs/>
    </w:rPr>
  </w:style>
  <w:style w:type="character" w:customStyle="1" w:styleId="apple-converted-space">
    <w:name w:val="apple-converted-space"/>
    <w:basedOn w:val="Numatytasispastraiposriftas"/>
    <w:rsid w:val="005D61E0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B77FD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7014"/>
    <w:rPr>
      <w:rFonts w:eastAsia="Andale Sans UI" w:cs="Tahoma"/>
      <w:sz w:val="24"/>
      <w:szCs w:val="24"/>
      <w:lang w:eastAsia="en-US" w:bidi="en-US"/>
    </w:rPr>
  </w:style>
  <w:style w:type="paragraph" w:customStyle="1" w:styleId="tablecontents0">
    <w:name w:val="tablecontents"/>
    <w:basedOn w:val="prastasis"/>
    <w:rsid w:val="001C315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ramunas.sveikauskas@am.lt" TargetMode="External"
                 Type="http://schemas.openxmlformats.org/officeDocument/2006/relationships/hyperlink"/>
   <Relationship Id="rId11" Target="mailto:vaiva.rumbutiene@am.lt" TargetMode="External"
                 Type="http://schemas.openxmlformats.org/officeDocument/2006/relationships/hyperlink"/>
   <Relationship Id="rId12" Target="mailto:vaiva.rumbutiene@am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dainius.cergelis@am.lt" TargetMode="External"
                 Type="http://schemas.openxmlformats.org/officeDocument/2006/relationships/hyperlink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3247-D18A-4CCE-8FBA-3C787551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3120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2020-07-09T03:51:00Z</dcterms:created>
  <dcterms:modified xsi:type="dcterms:W3CDTF">2020-07-09T03:51:00Z</dcterms:modified>
  <cp:revision>1</cp:revision>
</cp:coreProperties>
</file>