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5E" w:rsidRDefault="00ED0642"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Pr>
          <w:rFonts w:ascii="Times New Roman" w:eastAsia="Times New Roman" w:hAnsi="Times New Roman" w:cs="Times New Roman"/>
          <w:b/>
          <w:bCs/>
          <w:caps/>
          <w:kern w:val="3"/>
          <w:sz w:val="24"/>
          <w:szCs w:val="24"/>
          <w:lang w:val="en-US" w:eastAsia="zh-CN"/>
        </w:rPr>
        <w:t>DERINIMO PAŽYMA</w:t>
      </w:r>
    </w:p>
    <w:p w:rsidR="0092377F" w:rsidRPr="004F54C3" w:rsidRDefault="00FD1D5E" w:rsidP="004F54C3">
      <w:pPr>
        <w:spacing w:after="0" w:line="240" w:lineRule="auto"/>
        <w:jc w:val="center"/>
        <w:rPr>
          <w:rFonts w:ascii="Times New Roman" w:eastAsia="Times New Roman" w:hAnsi="Times New Roman" w:cs="Times New Roman"/>
          <w:b/>
          <w:bCs/>
          <w:caps/>
          <w:kern w:val="3"/>
          <w:sz w:val="24"/>
          <w:szCs w:val="24"/>
          <w:lang w:eastAsia="zh-CN"/>
        </w:rPr>
      </w:pPr>
      <w:bookmarkStart w:id="0" w:name="_Hlk513734621"/>
      <w:r>
        <w:rPr>
          <w:rFonts w:ascii="Times New Roman" w:eastAsia="Times New Roman" w:hAnsi="Times New Roman" w:cs="Times New Roman"/>
          <w:b/>
          <w:bCs/>
          <w:caps/>
          <w:kern w:val="3"/>
          <w:sz w:val="24"/>
          <w:szCs w:val="24"/>
          <w:lang w:val="en-US" w:eastAsia="zh-CN"/>
        </w:rPr>
        <w:t xml:space="preserve">DĖL Lietuvos respublikos </w:t>
      </w:r>
      <w:r w:rsidR="0092377F">
        <w:rPr>
          <w:rFonts w:ascii="Times New Roman" w:eastAsia="Times New Roman" w:hAnsi="Times New Roman" w:cs="Times New Roman"/>
          <w:b/>
          <w:bCs/>
          <w:caps/>
          <w:kern w:val="3"/>
          <w:sz w:val="24"/>
          <w:szCs w:val="24"/>
          <w:lang w:val="en-US" w:eastAsia="zh-CN"/>
        </w:rPr>
        <w:t xml:space="preserve">VYRIAUSYBĖS </w:t>
      </w:r>
      <w:r w:rsidR="0092377F" w:rsidRPr="0092377F">
        <w:rPr>
          <w:rFonts w:ascii="Times New Roman" w:eastAsia="Times New Roman" w:hAnsi="Times New Roman" w:cs="Times New Roman"/>
          <w:b/>
          <w:bCs/>
          <w:caps/>
          <w:kern w:val="3"/>
          <w:sz w:val="24"/>
          <w:szCs w:val="24"/>
          <w:lang w:eastAsia="zh-CN"/>
        </w:rPr>
        <w:t>nutarimo „</w:t>
      </w:r>
      <w:r w:rsidR="004F54C3" w:rsidRPr="004F54C3">
        <w:rPr>
          <w:rFonts w:ascii="Times New Roman" w:eastAsia="Times New Roman" w:hAnsi="Times New Roman" w:cs="Times New Roman"/>
          <w:b/>
          <w:bCs/>
          <w:caps/>
          <w:kern w:val="3"/>
          <w:sz w:val="24"/>
          <w:szCs w:val="24"/>
          <w:lang w:eastAsia="zh-CN"/>
        </w:rPr>
        <w:t>DĖL LIETUVOS RESPUBLIKOS VYRIAUSYBĖS 2008 M. VASARIO 13 D. NUTARIMO NR. 127 „DĖL FINANSINĖS PARAMOS VARTOTOJŲ ASOCIACIJOMS TEIKIMO“ PAKEITIMO</w:t>
      </w:r>
      <w:r w:rsidR="0092377F" w:rsidRPr="0092377F">
        <w:rPr>
          <w:rFonts w:ascii="Times New Roman" w:eastAsia="Times New Roman" w:hAnsi="Times New Roman" w:cs="Times New Roman"/>
          <w:b/>
          <w:bCs/>
          <w:caps/>
          <w:kern w:val="3"/>
          <w:sz w:val="24"/>
          <w:szCs w:val="24"/>
          <w:lang w:eastAsia="zh-CN"/>
        </w:rPr>
        <w:t xml:space="preserve">“ </w:t>
      </w:r>
    </w:p>
    <w:p w:rsidR="00FD1D5E" w:rsidRPr="00ED5701" w:rsidRDefault="00FD1D5E" w:rsidP="00ED0642">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sidRPr="00ED5701">
        <w:rPr>
          <w:rFonts w:ascii="Times New Roman" w:eastAsia="Times New Roman" w:hAnsi="Times New Roman" w:cs="Times New Roman"/>
          <w:b/>
          <w:bCs/>
          <w:caps/>
          <w:kern w:val="3"/>
          <w:sz w:val="24"/>
          <w:szCs w:val="24"/>
          <w:lang w:val="en-US" w:eastAsia="zh-CN"/>
        </w:rPr>
        <w:t>PROJEKT</w:t>
      </w:r>
      <w:bookmarkEnd w:id="0"/>
      <w:r w:rsidRPr="00ED5701">
        <w:rPr>
          <w:rFonts w:ascii="Times New Roman" w:eastAsia="Times New Roman" w:hAnsi="Times New Roman" w:cs="Times New Roman"/>
          <w:b/>
          <w:bCs/>
          <w:caps/>
          <w:kern w:val="3"/>
          <w:sz w:val="24"/>
          <w:szCs w:val="24"/>
          <w:lang w:val="en-US" w:eastAsia="zh-CN"/>
        </w:rPr>
        <w:t>O</w:t>
      </w:r>
      <w:r>
        <w:rPr>
          <w:rFonts w:ascii="Times New Roman" w:eastAsia="Times New Roman" w:hAnsi="Times New Roman" w:cs="Times New Roman"/>
          <w:b/>
          <w:bCs/>
          <w:caps/>
          <w:kern w:val="3"/>
          <w:sz w:val="24"/>
          <w:szCs w:val="24"/>
          <w:lang w:val="en-US" w:eastAsia="zh-CN"/>
        </w:rPr>
        <w:t xml:space="preserve"> </w:t>
      </w:r>
    </w:p>
    <w:p w:rsidR="00FD1D5E" w:rsidRPr="00ED5701"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p>
    <w:tbl>
      <w:tblPr>
        <w:tblStyle w:val="Lentelstinklelis"/>
        <w:tblW w:w="14737" w:type="dxa"/>
        <w:tblLook w:val="04A0" w:firstRow="1" w:lastRow="0" w:firstColumn="1" w:lastColumn="0" w:noHBand="0" w:noVBand="1"/>
      </w:tblPr>
      <w:tblGrid>
        <w:gridCol w:w="560"/>
        <w:gridCol w:w="1845"/>
        <w:gridCol w:w="5954"/>
        <w:gridCol w:w="6378"/>
      </w:tblGrid>
      <w:tr w:rsidR="00FD1D5E" w:rsidRPr="00835D10" w:rsidTr="00450A99">
        <w:tc>
          <w:tcPr>
            <w:tcW w:w="560" w:type="dxa"/>
          </w:tcPr>
          <w:p w:rsidR="00FD1D5E" w:rsidRPr="00E55D90" w:rsidRDefault="00FD1D5E" w:rsidP="002E6C10">
            <w:pPr>
              <w:tabs>
                <w:tab w:val="left" w:pos="449"/>
              </w:tabs>
              <w:spacing w:after="80" w:line="264" w:lineRule="auto"/>
              <w:jc w:val="center"/>
              <w:rPr>
                <w:rFonts w:ascii="Times New Roman" w:hAnsi="Times New Roman" w:cs="Times New Roman"/>
                <w:bCs/>
                <w:sz w:val="24"/>
                <w:szCs w:val="24"/>
              </w:rPr>
            </w:pPr>
            <w:r w:rsidRPr="00E55D90">
              <w:rPr>
                <w:rFonts w:ascii="Times New Roman" w:hAnsi="Times New Roman" w:cs="Times New Roman"/>
                <w:bCs/>
                <w:sz w:val="24"/>
                <w:szCs w:val="24"/>
              </w:rPr>
              <w:t>Eil. Nr.</w:t>
            </w:r>
          </w:p>
        </w:tc>
        <w:tc>
          <w:tcPr>
            <w:tcW w:w="1845" w:type="dxa"/>
          </w:tcPr>
          <w:p w:rsidR="00FD1D5E" w:rsidRPr="00614D4E" w:rsidRDefault="00FD1D5E" w:rsidP="00614D4E">
            <w:pPr>
              <w:tabs>
                <w:tab w:val="left" w:pos="449"/>
              </w:tabs>
              <w:spacing w:after="80"/>
              <w:jc w:val="center"/>
              <w:rPr>
                <w:rFonts w:ascii="Times New Roman" w:hAnsi="Times New Roman" w:cs="Times New Roman"/>
                <w:sz w:val="24"/>
                <w:szCs w:val="24"/>
              </w:rPr>
            </w:pPr>
            <w:r w:rsidRPr="00614D4E">
              <w:rPr>
                <w:rFonts w:ascii="Times New Roman" w:hAnsi="Times New Roman" w:cs="Times New Roman"/>
                <w:bCs/>
                <w:sz w:val="24"/>
                <w:szCs w:val="24"/>
              </w:rPr>
              <w:t>Institucija, pateikusi pastabas ir  pasiūlymus</w:t>
            </w:r>
          </w:p>
        </w:tc>
        <w:tc>
          <w:tcPr>
            <w:tcW w:w="5954" w:type="dxa"/>
          </w:tcPr>
          <w:p w:rsidR="00FD1D5E" w:rsidRPr="00614D4E" w:rsidRDefault="00FD1D5E" w:rsidP="00614D4E">
            <w:pPr>
              <w:tabs>
                <w:tab w:val="left" w:pos="449"/>
              </w:tabs>
              <w:spacing w:after="80"/>
              <w:jc w:val="center"/>
              <w:rPr>
                <w:rFonts w:ascii="Times New Roman" w:hAnsi="Times New Roman" w:cs="Times New Roman"/>
                <w:sz w:val="24"/>
                <w:szCs w:val="24"/>
              </w:rPr>
            </w:pPr>
            <w:r w:rsidRPr="00614D4E">
              <w:rPr>
                <w:rFonts w:ascii="Times New Roman" w:eastAsia="Times New Roman" w:hAnsi="Times New Roman" w:cs="Times New Roman"/>
                <w:sz w:val="24"/>
                <w:szCs w:val="24"/>
              </w:rPr>
              <w:t>Pastabos ir pasiūlymai</w:t>
            </w:r>
          </w:p>
        </w:tc>
        <w:tc>
          <w:tcPr>
            <w:tcW w:w="6378" w:type="dxa"/>
          </w:tcPr>
          <w:p w:rsidR="00FD1D5E" w:rsidRPr="00E55D90" w:rsidRDefault="00FD1D5E" w:rsidP="002E6C10">
            <w:pPr>
              <w:spacing w:line="276" w:lineRule="auto"/>
              <w:jc w:val="center"/>
              <w:rPr>
                <w:rFonts w:ascii="Times New Roman" w:hAnsi="Times New Roman" w:cs="Times New Roman"/>
                <w:b/>
                <w:sz w:val="24"/>
                <w:szCs w:val="24"/>
              </w:rPr>
            </w:pPr>
            <w:r w:rsidRPr="00E55D90">
              <w:rPr>
                <w:rFonts w:ascii="Times New Roman" w:eastAsia="Times New Roman" w:hAnsi="Times New Roman" w:cs="Times New Roman"/>
                <w:sz w:val="24"/>
                <w:szCs w:val="24"/>
              </w:rPr>
              <w:t>Pastabų ir pasiūlymų įvertinimas</w:t>
            </w:r>
          </w:p>
        </w:tc>
      </w:tr>
      <w:tr w:rsidR="00C5146F" w:rsidRPr="00835D10" w:rsidTr="00450A99">
        <w:tc>
          <w:tcPr>
            <w:tcW w:w="560" w:type="dxa"/>
          </w:tcPr>
          <w:p w:rsidR="00C5146F" w:rsidRPr="00E55D90" w:rsidRDefault="004F54C3" w:rsidP="002E6C10">
            <w:pPr>
              <w:autoSpaceDE w:val="0"/>
              <w:autoSpaceDN w:val="0"/>
              <w:adjustRightInd w:val="0"/>
              <w:spacing w:line="264" w:lineRule="auto"/>
              <w:rPr>
                <w:rFonts w:ascii="Times New Roman" w:hAnsi="Times New Roman" w:cs="Times New Roman"/>
                <w:bCs/>
                <w:sz w:val="24"/>
                <w:szCs w:val="24"/>
              </w:rPr>
            </w:pPr>
            <w:r>
              <w:rPr>
                <w:rFonts w:ascii="Times New Roman" w:hAnsi="Times New Roman" w:cs="Times New Roman"/>
                <w:bCs/>
                <w:sz w:val="24"/>
                <w:szCs w:val="24"/>
              </w:rPr>
              <w:t>1.</w:t>
            </w:r>
          </w:p>
        </w:tc>
        <w:tc>
          <w:tcPr>
            <w:tcW w:w="1845" w:type="dxa"/>
          </w:tcPr>
          <w:p w:rsidR="00C5146F" w:rsidRDefault="004F54C3" w:rsidP="001B1FCA">
            <w:pPr>
              <w:rPr>
                <w:rFonts w:ascii="Times New Roman" w:hAnsi="Times New Roman" w:cs="Times New Roman"/>
                <w:sz w:val="24"/>
                <w:szCs w:val="24"/>
              </w:rPr>
            </w:pPr>
            <w:r>
              <w:rPr>
                <w:rFonts w:ascii="Times New Roman" w:hAnsi="Times New Roman" w:cs="Times New Roman"/>
                <w:sz w:val="24"/>
                <w:szCs w:val="24"/>
              </w:rPr>
              <w:t>Lietuvos vartotojų organizacijų aljansas</w:t>
            </w:r>
          </w:p>
          <w:p w:rsidR="004F54C3" w:rsidRPr="001B1FCA" w:rsidRDefault="004F54C3" w:rsidP="00450A99">
            <w:pPr>
              <w:rPr>
                <w:rFonts w:ascii="Times New Roman" w:hAnsi="Times New Roman" w:cs="Times New Roman"/>
                <w:sz w:val="24"/>
                <w:szCs w:val="24"/>
              </w:rPr>
            </w:pPr>
            <w:r>
              <w:rPr>
                <w:rFonts w:ascii="Times New Roman" w:hAnsi="Times New Roman" w:cs="Times New Roman"/>
                <w:sz w:val="24"/>
                <w:szCs w:val="24"/>
              </w:rPr>
              <w:t>2019-</w:t>
            </w:r>
            <w:r w:rsidR="00450A99">
              <w:rPr>
                <w:rFonts w:ascii="Times New Roman" w:hAnsi="Times New Roman" w:cs="Times New Roman"/>
                <w:sz w:val="24"/>
                <w:szCs w:val="24"/>
              </w:rPr>
              <w:t xml:space="preserve">10-09 raštas Nr. </w:t>
            </w:r>
            <w:r w:rsidR="00450A99" w:rsidRPr="00450A99">
              <w:rPr>
                <w:rFonts w:ascii="Times New Roman" w:hAnsi="Times New Roman" w:cs="Times New Roman"/>
                <w:sz w:val="24"/>
                <w:szCs w:val="24"/>
              </w:rPr>
              <w:t>RP-07</w:t>
            </w:r>
          </w:p>
        </w:tc>
        <w:tc>
          <w:tcPr>
            <w:tcW w:w="5954" w:type="dxa"/>
          </w:tcPr>
          <w:p w:rsidR="004F54C3" w:rsidRPr="004F54C3" w:rsidRDefault="004F54C3" w:rsidP="004F54C3">
            <w:pPr>
              <w:pStyle w:val="Sraopastraipa"/>
              <w:tabs>
                <w:tab w:val="left" w:pos="244"/>
                <w:tab w:val="left" w:pos="527"/>
              </w:tabs>
              <w:ind w:left="-40"/>
              <w:jc w:val="both"/>
              <w:rPr>
                <w:rFonts w:ascii="Times New Roman" w:hAnsi="Times New Roman" w:cs="Times New Roman"/>
                <w:bCs/>
                <w:sz w:val="24"/>
                <w:szCs w:val="24"/>
              </w:rPr>
            </w:pPr>
            <w:r w:rsidRPr="004F54C3">
              <w:rPr>
                <w:rFonts w:ascii="Times New Roman" w:hAnsi="Times New Roman" w:cs="Times New Roman"/>
                <w:bCs/>
                <w:sz w:val="24"/>
                <w:szCs w:val="24"/>
              </w:rPr>
              <w:t xml:space="preserve">Pavieniai projektai yra labai svarbūs, tačiau be bendros koordinacinės vartotojų organizacijų veiklos, užtikrinančios sistemingą vartotojų asociacijų veiklą, Valstybinėje vartotojų apsaugos plėtros 2019-2027 metų programoje numatytų tikslų įgyvendinimas yra sunkiai įmanomas. Todėl siūlome 3 taisyklių punktą papildyti 3.5. papunkčiu: </w:t>
            </w:r>
          </w:p>
          <w:p w:rsidR="00C5146F" w:rsidRPr="0066330C" w:rsidRDefault="004F54C3" w:rsidP="004F54C3">
            <w:pPr>
              <w:pStyle w:val="Sraopastraipa"/>
              <w:tabs>
                <w:tab w:val="left" w:pos="244"/>
                <w:tab w:val="left" w:pos="527"/>
              </w:tabs>
              <w:ind w:left="-40"/>
              <w:jc w:val="both"/>
              <w:rPr>
                <w:rFonts w:ascii="Times New Roman" w:hAnsi="Times New Roman" w:cs="Times New Roman"/>
                <w:bCs/>
                <w:sz w:val="24"/>
                <w:szCs w:val="24"/>
              </w:rPr>
            </w:pPr>
            <w:r w:rsidRPr="004F54C3">
              <w:rPr>
                <w:rFonts w:ascii="Times New Roman" w:hAnsi="Times New Roman" w:cs="Times New Roman"/>
                <w:bCs/>
                <w:sz w:val="24"/>
                <w:szCs w:val="24"/>
              </w:rPr>
              <w:t>„3.5. įgyvendinti vartotojų asociacijų koordinacinės veiklos programas.“</w:t>
            </w:r>
          </w:p>
        </w:tc>
        <w:tc>
          <w:tcPr>
            <w:tcW w:w="6378" w:type="dxa"/>
          </w:tcPr>
          <w:p w:rsidR="007D119E" w:rsidRDefault="00825D30" w:rsidP="00825D30">
            <w:pPr>
              <w:jc w:val="both"/>
              <w:rPr>
                <w:rFonts w:ascii="Times New Roman" w:hAnsi="Times New Roman" w:cs="Times New Roman"/>
                <w:sz w:val="24"/>
                <w:szCs w:val="24"/>
              </w:rPr>
            </w:pPr>
            <w:r>
              <w:rPr>
                <w:rFonts w:ascii="Times New Roman" w:hAnsi="Times New Roman" w:cs="Times New Roman"/>
                <w:b/>
                <w:sz w:val="24"/>
                <w:szCs w:val="24"/>
              </w:rPr>
              <w:t>Atsižvelgta iš dalies.</w:t>
            </w:r>
            <w:r w:rsidR="00DC7594" w:rsidRPr="00DC7594">
              <w:rPr>
                <w:rFonts w:ascii="Times New Roman" w:hAnsi="Times New Roman" w:cs="Times New Roman"/>
                <w:sz w:val="24"/>
                <w:szCs w:val="24"/>
              </w:rPr>
              <w:t xml:space="preserve"> </w:t>
            </w:r>
          </w:p>
          <w:p w:rsidR="00450A99" w:rsidRPr="00B637F1" w:rsidRDefault="00C4763F" w:rsidP="00825D30">
            <w:pPr>
              <w:jc w:val="both"/>
              <w:rPr>
                <w:rFonts w:ascii="Times New Roman" w:hAnsi="Times New Roman" w:cs="Times New Roman"/>
                <w:sz w:val="24"/>
                <w:szCs w:val="24"/>
              </w:rPr>
            </w:pPr>
            <w:r>
              <w:rPr>
                <w:rFonts w:ascii="Times New Roman" w:hAnsi="Times New Roman" w:cs="Times New Roman"/>
                <w:sz w:val="24"/>
                <w:szCs w:val="24"/>
              </w:rPr>
              <w:t>Atsižvelgiant į tai, kad Lietuvoje veikia kelios skėtinės vartotojų asociacijos, kurios gali vykdyti koordinacinę veiklą, tikslingiau ribotas valstybės paramos lėšas skirti didesnį poveikį vartotojų apsaugos lygį užtikrinančioms konkrečioms iniciatyvoms (grupės ieškinių pateikimas, dalyvavimas vartojimo ginčų neteisminiame sprendime ir pan.).</w:t>
            </w:r>
            <w:r w:rsidR="007D119E">
              <w:rPr>
                <w:rFonts w:ascii="Times New Roman" w:hAnsi="Times New Roman" w:cs="Times New Roman"/>
                <w:sz w:val="24"/>
                <w:szCs w:val="24"/>
              </w:rPr>
              <w:t xml:space="preserve"> Tačiau t</w:t>
            </w:r>
            <w:r w:rsidR="00825D30">
              <w:rPr>
                <w:rFonts w:ascii="Times New Roman" w:hAnsi="Times New Roman" w:cs="Times New Roman"/>
                <w:sz w:val="24"/>
                <w:szCs w:val="24"/>
              </w:rPr>
              <w:t xml:space="preserve">aisyklėse numatyta, kad </w:t>
            </w:r>
            <w:r w:rsidR="00825D30">
              <w:rPr>
                <w:rFonts w:ascii="Times New Roman" w:hAnsi="Times New Roman" w:cs="Times New Roman"/>
                <w:bCs/>
                <w:sz w:val="24"/>
                <w:szCs w:val="24"/>
              </w:rPr>
              <w:t>s</w:t>
            </w:r>
            <w:r w:rsidR="00825D30" w:rsidRPr="00825D30">
              <w:rPr>
                <w:rFonts w:ascii="Times New Roman" w:hAnsi="Times New Roman" w:cs="Times New Roman"/>
                <w:bCs/>
                <w:sz w:val="24"/>
                <w:szCs w:val="24"/>
              </w:rPr>
              <w:t>kėtinių vartotojų asociacijų paraiškoms, išskyrus paraiškas dėl bylos išlaidų, </w:t>
            </w:r>
            <w:r w:rsidR="00825D30">
              <w:rPr>
                <w:rFonts w:ascii="Times New Roman" w:hAnsi="Times New Roman" w:cs="Times New Roman"/>
                <w:bCs/>
                <w:sz w:val="24"/>
                <w:szCs w:val="24"/>
              </w:rPr>
              <w:t xml:space="preserve">bus </w:t>
            </w:r>
            <w:r w:rsidR="00825D30" w:rsidRPr="00825D30">
              <w:rPr>
                <w:rFonts w:ascii="Times New Roman" w:hAnsi="Times New Roman" w:cs="Times New Roman"/>
                <w:bCs/>
                <w:sz w:val="24"/>
                <w:szCs w:val="24"/>
              </w:rPr>
              <w:t>skiriami papildomi 10 balų</w:t>
            </w:r>
            <w:r w:rsidR="00825D30">
              <w:rPr>
                <w:rFonts w:ascii="Times New Roman" w:hAnsi="Times New Roman" w:cs="Times New Roman"/>
                <w:bCs/>
                <w:sz w:val="24"/>
                <w:szCs w:val="24"/>
              </w:rPr>
              <w:t>.</w:t>
            </w:r>
          </w:p>
        </w:tc>
      </w:tr>
      <w:tr w:rsidR="00C23C0A" w:rsidRPr="00835D10" w:rsidTr="00450A99">
        <w:tc>
          <w:tcPr>
            <w:tcW w:w="560" w:type="dxa"/>
          </w:tcPr>
          <w:p w:rsidR="00C23C0A" w:rsidRDefault="00C23C0A" w:rsidP="002E6C10">
            <w:pPr>
              <w:autoSpaceDE w:val="0"/>
              <w:autoSpaceDN w:val="0"/>
              <w:adjustRightInd w:val="0"/>
              <w:spacing w:line="264" w:lineRule="auto"/>
              <w:rPr>
                <w:rFonts w:ascii="Times New Roman" w:hAnsi="Times New Roman" w:cs="Times New Roman"/>
                <w:bCs/>
                <w:sz w:val="24"/>
                <w:szCs w:val="24"/>
              </w:rPr>
            </w:pPr>
            <w:r>
              <w:rPr>
                <w:rFonts w:ascii="Times New Roman" w:hAnsi="Times New Roman" w:cs="Times New Roman"/>
                <w:bCs/>
                <w:sz w:val="24"/>
                <w:szCs w:val="24"/>
              </w:rPr>
              <w:t>2.</w:t>
            </w:r>
          </w:p>
        </w:tc>
        <w:tc>
          <w:tcPr>
            <w:tcW w:w="1845" w:type="dxa"/>
          </w:tcPr>
          <w:p w:rsidR="00C23C0A" w:rsidRPr="00C23C0A" w:rsidRDefault="00C23C0A" w:rsidP="00C23C0A">
            <w:pPr>
              <w:rPr>
                <w:rFonts w:ascii="Times New Roman" w:hAnsi="Times New Roman" w:cs="Times New Roman"/>
                <w:sz w:val="24"/>
                <w:szCs w:val="24"/>
              </w:rPr>
            </w:pPr>
            <w:r w:rsidRPr="00C23C0A">
              <w:rPr>
                <w:rFonts w:ascii="Times New Roman" w:hAnsi="Times New Roman" w:cs="Times New Roman"/>
                <w:sz w:val="24"/>
                <w:szCs w:val="24"/>
              </w:rPr>
              <w:t>Ekonomikos ir inovacijų ministerija</w:t>
            </w:r>
          </w:p>
          <w:p w:rsidR="00C23C0A" w:rsidRDefault="00C23C0A" w:rsidP="00C23C0A">
            <w:pPr>
              <w:rPr>
                <w:rFonts w:ascii="Times New Roman" w:hAnsi="Times New Roman" w:cs="Times New Roman"/>
                <w:sz w:val="24"/>
                <w:szCs w:val="24"/>
              </w:rPr>
            </w:pPr>
            <w:r w:rsidRPr="00C23C0A">
              <w:rPr>
                <w:rFonts w:ascii="Times New Roman" w:hAnsi="Times New Roman" w:cs="Times New Roman"/>
                <w:sz w:val="24"/>
                <w:szCs w:val="24"/>
              </w:rPr>
              <w:t>2019-10-16 raštas Nr. (26.19-61)-3-3780</w:t>
            </w:r>
          </w:p>
        </w:tc>
        <w:tc>
          <w:tcPr>
            <w:tcW w:w="5954" w:type="dxa"/>
          </w:tcPr>
          <w:p w:rsidR="00C23C0A" w:rsidRPr="00EA2758" w:rsidRDefault="00EA2758" w:rsidP="00EA2758">
            <w:pPr>
              <w:pStyle w:val="Sraopastraipa"/>
              <w:tabs>
                <w:tab w:val="left" w:pos="244"/>
                <w:tab w:val="left" w:pos="527"/>
              </w:tabs>
              <w:ind w:left="-40"/>
              <w:jc w:val="both"/>
              <w:rPr>
                <w:rFonts w:ascii="Times New Roman" w:hAnsi="Times New Roman" w:cs="Times New Roman"/>
                <w:bCs/>
                <w:sz w:val="24"/>
                <w:szCs w:val="24"/>
              </w:rPr>
            </w:pPr>
            <w:r w:rsidRPr="00EA2758">
              <w:rPr>
                <w:rFonts w:ascii="Times New Roman" w:hAnsi="Times New Roman" w:cs="Times New Roman"/>
                <w:bCs/>
                <w:sz w:val="24"/>
                <w:szCs w:val="24"/>
              </w:rPr>
              <w:t>3. Nutarimo projekto 1.8 papunktyje, keičiančiame Taisyk</w:t>
            </w:r>
            <w:r>
              <w:rPr>
                <w:rFonts w:ascii="Times New Roman" w:hAnsi="Times New Roman" w:cs="Times New Roman"/>
                <w:bCs/>
                <w:sz w:val="24"/>
                <w:szCs w:val="24"/>
              </w:rPr>
              <w:t xml:space="preserve">lių 16 punktą, siūlome nurodyti </w:t>
            </w:r>
            <w:bookmarkStart w:id="1" w:name="_GoBack"/>
            <w:bookmarkEnd w:id="1"/>
            <w:r w:rsidRPr="00EA2758">
              <w:rPr>
                <w:rFonts w:ascii="Times New Roman" w:hAnsi="Times New Roman" w:cs="Times New Roman"/>
                <w:bCs/>
                <w:sz w:val="24"/>
                <w:szCs w:val="24"/>
              </w:rPr>
              <w:t>paraiškų dėl bylos išlaidų teikimo Valstybinei vartotojų teisių apsaugos tarnybai terminą.</w:t>
            </w:r>
          </w:p>
        </w:tc>
        <w:tc>
          <w:tcPr>
            <w:tcW w:w="6378" w:type="dxa"/>
          </w:tcPr>
          <w:p w:rsidR="00C23C0A" w:rsidRDefault="00C23C0A" w:rsidP="00825D30">
            <w:pPr>
              <w:jc w:val="both"/>
              <w:rPr>
                <w:rFonts w:ascii="Times New Roman" w:hAnsi="Times New Roman" w:cs="Times New Roman"/>
                <w:b/>
                <w:sz w:val="24"/>
                <w:szCs w:val="24"/>
              </w:rPr>
            </w:pPr>
            <w:r>
              <w:rPr>
                <w:rFonts w:ascii="Times New Roman" w:hAnsi="Times New Roman" w:cs="Times New Roman"/>
                <w:b/>
                <w:sz w:val="24"/>
                <w:szCs w:val="24"/>
              </w:rPr>
              <w:t>Neatsižvelgta.</w:t>
            </w:r>
          </w:p>
          <w:p w:rsidR="00C23C0A" w:rsidRPr="00AE72FD" w:rsidRDefault="00C23C0A" w:rsidP="00AE72FD">
            <w:pPr>
              <w:jc w:val="both"/>
              <w:rPr>
                <w:rFonts w:ascii="Times New Roman" w:hAnsi="Times New Roman" w:cs="Times New Roman"/>
                <w:sz w:val="24"/>
                <w:szCs w:val="24"/>
              </w:rPr>
            </w:pPr>
            <w:r w:rsidRPr="00AE72FD">
              <w:rPr>
                <w:rFonts w:ascii="Times New Roman" w:hAnsi="Times New Roman" w:cs="Times New Roman"/>
                <w:sz w:val="24"/>
                <w:szCs w:val="24"/>
              </w:rPr>
              <w:t xml:space="preserve">Paraiškos dėl vartotojų asociacijos išlaidų, susijusių su grupės ieškiniu dėl vartotojų apsaugos ar ieškiniu dėl vartotojų viešojo intereso gynimo, apmokėjimo būtų teikiamos Valstybinei vartotojų teisių apsaugos tarnybai esant poreikiui, kadangi </w:t>
            </w:r>
            <w:r w:rsidR="00AE72FD">
              <w:rPr>
                <w:rFonts w:ascii="Times New Roman" w:hAnsi="Times New Roman" w:cs="Times New Roman"/>
                <w:sz w:val="24"/>
                <w:szCs w:val="24"/>
              </w:rPr>
              <w:t>sudėtinga numatyti aplinkybes,</w:t>
            </w:r>
            <w:r w:rsidR="00AE72FD" w:rsidRPr="00AE72FD">
              <w:rPr>
                <w:rFonts w:ascii="Times New Roman" w:hAnsi="Times New Roman" w:cs="Times New Roman"/>
                <w:sz w:val="24"/>
                <w:szCs w:val="24"/>
              </w:rPr>
              <w:t xml:space="preserve"> kada </w:t>
            </w:r>
            <w:r w:rsidR="00AE72FD">
              <w:rPr>
                <w:rFonts w:ascii="Times New Roman" w:hAnsi="Times New Roman" w:cs="Times New Roman"/>
                <w:sz w:val="24"/>
                <w:szCs w:val="24"/>
              </w:rPr>
              <w:t xml:space="preserve">vartotojų asociacija imtųsi </w:t>
            </w:r>
            <w:r w:rsidRPr="00AE72FD">
              <w:rPr>
                <w:rFonts w:ascii="Times New Roman" w:hAnsi="Times New Roman" w:cs="Times New Roman"/>
                <w:sz w:val="24"/>
                <w:szCs w:val="24"/>
              </w:rPr>
              <w:t xml:space="preserve">bylos dėl grupės ieškinio ar ieškiniu dėl vartotojų viešojo intereso gynimo </w:t>
            </w:r>
            <w:r w:rsidR="00AE72FD">
              <w:rPr>
                <w:rFonts w:ascii="Times New Roman" w:hAnsi="Times New Roman" w:cs="Times New Roman"/>
                <w:sz w:val="24"/>
                <w:szCs w:val="24"/>
              </w:rPr>
              <w:t>parengimo ir vedimo</w:t>
            </w:r>
            <w:r w:rsidR="00AE72FD" w:rsidRPr="00AE72FD">
              <w:rPr>
                <w:rFonts w:ascii="Times New Roman" w:hAnsi="Times New Roman" w:cs="Times New Roman"/>
                <w:sz w:val="24"/>
                <w:szCs w:val="24"/>
              </w:rPr>
              <w:t>.</w:t>
            </w:r>
          </w:p>
        </w:tc>
      </w:tr>
      <w:tr w:rsidR="00B637F1" w:rsidRPr="00835D10" w:rsidTr="00450A99">
        <w:tc>
          <w:tcPr>
            <w:tcW w:w="560" w:type="dxa"/>
          </w:tcPr>
          <w:p w:rsidR="00B637F1" w:rsidRDefault="00B637F1" w:rsidP="002E6C10">
            <w:pPr>
              <w:autoSpaceDE w:val="0"/>
              <w:autoSpaceDN w:val="0"/>
              <w:adjustRightInd w:val="0"/>
              <w:spacing w:line="264" w:lineRule="auto"/>
              <w:rPr>
                <w:rFonts w:ascii="Times New Roman" w:hAnsi="Times New Roman" w:cs="Times New Roman"/>
                <w:bCs/>
                <w:sz w:val="24"/>
                <w:szCs w:val="24"/>
              </w:rPr>
            </w:pPr>
          </w:p>
        </w:tc>
        <w:tc>
          <w:tcPr>
            <w:tcW w:w="1845" w:type="dxa"/>
          </w:tcPr>
          <w:p w:rsidR="00450A99" w:rsidRDefault="00450A99" w:rsidP="001B1FCA">
            <w:pPr>
              <w:rPr>
                <w:rFonts w:ascii="Times New Roman" w:hAnsi="Times New Roman" w:cs="Times New Roman"/>
                <w:sz w:val="24"/>
                <w:szCs w:val="24"/>
              </w:rPr>
            </w:pPr>
          </w:p>
        </w:tc>
        <w:tc>
          <w:tcPr>
            <w:tcW w:w="5954" w:type="dxa"/>
          </w:tcPr>
          <w:p w:rsidR="00B637F1" w:rsidRPr="0066330C" w:rsidRDefault="00450A99" w:rsidP="004F54C3">
            <w:pPr>
              <w:pStyle w:val="Komentarotekstas"/>
              <w:suppressAutoHyphens w:val="0"/>
              <w:jc w:val="both"/>
              <w:rPr>
                <w:bCs/>
                <w:sz w:val="24"/>
                <w:szCs w:val="24"/>
              </w:rPr>
            </w:pPr>
            <w:r>
              <w:rPr>
                <w:bCs/>
                <w:sz w:val="24"/>
                <w:szCs w:val="24"/>
              </w:rPr>
              <w:t xml:space="preserve">5. </w:t>
            </w:r>
            <w:r w:rsidRPr="00450A99">
              <w:rPr>
                <w:bCs/>
                <w:sz w:val="24"/>
                <w:szCs w:val="24"/>
              </w:rPr>
              <w:t>Ekonomikos ir inovacijų ministerijos nuomone, siekiant paraiškų vertinimo ir finansavimo skyrimo proceso skaidrumo, Taisyklių 24 punkte tikslinga numatyti bendrą vertinimo komisijos narių, taip pat atskirų institucijų (Lietuvos Respublikos teisingumo ministerijos, Valstybinės vartotojų teisių apsaugos tarnybos ir kitų kompetentingų institucijų) atstovų vertinimo komisijoje skaičių.</w:t>
            </w:r>
          </w:p>
        </w:tc>
        <w:tc>
          <w:tcPr>
            <w:tcW w:w="6378" w:type="dxa"/>
          </w:tcPr>
          <w:p w:rsidR="00FF4609" w:rsidRPr="00FF4609" w:rsidRDefault="00FF4609" w:rsidP="00FF4609">
            <w:pPr>
              <w:jc w:val="both"/>
              <w:rPr>
                <w:rFonts w:ascii="Times New Roman" w:hAnsi="Times New Roman" w:cs="Times New Roman"/>
                <w:b/>
                <w:sz w:val="24"/>
                <w:szCs w:val="24"/>
              </w:rPr>
            </w:pPr>
            <w:r w:rsidRPr="00FF4609">
              <w:rPr>
                <w:rFonts w:ascii="Times New Roman" w:hAnsi="Times New Roman" w:cs="Times New Roman"/>
                <w:b/>
                <w:sz w:val="24"/>
                <w:szCs w:val="24"/>
              </w:rPr>
              <w:t>Neatsižvelgta.</w:t>
            </w:r>
          </w:p>
          <w:p w:rsidR="008F17D4" w:rsidRPr="00C334FE" w:rsidRDefault="000238AF" w:rsidP="000238AF">
            <w:pPr>
              <w:jc w:val="both"/>
              <w:rPr>
                <w:rFonts w:ascii="Times New Roman" w:hAnsi="Times New Roman" w:cs="Times New Roman"/>
                <w:sz w:val="24"/>
                <w:szCs w:val="24"/>
              </w:rPr>
            </w:pPr>
            <w:r>
              <w:rPr>
                <w:rFonts w:ascii="Times New Roman" w:hAnsi="Times New Roman" w:cs="Times New Roman"/>
                <w:sz w:val="24"/>
                <w:szCs w:val="24"/>
              </w:rPr>
              <w:t>N</w:t>
            </w:r>
            <w:r w:rsidR="006D1858">
              <w:rPr>
                <w:rFonts w:ascii="Times New Roman" w:hAnsi="Times New Roman" w:cs="Times New Roman"/>
                <w:sz w:val="24"/>
                <w:szCs w:val="24"/>
              </w:rPr>
              <w:t>ėra tikslinga Nutarim</w:t>
            </w:r>
            <w:r>
              <w:rPr>
                <w:rFonts w:ascii="Times New Roman" w:hAnsi="Times New Roman" w:cs="Times New Roman"/>
                <w:sz w:val="24"/>
                <w:szCs w:val="24"/>
              </w:rPr>
              <w:t>e</w:t>
            </w:r>
            <w:r w:rsidR="006D1858">
              <w:rPr>
                <w:rFonts w:ascii="Times New Roman" w:hAnsi="Times New Roman" w:cs="Times New Roman"/>
                <w:sz w:val="24"/>
                <w:szCs w:val="24"/>
              </w:rPr>
              <w:t xml:space="preserve"> nustatyti konkretų </w:t>
            </w:r>
            <w:r w:rsidR="006D1858" w:rsidRPr="006D1858">
              <w:rPr>
                <w:rFonts w:ascii="Times New Roman" w:hAnsi="Times New Roman" w:cs="Times New Roman"/>
                <w:bCs/>
                <w:sz w:val="24"/>
                <w:szCs w:val="24"/>
              </w:rPr>
              <w:t>Vartotojų asociacijų pateiktų paraiškų vertinimo komisijos n</w:t>
            </w:r>
            <w:r w:rsidR="006D1858">
              <w:rPr>
                <w:rFonts w:ascii="Times New Roman" w:hAnsi="Times New Roman" w:cs="Times New Roman"/>
                <w:bCs/>
                <w:sz w:val="24"/>
                <w:szCs w:val="24"/>
              </w:rPr>
              <w:t>arių ir atskirų institucijų atstovų skaičių, kadangi tai komisijos darbo reglamento reguliavimo dalykas.</w:t>
            </w:r>
            <w:r w:rsidR="00695C6A">
              <w:rPr>
                <w:rFonts w:ascii="Times New Roman" w:hAnsi="Times New Roman" w:cs="Times New Roman"/>
                <w:bCs/>
                <w:sz w:val="24"/>
                <w:szCs w:val="24"/>
              </w:rPr>
              <w:t xml:space="preserve"> Taip pat atkreiptinas dėmesys, kad, esant poreikiui, ministro įsakymu galima paprasčiau keisti </w:t>
            </w:r>
            <w:r w:rsidR="00695C6A" w:rsidRPr="00695C6A">
              <w:rPr>
                <w:rFonts w:ascii="Times New Roman" w:hAnsi="Times New Roman" w:cs="Times New Roman"/>
                <w:bCs/>
                <w:sz w:val="24"/>
                <w:szCs w:val="24"/>
              </w:rPr>
              <w:t>Vartotojų asociacijų pateiktų paraiškų vertinimo k</w:t>
            </w:r>
            <w:r w:rsidR="00695C6A">
              <w:rPr>
                <w:rFonts w:ascii="Times New Roman" w:hAnsi="Times New Roman" w:cs="Times New Roman"/>
                <w:bCs/>
                <w:sz w:val="24"/>
                <w:szCs w:val="24"/>
              </w:rPr>
              <w:t xml:space="preserve">omisijos sudėtį ar </w:t>
            </w:r>
            <w:r w:rsidR="00695C6A">
              <w:rPr>
                <w:rFonts w:ascii="Times New Roman" w:hAnsi="Times New Roman" w:cs="Times New Roman"/>
                <w:bCs/>
                <w:sz w:val="24"/>
                <w:szCs w:val="24"/>
              </w:rPr>
              <w:lastRenderedPageBreak/>
              <w:t>įtr</w:t>
            </w:r>
            <w:r w:rsidR="00C740B0">
              <w:rPr>
                <w:rFonts w:ascii="Times New Roman" w:hAnsi="Times New Roman" w:cs="Times New Roman"/>
                <w:bCs/>
                <w:sz w:val="24"/>
                <w:szCs w:val="24"/>
              </w:rPr>
              <w:t>aukti kitų institucijų atstovus</w:t>
            </w:r>
            <w:r>
              <w:rPr>
                <w:rFonts w:ascii="Times New Roman" w:hAnsi="Times New Roman" w:cs="Times New Roman"/>
                <w:bCs/>
                <w:sz w:val="24"/>
                <w:szCs w:val="24"/>
              </w:rPr>
              <w:t>,</w:t>
            </w:r>
            <w:r w:rsidR="00C740B0">
              <w:rPr>
                <w:rFonts w:ascii="Times New Roman" w:hAnsi="Times New Roman" w:cs="Times New Roman"/>
                <w:bCs/>
                <w:sz w:val="24"/>
                <w:szCs w:val="24"/>
              </w:rPr>
              <w:t xml:space="preserve"> </w:t>
            </w:r>
            <w:r>
              <w:rPr>
                <w:rFonts w:ascii="Times New Roman" w:hAnsi="Times New Roman" w:cs="Times New Roman"/>
                <w:bCs/>
                <w:sz w:val="24"/>
                <w:szCs w:val="24"/>
              </w:rPr>
              <w:t>atsižvelgiant į</w:t>
            </w:r>
            <w:r w:rsidR="00C740B0">
              <w:rPr>
                <w:rFonts w:ascii="Times New Roman" w:hAnsi="Times New Roman" w:cs="Times New Roman"/>
                <w:bCs/>
                <w:sz w:val="24"/>
                <w:szCs w:val="24"/>
              </w:rPr>
              <w:t xml:space="preserve"> </w:t>
            </w:r>
            <w:r>
              <w:rPr>
                <w:rFonts w:ascii="Times New Roman" w:hAnsi="Times New Roman" w:cs="Times New Roman"/>
                <w:bCs/>
                <w:sz w:val="24"/>
                <w:szCs w:val="24"/>
              </w:rPr>
              <w:t xml:space="preserve">vartotojų teisių apsaugos priemonių programų </w:t>
            </w:r>
            <w:r w:rsidR="00C740B0">
              <w:rPr>
                <w:rFonts w:ascii="Times New Roman" w:hAnsi="Times New Roman" w:cs="Times New Roman"/>
                <w:bCs/>
                <w:sz w:val="24"/>
                <w:szCs w:val="24"/>
              </w:rPr>
              <w:t>prioritetin</w:t>
            </w:r>
            <w:r>
              <w:rPr>
                <w:rFonts w:ascii="Times New Roman" w:hAnsi="Times New Roman" w:cs="Times New Roman"/>
                <w:bCs/>
                <w:sz w:val="24"/>
                <w:szCs w:val="24"/>
              </w:rPr>
              <w:t>es</w:t>
            </w:r>
            <w:r w:rsidR="00C740B0">
              <w:rPr>
                <w:rFonts w:ascii="Times New Roman" w:hAnsi="Times New Roman" w:cs="Times New Roman"/>
                <w:bCs/>
                <w:sz w:val="24"/>
                <w:szCs w:val="24"/>
              </w:rPr>
              <w:t xml:space="preserve"> kryp</w:t>
            </w:r>
            <w:r>
              <w:rPr>
                <w:rFonts w:ascii="Times New Roman" w:hAnsi="Times New Roman" w:cs="Times New Roman"/>
                <w:bCs/>
                <w:sz w:val="24"/>
                <w:szCs w:val="24"/>
              </w:rPr>
              <w:t>tis</w:t>
            </w:r>
            <w:r w:rsidR="00C740B0">
              <w:rPr>
                <w:rFonts w:ascii="Times New Roman" w:hAnsi="Times New Roman" w:cs="Times New Roman"/>
                <w:bCs/>
                <w:sz w:val="24"/>
                <w:szCs w:val="24"/>
              </w:rPr>
              <w:t>.</w:t>
            </w:r>
          </w:p>
        </w:tc>
      </w:tr>
      <w:tr w:rsidR="003337B2" w:rsidRPr="00835D10" w:rsidTr="00450A99">
        <w:tc>
          <w:tcPr>
            <w:tcW w:w="560" w:type="dxa"/>
          </w:tcPr>
          <w:p w:rsidR="003337B2" w:rsidRDefault="003337B2" w:rsidP="002E6C10">
            <w:pPr>
              <w:autoSpaceDE w:val="0"/>
              <w:autoSpaceDN w:val="0"/>
              <w:adjustRightInd w:val="0"/>
              <w:spacing w:line="264" w:lineRule="auto"/>
              <w:rPr>
                <w:rFonts w:ascii="Times New Roman" w:hAnsi="Times New Roman" w:cs="Times New Roman"/>
                <w:bCs/>
                <w:sz w:val="24"/>
                <w:szCs w:val="24"/>
              </w:rPr>
            </w:pPr>
          </w:p>
        </w:tc>
        <w:tc>
          <w:tcPr>
            <w:tcW w:w="1845" w:type="dxa"/>
          </w:tcPr>
          <w:p w:rsidR="003337B2" w:rsidRDefault="003337B2" w:rsidP="001B1FCA">
            <w:pPr>
              <w:rPr>
                <w:rFonts w:ascii="Times New Roman" w:hAnsi="Times New Roman" w:cs="Times New Roman"/>
                <w:sz w:val="24"/>
                <w:szCs w:val="24"/>
              </w:rPr>
            </w:pPr>
          </w:p>
        </w:tc>
        <w:tc>
          <w:tcPr>
            <w:tcW w:w="5954" w:type="dxa"/>
          </w:tcPr>
          <w:p w:rsidR="003337B2" w:rsidRPr="00450A99" w:rsidRDefault="00450A99" w:rsidP="00553738">
            <w:pPr>
              <w:pStyle w:val="Komentarotekstas"/>
              <w:tabs>
                <w:tab w:val="left" w:pos="318"/>
              </w:tabs>
              <w:jc w:val="both"/>
              <w:rPr>
                <w:bCs/>
                <w:sz w:val="24"/>
                <w:szCs w:val="24"/>
              </w:rPr>
            </w:pPr>
            <w:r w:rsidRPr="00450A99">
              <w:rPr>
                <w:bCs/>
                <w:sz w:val="24"/>
                <w:szCs w:val="24"/>
              </w:rPr>
              <w:t>7. Nutarimo projekto 1.16 papunktyje, keičiančiame Taisyklių 35 punktą, siūlome patikslinti sąvoką „</w:t>
            </w:r>
            <w:r w:rsidRPr="00450A99">
              <w:rPr>
                <w:bCs/>
                <w:i/>
                <w:iCs/>
                <w:sz w:val="24"/>
                <w:szCs w:val="24"/>
              </w:rPr>
              <w:t>daugiausia</w:t>
            </w:r>
            <w:r w:rsidRPr="00450A99">
              <w:rPr>
                <w:bCs/>
                <w:sz w:val="24"/>
                <w:szCs w:val="24"/>
              </w:rPr>
              <w:t xml:space="preserve"> balų surinkusios priemonių programos, projektai ar narystės programos“. Nesant aiškaus šios sąvokos apibrėžimo, Ekonomikos ir inovacijų ministerijos nuomone, paraiškų vertinimo ir finansavimo skyrimo procesas gali būti neskaidrus ir sudarantis sąlygas be objektyvių priežasčių atmesti paraiškas dėl finansinės paramos skyrimo.</w:t>
            </w:r>
          </w:p>
        </w:tc>
        <w:tc>
          <w:tcPr>
            <w:tcW w:w="6378" w:type="dxa"/>
          </w:tcPr>
          <w:p w:rsidR="00FF4609" w:rsidRPr="00FF4609" w:rsidRDefault="00FF4609" w:rsidP="00FF4609">
            <w:pPr>
              <w:jc w:val="both"/>
              <w:rPr>
                <w:rFonts w:ascii="Times New Roman" w:hAnsi="Times New Roman" w:cs="Times New Roman"/>
                <w:b/>
                <w:sz w:val="24"/>
                <w:szCs w:val="24"/>
              </w:rPr>
            </w:pPr>
            <w:r w:rsidRPr="00FF4609">
              <w:rPr>
                <w:rFonts w:ascii="Times New Roman" w:hAnsi="Times New Roman" w:cs="Times New Roman"/>
                <w:b/>
                <w:sz w:val="24"/>
                <w:szCs w:val="24"/>
              </w:rPr>
              <w:t>Neatsižvelgta.</w:t>
            </w:r>
          </w:p>
          <w:p w:rsidR="00EE6188" w:rsidRPr="00FF4609" w:rsidRDefault="00FF4609" w:rsidP="000238AF">
            <w:pPr>
              <w:jc w:val="both"/>
              <w:rPr>
                <w:rFonts w:ascii="Times New Roman" w:hAnsi="Times New Roman" w:cs="Times New Roman"/>
                <w:sz w:val="24"/>
                <w:szCs w:val="24"/>
              </w:rPr>
            </w:pPr>
            <w:r>
              <w:rPr>
                <w:rFonts w:ascii="Times New Roman" w:hAnsi="Times New Roman" w:cs="Times New Roman"/>
                <w:sz w:val="24"/>
                <w:szCs w:val="24"/>
              </w:rPr>
              <w:t>Pažymėtina, kad  nėra tikslinga apibrėžti sąvokos „</w:t>
            </w:r>
            <w:r w:rsidRPr="00FF4609">
              <w:rPr>
                <w:rFonts w:ascii="Times New Roman" w:hAnsi="Times New Roman" w:cs="Times New Roman"/>
                <w:bCs/>
                <w:i/>
                <w:iCs/>
                <w:sz w:val="24"/>
                <w:szCs w:val="24"/>
              </w:rPr>
              <w:t>daugiausia</w:t>
            </w:r>
            <w:r w:rsidRPr="00FF4609">
              <w:rPr>
                <w:rFonts w:ascii="Times New Roman" w:hAnsi="Times New Roman" w:cs="Times New Roman"/>
                <w:bCs/>
                <w:sz w:val="24"/>
                <w:szCs w:val="24"/>
              </w:rPr>
              <w:t xml:space="preserve"> balų surinkusios priemonių programos, projektai ar narystės programos“</w:t>
            </w:r>
            <w:r>
              <w:rPr>
                <w:rFonts w:ascii="Times New Roman" w:hAnsi="Times New Roman" w:cs="Times New Roman"/>
                <w:bCs/>
                <w:sz w:val="24"/>
                <w:szCs w:val="24"/>
              </w:rPr>
              <w:t xml:space="preserve">, kadangi </w:t>
            </w:r>
            <w:r w:rsidR="00713B39" w:rsidRPr="00713B39">
              <w:rPr>
                <w:rFonts w:ascii="Times New Roman" w:hAnsi="Times New Roman" w:cs="Times New Roman"/>
                <w:bCs/>
                <w:sz w:val="24"/>
                <w:szCs w:val="24"/>
              </w:rPr>
              <w:t>Vartotojų asociacijų pate</w:t>
            </w:r>
            <w:r w:rsidR="00713B39">
              <w:rPr>
                <w:rFonts w:ascii="Times New Roman" w:hAnsi="Times New Roman" w:cs="Times New Roman"/>
                <w:bCs/>
                <w:sz w:val="24"/>
                <w:szCs w:val="24"/>
              </w:rPr>
              <w:t>ik</w:t>
            </w:r>
            <w:r w:rsidR="00695C6A">
              <w:rPr>
                <w:rFonts w:ascii="Times New Roman" w:hAnsi="Times New Roman" w:cs="Times New Roman"/>
                <w:bCs/>
                <w:sz w:val="24"/>
                <w:szCs w:val="24"/>
              </w:rPr>
              <w:t>tų paraiškų vertinimo k</w:t>
            </w:r>
            <w:r w:rsidR="00695C6A" w:rsidRPr="00695C6A">
              <w:rPr>
                <w:rFonts w:ascii="Times New Roman" w:hAnsi="Times New Roman" w:cs="Times New Roman"/>
                <w:bCs/>
                <w:sz w:val="24"/>
                <w:szCs w:val="24"/>
              </w:rPr>
              <w:t>omisija, vertindama vartotojų asociacijų pateiktas paraiškas, vadovaujasi Taisyklėmis ir Vartotojų asociacijų pateiktų paraiškų vertinimo komisijos darbo reglamentu, patvirtintu Lietuvos Respublikos teisingumo ministro 2012 m. kovo 22 d. įsakymu Nr. 1R-90 „Dėl Lietuvos Respublikos Vyriausybės 2008 m. vasario 13 d. nutarimo Nr. 127 „Dėl finansinės paramos vartotojų asociacijoms teikimo“ įgyvendinimo“</w:t>
            </w:r>
            <w:r w:rsidR="00695C6A">
              <w:rPr>
                <w:rFonts w:ascii="Times New Roman" w:hAnsi="Times New Roman" w:cs="Times New Roman"/>
                <w:bCs/>
                <w:sz w:val="24"/>
                <w:szCs w:val="24"/>
              </w:rPr>
              <w:t xml:space="preserve">. </w:t>
            </w:r>
            <w:r w:rsidR="005E7388">
              <w:rPr>
                <w:rFonts w:ascii="Times New Roman" w:hAnsi="Times New Roman" w:cs="Times New Roman"/>
                <w:bCs/>
                <w:sz w:val="24"/>
                <w:szCs w:val="24"/>
              </w:rPr>
              <w:t xml:space="preserve">Tad nėra sudaromos sąlygos be objektyvių priežasčių atmesti vartotojų asociacijų paraiškas. Kartu paminėtina, kad </w:t>
            </w:r>
            <w:r w:rsidR="000238AF" w:rsidRPr="000238AF">
              <w:rPr>
                <w:rFonts w:ascii="Times New Roman" w:hAnsi="Times New Roman" w:cs="Times New Roman"/>
                <w:bCs/>
                <w:sz w:val="24"/>
                <w:szCs w:val="24"/>
              </w:rPr>
              <w:t>nuostata dėl „</w:t>
            </w:r>
            <w:r w:rsidR="000238AF" w:rsidRPr="000238AF">
              <w:rPr>
                <w:rFonts w:ascii="Times New Roman" w:hAnsi="Times New Roman" w:cs="Times New Roman"/>
                <w:bCs/>
                <w:iCs/>
                <w:sz w:val="24"/>
                <w:szCs w:val="24"/>
              </w:rPr>
              <w:t>daugiausia</w:t>
            </w:r>
            <w:r w:rsidR="000238AF" w:rsidRPr="000238AF">
              <w:rPr>
                <w:rFonts w:ascii="Times New Roman" w:hAnsi="Times New Roman" w:cs="Times New Roman"/>
                <w:bCs/>
                <w:sz w:val="24"/>
                <w:szCs w:val="24"/>
              </w:rPr>
              <w:t xml:space="preserve"> balų surinkusi</w:t>
            </w:r>
            <w:r w:rsidR="000238AF">
              <w:rPr>
                <w:rFonts w:ascii="Times New Roman" w:hAnsi="Times New Roman" w:cs="Times New Roman"/>
                <w:bCs/>
                <w:sz w:val="24"/>
                <w:szCs w:val="24"/>
              </w:rPr>
              <w:t>ų</w:t>
            </w:r>
            <w:r w:rsidR="000238AF" w:rsidRPr="000238AF">
              <w:rPr>
                <w:rFonts w:ascii="Times New Roman" w:hAnsi="Times New Roman" w:cs="Times New Roman"/>
                <w:bCs/>
                <w:sz w:val="24"/>
                <w:szCs w:val="24"/>
              </w:rPr>
              <w:t xml:space="preserve"> priemonių program</w:t>
            </w:r>
            <w:r w:rsidR="000238AF">
              <w:rPr>
                <w:rFonts w:ascii="Times New Roman" w:hAnsi="Times New Roman" w:cs="Times New Roman"/>
                <w:bCs/>
                <w:sz w:val="24"/>
                <w:szCs w:val="24"/>
              </w:rPr>
              <w:t>ų</w:t>
            </w:r>
            <w:r w:rsidR="000238AF" w:rsidRPr="000238AF">
              <w:rPr>
                <w:rFonts w:ascii="Times New Roman" w:hAnsi="Times New Roman" w:cs="Times New Roman"/>
                <w:bCs/>
                <w:sz w:val="24"/>
                <w:szCs w:val="24"/>
              </w:rPr>
              <w:t>, projekt</w:t>
            </w:r>
            <w:r w:rsidR="000238AF">
              <w:rPr>
                <w:rFonts w:ascii="Times New Roman" w:hAnsi="Times New Roman" w:cs="Times New Roman"/>
                <w:bCs/>
                <w:sz w:val="24"/>
                <w:szCs w:val="24"/>
              </w:rPr>
              <w:t>ų</w:t>
            </w:r>
            <w:r w:rsidR="000238AF" w:rsidRPr="000238AF">
              <w:rPr>
                <w:rFonts w:ascii="Times New Roman" w:hAnsi="Times New Roman" w:cs="Times New Roman"/>
                <w:bCs/>
                <w:sz w:val="24"/>
                <w:szCs w:val="24"/>
              </w:rPr>
              <w:t xml:space="preserve"> ar narystės program</w:t>
            </w:r>
            <w:r w:rsidR="000238AF">
              <w:rPr>
                <w:rFonts w:ascii="Times New Roman" w:hAnsi="Times New Roman" w:cs="Times New Roman"/>
                <w:bCs/>
                <w:sz w:val="24"/>
                <w:szCs w:val="24"/>
              </w:rPr>
              <w:t>ų</w:t>
            </w:r>
            <w:r w:rsidR="000238AF" w:rsidRPr="000238AF">
              <w:rPr>
                <w:rFonts w:ascii="Times New Roman" w:hAnsi="Times New Roman" w:cs="Times New Roman"/>
                <w:bCs/>
                <w:sz w:val="24"/>
                <w:szCs w:val="24"/>
              </w:rPr>
              <w:t>“</w:t>
            </w:r>
            <w:r w:rsidR="000238AF">
              <w:rPr>
                <w:rFonts w:ascii="Times New Roman" w:hAnsi="Times New Roman" w:cs="Times New Roman"/>
                <w:bCs/>
                <w:sz w:val="24"/>
                <w:szCs w:val="24"/>
              </w:rPr>
              <w:t xml:space="preserve"> </w:t>
            </w:r>
            <w:r w:rsidR="005E7388">
              <w:rPr>
                <w:rFonts w:ascii="Times New Roman" w:hAnsi="Times New Roman" w:cs="Times New Roman"/>
                <w:bCs/>
                <w:sz w:val="24"/>
                <w:szCs w:val="24"/>
              </w:rPr>
              <w:t>taikoma</w:t>
            </w:r>
            <w:r w:rsidR="000238AF">
              <w:rPr>
                <w:rFonts w:ascii="Times New Roman" w:hAnsi="Times New Roman" w:cs="Times New Roman"/>
                <w:bCs/>
                <w:sz w:val="24"/>
                <w:szCs w:val="24"/>
              </w:rPr>
              <w:t xml:space="preserve"> tais atvejais</w:t>
            </w:r>
            <w:r w:rsidR="005E7388">
              <w:rPr>
                <w:rFonts w:ascii="Times New Roman" w:hAnsi="Times New Roman" w:cs="Times New Roman"/>
                <w:bCs/>
                <w:sz w:val="24"/>
                <w:szCs w:val="24"/>
              </w:rPr>
              <w:t xml:space="preserve">, kai  </w:t>
            </w:r>
            <w:r w:rsidR="005E7388" w:rsidRPr="005E7388">
              <w:rPr>
                <w:rFonts w:ascii="Times New Roman" w:hAnsi="Times New Roman" w:cs="Times New Roman"/>
                <w:bCs/>
                <w:sz w:val="24"/>
                <w:szCs w:val="24"/>
              </w:rPr>
              <w:t>asociacijoms skirtos finansinės paramos lėšų nepakanka</w:t>
            </w:r>
            <w:r w:rsidR="006D1858">
              <w:rPr>
                <w:rFonts w:ascii="Times New Roman" w:hAnsi="Times New Roman" w:cs="Times New Roman"/>
                <w:bCs/>
                <w:sz w:val="24"/>
                <w:szCs w:val="24"/>
              </w:rPr>
              <w:t xml:space="preserve">. </w:t>
            </w:r>
          </w:p>
        </w:tc>
      </w:tr>
    </w:tbl>
    <w:p w:rsidR="006E04B1" w:rsidRPr="00745393" w:rsidRDefault="00352FA7">
      <w:pPr>
        <w:rPr>
          <w:rFonts w:ascii="Times New Roman" w:hAnsi="Times New Roman" w:cs="Times New Roman"/>
          <w:sz w:val="24"/>
          <w:szCs w:val="24"/>
        </w:rPr>
      </w:pPr>
    </w:p>
    <w:sectPr w:rsidR="006E04B1" w:rsidRPr="00745393" w:rsidSect="0092377F">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A7" w:rsidRDefault="00352FA7" w:rsidP="00937A4B">
      <w:pPr>
        <w:spacing w:after="0" w:line="240" w:lineRule="auto"/>
      </w:pPr>
      <w:r>
        <w:separator/>
      </w:r>
    </w:p>
  </w:endnote>
  <w:endnote w:type="continuationSeparator" w:id="0">
    <w:p w:rsidR="00352FA7" w:rsidRDefault="00352FA7"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A7" w:rsidRDefault="00352FA7" w:rsidP="00937A4B">
      <w:pPr>
        <w:spacing w:after="0" w:line="240" w:lineRule="auto"/>
      </w:pPr>
      <w:r>
        <w:separator/>
      </w:r>
    </w:p>
  </w:footnote>
  <w:footnote w:type="continuationSeparator" w:id="0">
    <w:p w:rsidR="00352FA7" w:rsidRDefault="00352FA7"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AE72FD">
          <w:rPr>
            <w:rFonts w:ascii="Times New Roman" w:hAnsi="Times New Roman" w:cs="Times New Roman"/>
            <w:noProof/>
            <w:sz w:val="24"/>
            <w:szCs w:val="24"/>
          </w:rPr>
          <w:t>2</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6194"/>
    <w:multiLevelType w:val="hybridMultilevel"/>
    <w:tmpl w:val="9C48E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867D7"/>
    <w:multiLevelType w:val="hybridMultilevel"/>
    <w:tmpl w:val="A73401D4"/>
    <w:lvl w:ilvl="0" w:tplc="209C526E">
      <w:start w:val="1"/>
      <w:numFmt w:val="upperRoman"/>
      <w:lvlText w:val="%1."/>
      <w:lvlJc w:val="left"/>
      <w:pPr>
        <w:ind w:left="5965" w:hanging="72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2" w15:restartNumberingAfterBreak="0">
    <w:nsid w:val="155F0849"/>
    <w:multiLevelType w:val="hybridMultilevel"/>
    <w:tmpl w:val="782A7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7724F"/>
    <w:multiLevelType w:val="hybridMultilevel"/>
    <w:tmpl w:val="F5B24AB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76764D"/>
    <w:multiLevelType w:val="hybridMultilevel"/>
    <w:tmpl w:val="B5A4FB60"/>
    <w:lvl w:ilvl="0" w:tplc="2D20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DC7E86"/>
    <w:multiLevelType w:val="hybridMultilevel"/>
    <w:tmpl w:val="9F0AB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A3BC9"/>
    <w:multiLevelType w:val="multilevel"/>
    <w:tmpl w:val="96B2A5BC"/>
    <w:lvl w:ilvl="0">
      <w:start w:val="25"/>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123589"/>
    <w:multiLevelType w:val="hybridMultilevel"/>
    <w:tmpl w:val="A78E87D0"/>
    <w:lvl w:ilvl="0" w:tplc="65748A8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071157F"/>
    <w:multiLevelType w:val="hybridMultilevel"/>
    <w:tmpl w:val="AB8803C4"/>
    <w:lvl w:ilvl="0" w:tplc="B64E790E">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6B2482"/>
    <w:multiLevelType w:val="hybridMultilevel"/>
    <w:tmpl w:val="C012050E"/>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6"/>
  </w:num>
  <w:num w:numId="3">
    <w:abstractNumId w:val="9"/>
  </w:num>
  <w:num w:numId="4">
    <w:abstractNumId w:val="4"/>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0"/>
  </w:num>
  <w:num w:numId="10">
    <w:abstractNumId w:val="13"/>
  </w:num>
  <w:num w:numId="11">
    <w:abstractNumId w:val="0"/>
  </w:num>
  <w:num w:numId="12">
    <w:abstractNumId w:val="2"/>
  </w:num>
  <w:num w:numId="13">
    <w:abstractNumId w:val="3"/>
  </w:num>
  <w:num w:numId="14">
    <w:abstractNumId w:val="6"/>
  </w:num>
  <w:num w:numId="15">
    <w:abstractNumId w:val="1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0684A"/>
    <w:rsid w:val="000238AF"/>
    <w:rsid w:val="0005772C"/>
    <w:rsid w:val="00080425"/>
    <w:rsid w:val="000A4574"/>
    <w:rsid w:val="000C2981"/>
    <w:rsid w:val="00131C5B"/>
    <w:rsid w:val="0018631F"/>
    <w:rsid w:val="001B1FCA"/>
    <w:rsid w:val="00280984"/>
    <w:rsid w:val="002929B5"/>
    <w:rsid w:val="002E522E"/>
    <w:rsid w:val="003337B2"/>
    <w:rsid w:val="00352FA7"/>
    <w:rsid w:val="00394A2A"/>
    <w:rsid w:val="003D06B7"/>
    <w:rsid w:val="003E4D8D"/>
    <w:rsid w:val="00450A99"/>
    <w:rsid w:val="004679A5"/>
    <w:rsid w:val="00491FFE"/>
    <w:rsid w:val="004F54C3"/>
    <w:rsid w:val="0050704D"/>
    <w:rsid w:val="00507149"/>
    <w:rsid w:val="00542B79"/>
    <w:rsid w:val="00553738"/>
    <w:rsid w:val="00585AB3"/>
    <w:rsid w:val="005B20B0"/>
    <w:rsid w:val="005B47C1"/>
    <w:rsid w:val="005D4D1B"/>
    <w:rsid w:val="005D6E58"/>
    <w:rsid w:val="005E7388"/>
    <w:rsid w:val="00614D4E"/>
    <w:rsid w:val="006350BC"/>
    <w:rsid w:val="00643918"/>
    <w:rsid w:val="00652630"/>
    <w:rsid w:val="0066019C"/>
    <w:rsid w:val="0066330C"/>
    <w:rsid w:val="00685D08"/>
    <w:rsid w:val="00695C6A"/>
    <w:rsid w:val="006A2E13"/>
    <w:rsid w:val="006B304E"/>
    <w:rsid w:val="006D1858"/>
    <w:rsid w:val="006D60E8"/>
    <w:rsid w:val="006E7B10"/>
    <w:rsid w:val="00713B39"/>
    <w:rsid w:val="00714586"/>
    <w:rsid w:val="00745393"/>
    <w:rsid w:val="0079771A"/>
    <w:rsid w:val="007A0B33"/>
    <w:rsid w:val="007B08D8"/>
    <w:rsid w:val="007D119E"/>
    <w:rsid w:val="007D5AB7"/>
    <w:rsid w:val="007F77A3"/>
    <w:rsid w:val="00822048"/>
    <w:rsid w:val="00825D30"/>
    <w:rsid w:val="00846126"/>
    <w:rsid w:val="00881CF2"/>
    <w:rsid w:val="008F1485"/>
    <w:rsid w:val="008F17D4"/>
    <w:rsid w:val="0091624A"/>
    <w:rsid w:val="0092377F"/>
    <w:rsid w:val="00937A4B"/>
    <w:rsid w:val="009475E6"/>
    <w:rsid w:val="00964A8A"/>
    <w:rsid w:val="00973494"/>
    <w:rsid w:val="009A0E4D"/>
    <w:rsid w:val="009E2D98"/>
    <w:rsid w:val="00A06643"/>
    <w:rsid w:val="00A15AE3"/>
    <w:rsid w:val="00A73CBE"/>
    <w:rsid w:val="00A83892"/>
    <w:rsid w:val="00AC1E4B"/>
    <w:rsid w:val="00AE3EFD"/>
    <w:rsid w:val="00AE72FD"/>
    <w:rsid w:val="00B601AB"/>
    <w:rsid w:val="00B637F1"/>
    <w:rsid w:val="00BE57EF"/>
    <w:rsid w:val="00C00035"/>
    <w:rsid w:val="00C12AFA"/>
    <w:rsid w:val="00C23C0A"/>
    <w:rsid w:val="00C334FE"/>
    <w:rsid w:val="00C4763F"/>
    <w:rsid w:val="00C5146F"/>
    <w:rsid w:val="00C573A1"/>
    <w:rsid w:val="00C740B0"/>
    <w:rsid w:val="00C82A69"/>
    <w:rsid w:val="00CB1F56"/>
    <w:rsid w:val="00D03EDD"/>
    <w:rsid w:val="00D30E54"/>
    <w:rsid w:val="00D536F7"/>
    <w:rsid w:val="00DA422E"/>
    <w:rsid w:val="00DA55D5"/>
    <w:rsid w:val="00DC7594"/>
    <w:rsid w:val="00DF4F10"/>
    <w:rsid w:val="00E021C6"/>
    <w:rsid w:val="00E15ADD"/>
    <w:rsid w:val="00EA2758"/>
    <w:rsid w:val="00ED027A"/>
    <w:rsid w:val="00ED0642"/>
    <w:rsid w:val="00EE6188"/>
    <w:rsid w:val="00EF3D4B"/>
    <w:rsid w:val="00F07020"/>
    <w:rsid w:val="00F52E53"/>
    <w:rsid w:val="00F911AD"/>
    <w:rsid w:val="00FA04A9"/>
    <w:rsid w:val="00FA409B"/>
    <w:rsid w:val="00FB74F2"/>
    <w:rsid w:val="00FD1D5E"/>
    <w:rsid w:val="00FD2311"/>
    <w:rsid w:val="00FD3D85"/>
    <w:rsid w:val="00FE30D8"/>
    <w:rsid w:val="00FE3DA0"/>
    <w:rsid w:val="00FF236B"/>
    <w:rsid w:val="00FF4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aliases w:val="Fußnotentext Char1,Footnote Text Char Char,Footnote Text Char1 Char Char,Footnote Text Char Char Char Char,Footnote Text Char Char1 Char Char,Footnote Text Char Char1 Cha,Footnote Text Char Char1,Car,fn,Footnotes,Footnote ak"/>
    <w:basedOn w:val="prastasis"/>
    <w:link w:val="PuslapioinaostekstasDiagrama"/>
    <w:uiPriority w:val="99"/>
    <w:unhideWhenUsed/>
    <w:qFormat/>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ußnotentext Char1 Diagrama,Footnote Text Char Char Diagrama,Footnote Text Char1 Char Char Diagrama,Footnote Text Char Char Char Char Diagrama,Footnote Text Char Char1 Char Char Diagrama,Car Diagrama,fn Diagrama"/>
    <w:basedOn w:val="Numatytasispastraiposriftas"/>
    <w:link w:val="Puslapioinaostekstas"/>
    <w:uiPriority w:val="99"/>
    <w:rsid w:val="00937A4B"/>
    <w:rPr>
      <w:rFonts w:ascii="Times New Roman" w:eastAsia="Times New Roman" w:hAnsi="Times New Roman" w:cs="Times New Roman"/>
      <w:sz w:val="20"/>
      <w:szCs w:val="20"/>
    </w:rPr>
  </w:style>
  <w:style w:type="character" w:styleId="Puslapioinaosnuoroda">
    <w:name w:val="footnote reference"/>
    <w:aliases w:val="Ref,de nota al pie,-E Fußnotenzeichen,number,SUPERS,Footnote Reference Superscript,-E Fuﬂnotenzeichen,-E Fuûnotenzeichen,EN Footnote Reference,Footnote text,BVI fnr,Footnote symbol,stylish,Footnote reference number,note TESI,R"/>
    <w:uiPriority w:val="99"/>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character" w:styleId="Komentaronuoroda">
    <w:name w:val="annotation reference"/>
    <w:basedOn w:val="Numatytasispastraiposriftas"/>
    <w:semiHidden/>
    <w:unhideWhenUsed/>
    <w:rsid w:val="007B08D8"/>
    <w:rPr>
      <w:sz w:val="16"/>
      <w:szCs w:val="16"/>
    </w:rPr>
  </w:style>
  <w:style w:type="paragraph" w:styleId="Komentarotekstas">
    <w:name w:val="annotation text"/>
    <w:basedOn w:val="prastasis"/>
    <w:link w:val="KomentarotekstasDiagrama"/>
    <w:unhideWhenUsed/>
    <w:rsid w:val="007B08D8"/>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rsid w:val="007B08D8"/>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uiPriority w:val="99"/>
    <w:semiHidden/>
    <w:unhideWhenUsed/>
    <w:rsid w:val="007B08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77276">
      <w:bodyDiv w:val="1"/>
      <w:marLeft w:val="0"/>
      <w:marRight w:val="0"/>
      <w:marTop w:val="0"/>
      <w:marBottom w:val="0"/>
      <w:divBdr>
        <w:top w:val="none" w:sz="0" w:space="0" w:color="auto"/>
        <w:left w:val="none" w:sz="0" w:space="0" w:color="auto"/>
        <w:bottom w:val="none" w:sz="0" w:space="0" w:color="auto"/>
        <w:right w:val="none" w:sz="0" w:space="0" w:color="auto"/>
      </w:divBdr>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 w:id="1543978549">
      <w:bodyDiv w:val="1"/>
      <w:marLeft w:val="0"/>
      <w:marRight w:val="0"/>
      <w:marTop w:val="0"/>
      <w:marBottom w:val="0"/>
      <w:divBdr>
        <w:top w:val="none" w:sz="0" w:space="0" w:color="auto"/>
        <w:left w:val="none" w:sz="0" w:space="0" w:color="auto"/>
        <w:bottom w:val="none" w:sz="0" w:space="0" w:color="auto"/>
        <w:right w:val="none" w:sz="0" w:space="0" w:color="auto"/>
      </w:divBdr>
    </w:div>
    <w:div w:id="1552501592">
      <w:bodyDiv w:val="1"/>
      <w:marLeft w:val="0"/>
      <w:marRight w:val="0"/>
      <w:marTop w:val="0"/>
      <w:marBottom w:val="0"/>
      <w:divBdr>
        <w:top w:val="none" w:sz="0" w:space="0" w:color="auto"/>
        <w:left w:val="none" w:sz="0" w:space="0" w:color="auto"/>
        <w:bottom w:val="none" w:sz="0" w:space="0" w:color="auto"/>
        <w:right w:val="none" w:sz="0" w:space="0" w:color="auto"/>
      </w:divBdr>
    </w:div>
    <w:div w:id="1959408049">
      <w:bodyDiv w:val="1"/>
      <w:marLeft w:val="0"/>
      <w:marRight w:val="0"/>
      <w:marTop w:val="0"/>
      <w:marBottom w:val="0"/>
      <w:divBdr>
        <w:top w:val="none" w:sz="0" w:space="0" w:color="auto"/>
        <w:left w:val="none" w:sz="0" w:space="0" w:color="auto"/>
        <w:bottom w:val="none" w:sz="0" w:space="0" w:color="auto"/>
        <w:right w:val="none" w:sz="0" w:space="0" w:color="auto"/>
      </w:divBdr>
    </w:div>
    <w:div w:id="21064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60A43-90B3-43F2-B606-DD51A1ED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2706</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2019-10-21T08:11:00Z</dcterms:created>
  <dc:creator>Rosita Pletienė</dc:creator>
  <cp:lastModifiedBy>Rosita Pletienė</cp:lastModifiedBy>
  <cp:lastPrinted>2019-08-22T04:59:00Z</cp:lastPrinted>
  <dcterms:modified xsi:type="dcterms:W3CDTF">2019-10-25T07:28:00Z</dcterms:modified>
  <cp:revision>7</cp:revision>
</cp:coreProperties>
</file>