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CB9AD" w14:textId="77777777" w:rsidR="00EA119B" w:rsidRPr="00886DED" w:rsidRDefault="009D7E4A" w:rsidP="00EA119B">
      <w:pPr>
        <w:pStyle w:val="Antrat"/>
        <w:rPr>
          <w:sz w:val="24"/>
        </w:rPr>
      </w:pPr>
      <w:bookmarkStart w:id="0" w:name="_GoBack"/>
      <w:bookmarkEnd w:id="0"/>
      <w:r w:rsidRPr="00886DED">
        <w:rPr>
          <w:noProof/>
          <w:lang w:eastAsia="lt-LT"/>
        </w:rPr>
        <w:drawing>
          <wp:inline distT="0" distB="0" distL="0" distR="0" wp14:anchorId="493CB9F0" wp14:editId="493CB9F1">
            <wp:extent cx="592455" cy="623570"/>
            <wp:effectExtent l="0" t="0" r="0" b="5080"/>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2455" cy="623570"/>
                    </a:xfrm>
                    <a:prstGeom prst="rect">
                      <a:avLst/>
                    </a:prstGeom>
                    <a:noFill/>
                    <a:ln>
                      <a:noFill/>
                    </a:ln>
                  </pic:spPr>
                </pic:pic>
              </a:graphicData>
            </a:graphic>
          </wp:inline>
        </w:drawing>
      </w:r>
    </w:p>
    <w:p w14:paraId="493CB9AE" w14:textId="77777777" w:rsidR="00EA119B" w:rsidRPr="00886DED" w:rsidRDefault="00EA119B" w:rsidP="00EA119B">
      <w:pPr>
        <w:pStyle w:val="Antrat"/>
        <w:rPr>
          <w:sz w:val="24"/>
        </w:rPr>
      </w:pPr>
    </w:p>
    <w:p w14:paraId="493CB9AF" w14:textId="77777777" w:rsidR="00EA119B" w:rsidRPr="00886DED" w:rsidRDefault="00EA119B" w:rsidP="00EA119B">
      <w:pPr>
        <w:pStyle w:val="Antrat"/>
        <w:rPr>
          <w:sz w:val="24"/>
        </w:rPr>
      </w:pPr>
      <w:r w:rsidRPr="00886DED">
        <w:rPr>
          <w:sz w:val="24"/>
        </w:rPr>
        <w:t>LIETUVOS RESPUBLIKOS VIDAUS REIKALŲ MINISTERIJ</w:t>
      </w:r>
      <w:r w:rsidR="00C85BE0" w:rsidRPr="00886DED">
        <w:rPr>
          <w:sz w:val="24"/>
        </w:rPr>
        <w:t>A</w:t>
      </w:r>
    </w:p>
    <w:p w14:paraId="493CB9B0" w14:textId="77777777" w:rsidR="00EA119B" w:rsidRPr="00886DED" w:rsidRDefault="00EA119B" w:rsidP="00EA119B"/>
    <w:tbl>
      <w:tblPr>
        <w:tblW w:w="0" w:type="auto"/>
        <w:jc w:val="center"/>
        <w:tblBorders>
          <w:bottom w:val="single" w:sz="4" w:space="0" w:color="auto"/>
        </w:tblBorders>
        <w:tblLayout w:type="fixed"/>
        <w:tblLook w:val="0000" w:firstRow="0" w:lastRow="0" w:firstColumn="0" w:lastColumn="0" w:noHBand="0" w:noVBand="0"/>
      </w:tblPr>
      <w:tblGrid>
        <w:gridCol w:w="9492"/>
      </w:tblGrid>
      <w:tr w:rsidR="00EA119B" w:rsidRPr="00886DED" w14:paraId="493CB9B4" w14:textId="77777777" w:rsidTr="00F63DEF">
        <w:trPr>
          <w:trHeight w:val="669"/>
          <w:jc w:val="center"/>
        </w:trPr>
        <w:tc>
          <w:tcPr>
            <w:tcW w:w="9492" w:type="dxa"/>
          </w:tcPr>
          <w:p w14:paraId="493CB9B1" w14:textId="77777777" w:rsidR="00EA119B" w:rsidRPr="00886DED" w:rsidRDefault="00EA119B" w:rsidP="00F63DEF">
            <w:pPr>
              <w:pStyle w:val="Antrats"/>
              <w:tabs>
                <w:tab w:val="left" w:pos="720"/>
              </w:tabs>
              <w:jc w:val="center"/>
              <w:rPr>
                <w:sz w:val="20"/>
              </w:rPr>
            </w:pPr>
            <w:r w:rsidRPr="00886DED">
              <w:rPr>
                <w:sz w:val="20"/>
              </w:rPr>
              <w:t>Biudžetinė įstaiga,  Šventaragio g. 2,  LT-01510  Vilnius,</w:t>
            </w:r>
          </w:p>
          <w:p w14:paraId="493CB9B2" w14:textId="77777777" w:rsidR="00EA119B" w:rsidRPr="00886DED" w:rsidRDefault="00EA119B" w:rsidP="00F63DEF">
            <w:pPr>
              <w:pStyle w:val="Antrats"/>
              <w:tabs>
                <w:tab w:val="left" w:pos="720"/>
              </w:tabs>
              <w:jc w:val="center"/>
              <w:rPr>
                <w:sz w:val="20"/>
              </w:rPr>
            </w:pPr>
            <w:r w:rsidRPr="00886DED">
              <w:rPr>
                <w:sz w:val="20"/>
              </w:rPr>
              <w:t xml:space="preserve">tel.: (8 5)  271 7154 / 271 7178,  faks. (8 5)  271 8551,  el. p. </w:t>
            </w:r>
            <w:hyperlink r:id="rId8" w:history="1">
              <w:r w:rsidRPr="00886DED">
                <w:rPr>
                  <w:rStyle w:val="Hipersaitas"/>
                  <w:color w:val="000000" w:themeColor="text1"/>
                  <w:sz w:val="20"/>
                  <w:u w:val="none"/>
                </w:rPr>
                <w:t>bendrasisd@vrm.lt</w:t>
              </w:r>
            </w:hyperlink>
            <w:r w:rsidRPr="00886DED">
              <w:rPr>
                <w:sz w:val="20"/>
              </w:rPr>
              <w:t xml:space="preserve"> </w:t>
            </w:r>
          </w:p>
          <w:p w14:paraId="493CB9B3" w14:textId="77777777" w:rsidR="00EA119B" w:rsidRPr="00886DED" w:rsidRDefault="00EA119B" w:rsidP="00F63DEF">
            <w:pPr>
              <w:pStyle w:val="Antrats"/>
              <w:tabs>
                <w:tab w:val="clear" w:pos="4153"/>
                <w:tab w:val="clear" w:pos="8306"/>
              </w:tabs>
              <w:jc w:val="center"/>
              <w:rPr>
                <w:sz w:val="20"/>
              </w:rPr>
            </w:pPr>
            <w:r w:rsidRPr="00886DED">
              <w:rPr>
                <w:sz w:val="20"/>
              </w:rPr>
              <w:t>Duomenys kaupiami ir saugomi Juridinių asmenų registre, kodas 188601464</w:t>
            </w:r>
          </w:p>
        </w:tc>
      </w:tr>
    </w:tbl>
    <w:p w14:paraId="493CB9B5" w14:textId="77777777" w:rsidR="00EA119B" w:rsidRPr="00886DED" w:rsidRDefault="00EA119B" w:rsidP="00EA119B"/>
    <w:p w14:paraId="493CB9B6" w14:textId="77777777" w:rsidR="00EA119B" w:rsidRPr="00886DED" w:rsidRDefault="00EA119B" w:rsidP="00EA119B"/>
    <w:tbl>
      <w:tblPr>
        <w:tblW w:w="9412" w:type="dxa"/>
        <w:tblLayout w:type="fixed"/>
        <w:tblLook w:val="0000" w:firstRow="0" w:lastRow="0" w:firstColumn="0" w:lastColumn="0" w:noHBand="0" w:noVBand="0"/>
      </w:tblPr>
      <w:tblGrid>
        <w:gridCol w:w="4644"/>
        <w:gridCol w:w="504"/>
        <w:gridCol w:w="600"/>
        <w:gridCol w:w="1560"/>
        <w:gridCol w:w="2104"/>
      </w:tblGrid>
      <w:tr w:rsidR="005C6497" w:rsidRPr="00886DED" w14:paraId="493CB9BC" w14:textId="77777777" w:rsidTr="00443DAF">
        <w:tc>
          <w:tcPr>
            <w:tcW w:w="4644" w:type="dxa"/>
          </w:tcPr>
          <w:p w14:paraId="493CB9B7" w14:textId="77777777" w:rsidR="005C6497" w:rsidRPr="00886DED" w:rsidRDefault="00F63CE3" w:rsidP="003F7116">
            <w:pPr>
              <w:pStyle w:val="Antrats"/>
              <w:tabs>
                <w:tab w:val="clear" w:pos="4153"/>
                <w:tab w:val="clear" w:pos="8306"/>
              </w:tabs>
            </w:pPr>
            <w:r w:rsidRPr="00886DED">
              <w:t xml:space="preserve">Lietuvos Respublikos </w:t>
            </w:r>
            <w:r w:rsidR="003F7116" w:rsidRPr="00886DED">
              <w:t>teisingumo</w:t>
            </w:r>
            <w:r w:rsidRPr="00886DED">
              <w:t xml:space="preserve"> ministerijai </w:t>
            </w:r>
            <w:r w:rsidR="003E4782" w:rsidRPr="00886DED">
              <w:t xml:space="preserve"> </w:t>
            </w:r>
          </w:p>
        </w:tc>
        <w:tc>
          <w:tcPr>
            <w:tcW w:w="504" w:type="dxa"/>
          </w:tcPr>
          <w:p w14:paraId="493CB9B8" w14:textId="77777777" w:rsidR="005C6497" w:rsidRPr="00886DED" w:rsidRDefault="005C6497" w:rsidP="00443DAF">
            <w:pPr>
              <w:pStyle w:val="Antrats"/>
              <w:tabs>
                <w:tab w:val="clear" w:pos="4153"/>
                <w:tab w:val="clear" w:pos="8306"/>
              </w:tabs>
              <w:spacing w:line="360" w:lineRule="auto"/>
            </w:pPr>
          </w:p>
        </w:tc>
        <w:tc>
          <w:tcPr>
            <w:tcW w:w="600" w:type="dxa"/>
          </w:tcPr>
          <w:p w14:paraId="493CB9B9" w14:textId="77777777" w:rsidR="005C6497" w:rsidRPr="00886DED" w:rsidRDefault="005C6497" w:rsidP="00443DAF">
            <w:pPr>
              <w:pStyle w:val="Antrats"/>
              <w:tabs>
                <w:tab w:val="clear" w:pos="4153"/>
                <w:tab w:val="clear" w:pos="8306"/>
              </w:tabs>
              <w:spacing w:line="360" w:lineRule="auto"/>
              <w:jc w:val="right"/>
            </w:pPr>
          </w:p>
        </w:tc>
        <w:tc>
          <w:tcPr>
            <w:tcW w:w="1560" w:type="dxa"/>
          </w:tcPr>
          <w:p w14:paraId="493CB9BA" w14:textId="77777777" w:rsidR="00443DAF" w:rsidRPr="00886DED" w:rsidRDefault="00443DAF" w:rsidP="00443DAF">
            <w:pPr>
              <w:pStyle w:val="Antrats"/>
              <w:tabs>
                <w:tab w:val="clear" w:pos="4153"/>
                <w:tab w:val="clear" w:pos="8306"/>
              </w:tabs>
              <w:spacing w:line="360" w:lineRule="auto"/>
            </w:pPr>
          </w:p>
        </w:tc>
        <w:tc>
          <w:tcPr>
            <w:tcW w:w="2104" w:type="dxa"/>
          </w:tcPr>
          <w:p w14:paraId="493CB9BB" w14:textId="77777777" w:rsidR="005C6497" w:rsidRPr="00886DED" w:rsidRDefault="005C6497" w:rsidP="00C21D8D">
            <w:pPr>
              <w:pStyle w:val="Antrats"/>
              <w:tabs>
                <w:tab w:val="clear" w:pos="4153"/>
                <w:tab w:val="clear" w:pos="8306"/>
              </w:tabs>
            </w:pPr>
            <w:r w:rsidRPr="00886DED">
              <w:t xml:space="preserve">Nr. </w:t>
            </w:r>
          </w:p>
        </w:tc>
      </w:tr>
      <w:tr w:rsidR="00443DAF" w:rsidRPr="00886DED" w14:paraId="493CB9C2" w14:textId="77777777" w:rsidTr="00443DAF">
        <w:tc>
          <w:tcPr>
            <w:tcW w:w="4644" w:type="dxa"/>
          </w:tcPr>
          <w:p w14:paraId="493CB9BD" w14:textId="77777777" w:rsidR="00443DAF" w:rsidRPr="00886DED" w:rsidRDefault="00443DAF" w:rsidP="00443DAF">
            <w:pPr>
              <w:pStyle w:val="Antrats"/>
              <w:tabs>
                <w:tab w:val="clear" w:pos="4153"/>
                <w:tab w:val="clear" w:pos="8306"/>
              </w:tabs>
              <w:spacing w:line="360" w:lineRule="auto"/>
            </w:pPr>
          </w:p>
        </w:tc>
        <w:tc>
          <w:tcPr>
            <w:tcW w:w="504" w:type="dxa"/>
          </w:tcPr>
          <w:p w14:paraId="493CB9BE" w14:textId="77777777" w:rsidR="00443DAF" w:rsidRPr="00886DED" w:rsidRDefault="00443DAF" w:rsidP="00443DAF">
            <w:pPr>
              <w:pStyle w:val="Antrats"/>
              <w:tabs>
                <w:tab w:val="clear" w:pos="4153"/>
                <w:tab w:val="clear" w:pos="8306"/>
              </w:tabs>
              <w:spacing w:line="360" w:lineRule="auto"/>
            </w:pPr>
          </w:p>
        </w:tc>
        <w:tc>
          <w:tcPr>
            <w:tcW w:w="600" w:type="dxa"/>
          </w:tcPr>
          <w:p w14:paraId="493CB9BF" w14:textId="77777777" w:rsidR="00443DAF" w:rsidRPr="00886DED" w:rsidRDefault="00443DAF" w:rsidP="00443DAF">
            <w:pPr>
              <w:pStyle w:val="Antrats"/>
              <w:tabs>
                <w:tab w:val="clear" w:pos="4153"/>
                <w:tab w:val="clear" w:pos="8306"/>
              </w:tabs>
              <w:spacing w:line="360" w:lineRule="auto"/>
              <w:jc w:val="right"/>
            </w:pPr>
          </w:p>
        </w:tc>
        <w:tc>
          <w:tcPr>
            <w:tcW w:w="1560" w:type="dxa"/>
          </w:tcPr>
          <w:p w14:paraId="493CB9C0" w14:textId="77777777" w:rsidR="00443DAF" w:rsidRPr="00886DED" w:rsidRDefault="00894F0C" w:rsidP="003E4782">
            <w:pPr>
              <w:pStyle w:val="Antrats"/>
              <w:tabs>
                <w:tab w:val="clear" w:pos="4153"/>
                <w:tab w:val="clear" w:pos="8306"/>
              </w:tabs>
              <w:spacing w:line="360" w:lineRule="auto"/>
            </w:pPr>
            <w:r w:rsidRPr="00886DED">
              <w:t xml:space="preserve">Į </w:t>
            </w:r>
            <w:r w:rsidR="003F7116" w:rsidRPr="00886DED">
              <w:t>2020-03-0</w:t>
            </w:r>
            <w:r w:rsidRPr="00886DED">
              <w:t>3</w:t>
            </w:r>
          </w:p>
        </w:tc>
        <w:tc>
          <w:tcPr>
            <w:tcW w:w="2104" w:type="dxa"/>
          </w:tcPr>
          <w:p w14:paraId="493CB9C1" w14:textId="77777777" w:rsidR="00443DAF" w:rsidRPr="00886DED" w:rsidRDefault="00894F0C" w:rsidP="00C21D8D">
            <w:pPr>
              <w:pStyle w:val="Antrats"/>
              <w:tabs>
                <w:tab w:val="clear" w:pos="4153"/>
                <w:tab w:val="clear" w:pos="8306"/>
              </w:tabs>
            </w:pPr>
            <w:r w:rsidRPr="00886DED">
              <w:t xml:space="preserve">Nr. </w:t>
            </w:r>
            <w:r w:rsidR="003F7116" w:rsidRPr="00886DED">
              <w:t>(1.8E)2T-244</w:t>
            </w:r>
          </w:p>
        </w:tc>
      </w:tr>
    </w:tbl>
    <w:p w14:paraId="493CB9C3" w14:textId="77777777" w:rsidR="00EA119B" w:rsidRPr="00886DED" w:rsidRDefault="00EA119B" w:rsidP="00EA119B">
      <w:pPr>
        <w:pStyle w:val="Antrats"/>
        <w:tabs>
          <w:tab w:val="clear" w:pos="4153"/>
          <w:tab w:val="clear" w:pos="8306"/>
        </w:tabs>
      </w:pPr>
    </w:p>
    <w:p w14:paraId="493CB9C4" w14:textId="77777777" w:rsidR="00247FB5" w:rsidRPr="00886DED" w:rsidRDefault="00247FB5" w:rsidP="00EA119B">
      <w:pPr>
        <w:pStyle w:val="Antrats"/>
        <w:tabs>
          <w:tab w:val="clear" w:pos="4153"/>
          <w:tab w:val="clear" w:pos="8306"/>
        </w:tabs>
        <w:jc w:val="both"/>
        <w:rPr>
          <w:b/>
          <w:caps/>
        </w:rPr>
      </w:pPr>
    </w:p>
    <w:p w14:paraId="493CB9C5" w14:textId="77777777" w:rsidR="00DF4CCF" w:rsidRPr="00886DED" w:rsidRDefault="00EA119B" w:rsidP="00EA119B">
      <w:pPr>
        <w:pStyle w:val="Antrats"/>
        <w:tabs>
          <w:tab w:val="clear" w:pos="4153"/>
          <w:tab w:val="clear" w:pos="8306"/>
        </w:tabs>
        <w:jc w:val="both"/>
      </w:pPr>
      <w:r w:rsidRPr="00886DED">
        <w:rPr>
          <w:b/>
          <w:caps/>
        </w:rPr>
        <w:t xml:space="preserve">DĖL </w:t>
      </w:r>
      <w:r w:rsidR="00F63CE3" w:rsidRPr="00886DED">
        <w:rPr>
          <w:b/>
          <w:caps/>
        </w:rPr>
        <w:t xml:space="preserve">VYRIAUSYBĖS NUTARIMO PROJEKTO </w:t>
      </w:r>
    </w:p>
    <w:p w14:paraId="493CB9C6" w14:textId="77777777" w:rsidR="00466834" w:rsidRPr="00886DED" w:rsidRDefault="00466834" w:rsidP="00EA119B">
      <w:pPr>
        <w:pStyle w:val="Antrats"/>
        <w:tabs>
          <w:tab w:val="clear" w:pos="4153"/>
          <w:tab w:val="clear" w:pos="8306"/>
        </w:tabs>
      </w:pPr>
    </w:p>
    <w:p w14:paraId="493CB9C7" w14:textId="77777777" w:rsidR="00D70B9C" w:rsidRPr="00886DED" w:rsidRDefault="00D70B9C" w:rsidP="00EA119B">
      <w:pPr>
        <w:pStyle w:val="Antrats"/>
        <w:tabs>
          <w:tab w:val="clear" w:pos="4153"/>
          <w:tab w:val="clear" w:pos="8306"/>
        </w:tabs>
      </w:pPr>
    </w:p>
    <w:p w14:paraId="493CB9C8" w14:textId="77777777" w:rsidR="00E816A4" w:rsidRPr="00886DED" w:rsidRDefault="0004399A" w:rsidP="00894F0C">
      <w:pPr>
        <w:pStyle w:val="Antrats"/>
        <w:tabs>
          <w:tab w:val="clear" w:pos="4153"/>
          <w:tab w:val="clear" w:pos="8306"/>
        </w:tabs>
        <w:spacing w:line="360" w:lineRule="auto"/>
        <w:jc w:val="both"/>
      </w:pPr>
      <w:r w:rsidRPr="00886DED">
        <w:tab/>
      </w:r>
      <w:r w:rsidR="00F63CE3" w:rsidRPr="00886DED">
        <w:t xml:space="preserve">Lietuvos Respublikos vidaus reikalų ministerija, pagal kompetenciją išnagrinėjusi Lietuvos Respublikos Vyriausybės nutarimo „Dėl </w:t>
      </w:r>
      <w:r w:rsidR="003F7116" w:rsidRPr="00886DED">
        <w:t>intelektinės nuosavybės apsaugos koordinavimo“ projektą, teikia dėl jo šias pastabas ir pasiūlymus:</w:t>
      </w:r>
    </w:p>
    <w:p w14:paraId="493CB9C9" w14:textId="77777777" w:rsidR="003F7116" w:rsidRPr="00886DED" w:rsidRDefault="003F7116" w:rsidP="00E34686">
      <w:pPr>
        <w:pStyle w:val="Sraopastraipa"/>
        <w:numPr>
          <w:ilvl w:val="0"/>
          <w:numId w:val="2"/>
        </w:numPr>
        <w:tabs>
          <w:tab w:val="left" w:pos="1134"/>
        </w:tabs>
        <w:spacing w:line="360" w:lineRule="auto"/>
        <w:ind w:left="0" w:firstLine="851"/>
        <w:jc w:val="both"/>
        <w:rPr>
          <w:szCs w:val="24"/>
        </w:rPr>
      </w:pPr>
      <w:r w:rsidRPr="00886DED">
        <w:rPr>
          <w:szCs w:val="24"/>
        </w:rPr>
        <w:t>Manytume, kad valstybės institucijų ir įstaigų veiksmai intelektinės nuosavybės apsaugos srityje apimtų ir veiksmus</w:t>
      </w:r>
      <w:r w:rsidR="00886DED">
        <w:rPr>
          <w:szCs w:val="24"/>
        </w:rPr>
        <w:t>,</w:t>
      </w:r>
      <w:r w:rsidRPr="00886DED">
        <w:rPr>
          <w:szCs w:val="24"/>
        </w:rPr>
        <w:t xml:space="preserve"> kuomet tos pačios institucijos rengs ir teiks Lietuvos Respublikos Vyriausybei įvairias politikos formavimo ar jos įgyvendinimo kategorijoms priskirtinas iniciatyvas intelektinės nuosavybės apsaugos klausimais, t. y. projekto 4.1 papunktyje išdėstytas uždavinys savo apimtimi yra platesnis už išdėstytąjį 4.2 papunktyje ir jį apima. Atsižvelgdami į tai, siūlytume atsisakyti projekto 4.2 papunkčio nuostatų ir komisijai nustatyti tik vieną uždavinį. </w:t>
      </w:r>
    </w:p>
    <w:p w14:paraId="493CB9CA" w14:textId="7CB34BFF" w:rsidR="003F7116" w:rsidRPr="00886DED" w:rsidRDefault="003F7116" w:rsidP="003F7116">
      <w:pPr>
        <w:pStyle w:val="Sraopastraipa"/>
        <w:numPr>
          <w:ilvl w:val="0"/>
          <w:numId w:val="2"/>
        </w:numPr>
        <w:tabs>
          <w:tab w:val="left" w:pos="1134"/>
        </w:tabs>
        <w:spacing w:line="360" w:lineRule="auto"/>
        <w:ind w:left="0" w:firstLine="851"/>
        <w:jc w:val="both"/>
        <w:rPr>
          <w:szCs w:val="24"/>
        </w:rPr>
      </w:pPr>
      <w:r w:rsidRPr="00886DED">
        <w:rPr>
          <w:szCs w:val="24"/>
        </w:rPr>
        <w:t xml:space="preserve">Analogiškais argumentais grįstume ir pastabą dėl projekto 5.1 papunkčio nuostatų. Manytume, kad šiame papunktyje įvardyti pasiūlymai </w:t>
      </w:r>
      <w:r w:rsidRPr="00886DED">
        <w:rPr>
          <w:i/>
          <w:szCs w:val="24"/>
        </w:rPr>
        <w:t>dėl</w:t>
      </w:r>
      <w:r w:rsidRPr="00886DED">
        <w:rPr>
          <w:i/>
        </w:rPr>
        <w:t xml:space="preserve"> </w:t>
      </w:r>
      <w:r w:rsidRPr="00886DED">
        <w:rPr>
          <w:i/>
          <w:szCs w:val="24"/>
        </w:rPr>
        <w:t>valstybės institucijų</w:t>
      </w:r>
      <w:r w:rsidRPr="00886DED">
        <w:rPr>
          <w:szCs w:val="24"/>
        </w:rPr>
        <w:t xml:space="preserve"> ir įstaigų bei kitų organizacijų </w:t>
      </w:r>
      <w:r w:rsidRPr="00886DED">
        <w:rPr>
          <w:i/>
          <w:szCs w:val="24"/>
        </w:rPr>
        <w:t>veiklos tobulinimo intelektinės nuosavybės apsaugos srityje</w:t>
      </w:r>
      <w:r w:rsidRPr="00886DED">
        <w:rPr>
          <w:szCs w:val="24"/>
        </w:rPr>
        <w:t xml:space="preserve"> ir dėl valstybės institucijų ir įstaigų veiklos tikslų, uždavinių ir priemonių, susijusių su intelektine nuosavybe, nurodytų strateginio planavimo dokumentuose</w:t>
      </w:r>
      <w:r w:rsidR="00C0063B">
        <w:rPr>
          <w:szCs w:val="24"/>
        </w:rPr>
        <w:t>,</w:t>
      </w:r>
      <w:r w:rsidRPr="00886DED">
        <w:rPr>
          <w:szCs w:val="24"/>
        </w:rPr>
        <w:t xml:space="preserve"> apimtų ir pasiūlymus </w:t>
      </w:r>
      <w:r w:rsidRPr="00886DED">
        <w:rPr>
          <w:i/>
          <w:szCs w:val="24"/>
        </w:rPr>
        <w:t>valstybės institucijoms</w:t>
      </w:r>
      <w:r w:rsidRPr="00886DED">
        <w:rPr>
          <w:szCs w:val="24"/>
        </w:rPr>
        <w:t xml:space="preserve"> </w:t>
      </w:r>
      <w:r w:rsidRPr="00886DED">
        <w:rPr>
          <w:i/>
          <w:szCs w:val="24"/>
        </w:rPr>
        <w:t>dėl intelektinės nuosavybės politikos formavimo</w:t>
      </w:r>
      <w:r w:rsidRPr="00886DED">
        <w:rPr>
          <w:szCs w:val="24"/>
        </w:rPr>
        <w:t xml:space="preserve"> (jei turimi galvoje pasiūlymai ministerijoms, kurios</w:t>
      </w:r>
      <w:r w:rsidR="00886DED">
        <w:rPr>
          <w:szCs w:val="24"/>
        </w:rPr>
        <w:t>,</w:t>
      </w:r>
      <w:r w:rsidRPr="00886DED">
        <w:rPr>
          <w:szCs w:val="24"/>
        </w:rPr>
        <w:t xml:space="preserve"> formuodamos valstybės politiką ministrams pavestose valdymo srityse, t. y. vykdydamos pagrindinę savo veiklą, paliečia ir klausimus, susijusius su intelektine nuosavybe).</w:t>
      </w:r>
    </w:p>
    <w:p w14:paraId="493CB9CB" w14:textId="77777777" w:rsidR="003F7116" w:rsidRPr="00886DED" w:rsidRDefault="003F7116" w:rsidP="003F7116">
      <w:pPr>
        <w:pStyle w:val="Sraopastraipa"/>
        <w:tabs>
          <w:tab w:val="left" w:pos="1134"/>
        </w:tabs>
        <w:spacing w:line="360" w:lineRule="auto"/>
        <w:ind w:left="0" w:firstLine="851"/>
        <w:jc w:val="both"/>
        <w:rPr>
          <w:szCs w:val="24"/>
        </w:rPr>
      </w:pPr>
      <w:r w:rsidRPr="00886DED">
        <w:rPr>
          <w:szCs w:val="24"/>
        </w:rPr>
        <w:t xml:space="preserve">Atskirai norėtume atkreipti projekto rengėjų dėmesį į tai, kad Lietuvos Respublikos Vyriausybės 2010 m. kovo 24 d. nutarime Nr. 330 „Dėl ministrams pavedamų valdymo sričių“ intelektinė nuosavybė nėra įvardijama kaip atskira valdymo sritis, todėl projekte neturėtų būti </w:t>
      </w:r>
      <w:r w:rsidRPr="00886DED">
        <w:rPr>
          <w:szCs w:val="24"/>
        </w:rPr>
        <w:lastRenderedPageBreak/>
        <w:t xml:space="preserve">vartojamos formuluotės, kuriomis pasisakoma apie </w:t>
      </w:r>
      <w:r w:rsidRPr="00886DED">
        <w:rPr>
          <w:i/>
          <w:szCs w:val="24"/>
        </w:rPr>
        <w:t>valstybės politikos intelektinės nuosavybės apsaugos srityje formavimą ir įgyvendinimą</w:t>
      </w:r>
      <w:r w:rsidRPr="00886DED">
        <w:rPr>
          <w:szCs w:val="24"/>
        </w:rPr>
        <w:t>.</w:t>
      </w:r>
    </w:p>
    <w:p w14:paraId="493CB9CC" w14:textId="77777777" w:rsidR="003F7116" w:rsidRPr="00886DED" w:rsidRDefault="003F7116" w:rsidP="003F7116">
      <w:pPr>
        <w:pStyle w:val="Sraopastraipa"/>
        <w:numPr>
          <w:ilvl w:val="0"/>
          <w:numId w:val="2"/>
        </w:numPr>
        <w:tabs>
          <w:tab w:val="left" w:pos="1134"/>
        </w:tabs>
        <w:spacing w:line="360" w:lineRule="auto"/>
        <w:ind w:left="0" w:firstLine="851"/>
        <w:jc w:val="both"/>
        <w:rPr>
          <w:szCs w:val="24"/>
        </w:rPr>
      </w:pPr>
      <w:r w:rsidRPr="00886DED">
        <w:rPr>
          <w:szCs w:val="24"/>
        </w:rPr>
        <w:t>Įgyvendinant Viešojo sektoriaus įstaigų sistemos tobulinimo gaires, patvirtintas Lietuvos Respublikos Vyriausybės 2018 m. gegužės 16 d. nutarimu Nr. 495, yra siekiama išgryninti viešojo sektoriaus įstaigų kompetenciją. Viena iš priemonių, kuria siekiama šio tikslo, – viešojo sektoriaus įstaigoms pavedamas funkcijas apibrėžti kaip konkrečią veiklą (t. y. jas suformuluoti taip, kad būtų nuspėjamas konkretus šios veiklos atlikimo rezultatas) ir</w:t>
      </w:r>
      <w:r w:rsidR="00886DED">
        <w:rPr>
          <w:szCs w:val="24"/>
        </w:rPr>
        <w:t>,</w:t>
      </w:r>
      <w:r w:rsidRPr="00886DED">
        <w:rPr>
          <w:szCs w:val="24"/>
        </w:rPr>
        <w:t xml:space="preserve"> kiek tai leidžia galimybės</w:t>
      </w:r>
      <w:r w:rsidR="00886DED">
        <w:rPr>
          <w:szCs w:val="24"/>
        </w:rPr>
        <w:t>,</w:t>
      </w:r>
      <w:r w:rsidRPr="00886DED">
        <w:rPr>
          <w:szCs w:val="24"/>
        </w:rPr>
        <w:t xml:space="preserve"> nustatyti baigtinį šių funkcijų sąrašą. Manytume, kad šis siekis turėtų būti taikomas ir viešajame sektoriuje sudaromoms kolegialioms institucijoms. Be to, manytume, kad tai prisidėtų ir prie tinkamo Lietuvos Respublikos Vyriausybės įstatymo 27 straipsnio 4 dalies, kuri yra minima projekto preambulėje, nuostatų įgyvendinimo. Šioje dalyje nustatyta, kad Vyriausybės komisijos yra sudaromos Vyriausybės pavestoms </w:t>
      </w:r>
      <w:r w:rsidRPr="00886DED">
        <w:rPr>
          <w:i/>
          <w:szCs w:val="24"/>
        </w:rPr>
        <w:t>užduotims</w:t>
      </w:r>
      <w:r w:rsidRPr="00886DED">
        <w:rPr>
          <w:szCs w:val="24"/>
        </w:rPr>
        <w:t>, t. y. užduodamam darbui, jo kiekiui, atlikti. Atsižvelgdami į tai, siūlytume apsvarstyti galimybę atsisakyti projekto 5.5 papunkčio nuostatų.</w:t>
      </w:r>
    </w:p>
    <w:p w14:paraId="493CB9CD" w14:textId="77777777" w:rsidR="00466834" w:rsidRPr="00886DED" w:rsidRDefault="00466834" w:rsidP="00C21D8D">
      <w:pPr>
        <w:pStyle w:val="Antrats"/>
        <w:tabs>
          <w:tab w:val="clear" w:pos="4153"/>
          <w:tab w:val="clear" w:pos="8306"/>
        </w:tabs>
        <w:jc w:val="both"/>
      </w:pPr>
    </w:p>
    <w:p w14:paraId="493CB9CE" w14:textId="77777777" w:rsidR="00EA119B" w:rsidRPr="00886DED" w:rsidRDefault="00EA119B" w:rsidP="00C21D8D">
      <w:pPr>
        <w:pStyle w:val="Antrats"/>
        <w:tabs>
          <w:tab w:val="clear" w:pos="4153"/>
          <w:tab w:val="clear" w:pos="8306"/>
        </w:tabs>
        <w:jc w:val="both"/>
      </w:pPr>
    </w:p>
    <w:p w14:paraId="493CB9CF" w14:textId="77777777" w:rsidR="00CC721E" w:rsidRPr="00886DED" w:rsidRDefault="00CC721E" w:rsidP="00C21D8D">
      <w:pPr>
        <w:pStyle w:val="Antrats"/>
        <w:tabs>
          <w:tab w:val="clear" w:pos="4153"/>
          <w:tab w:val="clear" w:pos="8306"/>
        </w:tabs>
        <w:jc w:val="both"/>
      </w:pPr>
    </w:p>
    <w:tbl>
      <w:tblPr>
        <w:tblW w:w="9531" w:type="dxa"/>
        <w:tblLayout w:type="fixed"/>
        <w:tblLook w:val="0000" w:firstRow="0" w:lastRow="0" w:firstColumn="0" w:lastColumn="0" w:noHBand="0" w:noVBand="0"/>
      </w:tblPr>
      <w:tblGrid>
        <w:gridCol w:w="4678"/>
        <w:gridCol w:w="4853"/>
      </w:tblGrid>
      <w:tr w:rsidR="0005618E" w:rsidRPr="00886DED" w14:paraId="493CB9D2" w14:textId="77777777" w:rsidTr="00B338B1">
        <w:tc>
          <w:tcPr>
            <w:tcW w:w="4678" w:type="dxa"/>
          </w:tcPr>
          <w:p w14:paraId="493CB9D0" w14:textId="77777777" w:rsidR="0005618E" w:rsidRPr="00886DED" w:rsidRDefault="00B338B1" w:rsidP="00953FD1">
            <w:pPr>
              <w:pStyle w:val="Antrats"/>
              <w:tabs>
                <w:tab w:val="clear" w:pos="4153"/>
                <w:tab w:val="clear" w:pos="8306"/>
              </w:tabs>
            </w:pPr>
            <w:r w:rsidRPr="00886DED">
              <w:t>Vidaus reikalų viceministrė</w:t>
            </w:r>
            <w:r w:rsidR="0005618E" w:rsidRPr="00886DED">
              <w:t xml:space="preserve"> </w:t>
            </w:r>
          </w:p>
        </w:tc>
        <w:tc>
          <w:tcPr>
            <w:tcW w:w="4853" w:type="dxa"/>
          </w:tcPr>
          <w:p w14:paraId="493CB9D1" w14:textId="77777777" w:rsidR="0005618E" w:rsidRPr="00886DED" w:rsidRDefault="00B338B1" w:rsidP="00B338B1">
            <w:pPr>
              <w:pStyle w:val="Antrats"/>
              <w:tabs>
                <w:tab w:val="clear" w:pos="4153"/>
                <w:tab w:val="clear" w:pos="8306"/>
              </w:tabs>
              <w:ind w:right="-216"/>
            </w:pPr>
            <w:r w:rsidRPr="00886DED">
              <w:t xml:space="preserve">                                                   Beata Maliušicka</w:t>
            </w:r>
            <w:r w:rsidR="0005618E" w:rsidRPr="00886DED">
              <w:t xml:space="preserve"> </w:t>
            </w:r>
          </w:p>
        </w:tc>
      </w:tr>
    </w:tbl>
    <w:p w14:paraId="493CB9D3" w14:textId="77777777" w:rsidR="00EA119B" w:rsidRPr="00886DED" w:rsidRDefault="00EA119B" w:rsidP="00EA119B"/>
    <w:p w14:paraId="493CB9D4" w14:textId="77777777" w:rsidR="005A0D67" w:rsidRPr="00886DED" w:rsidRDefault="005A0D67" w:rsidP="007976F5"/>
    <w:p w14:paraId="493CB9D5" w14:textId="77777777" w:rsidR="007976F5" w:rsidRPr="00886DED" w:rsidRDefault="007976F5" w:rsidP="007976F5"/>
    <w:p w14:paraId="493CB9D6" w14:textId="77777777" w:rsidR="007976F5" w:rsidRPr="00886DED" w:rsidRDefault="007976F5" w:rsidP="007976F5"/>
    <w:p w14:paraId="493CB9D7" w14:textId="77777777" w:rsidR="00EF4B28" w:rsidRPr="00886DED" w:rsidRDefault="00EF4B28" w:rsidP="009148A5"/>
    <w:p w14:paraId="493CB9D8" w14:textId="77777777" w:rsidR="00CC721E" w:rsidRPr="00886DED" w:rsidRDefault="00CC721E" w:rsidP="009148A5"/>
    <w:p w14:paraId="493CB9D9" w14:textId="77777777" w:rsidR="00CC721E" w:rsidRPr="00886DED" w:rsidRDefault="00CC721E" w:rsidP="009148A5"/>
    <w:p w14:paraId="493CB9DA" w14:textId="77777777" w:rsidR="00CC721E" w:rsidRPr="00886DED" w:rsidRDefault="00CC721E" w:rsidP="009148A5"/>
    <w:p w14:paraId="493CB9DB" w14:textId="77777777" w:rsidR="00CC721E" w:rsidRPr="00886DED" w:rsidRDefault="00CC721E" w:rsidP="009148A5"/>
    <w:p w14:paraId="493CB9DC" w14:textId="77777777" w:rsidR="00CC721E" w:rsidRPr="00886DED" w:rsidRDefault="00CC721E" w:rsidP="009148A5"/>
    <w:p w14:paraId="493CB9DD" w14:textId="77777777" w:rsidR="00CC721E" w:rsidRPr="00886DED" w:rsidRDefault="00CC721E" w:rsidP="009148A5"/>
    <w:p w14:paraId="493CB9DE" w14:textId="77777777" w:rsidR="00CC721E" w:rsidRPr="00886DED" w:rsidRDefault="00CC721E" w:rsidP="009148A5"/>
    <w:p w14:paraId="493CB9DF" w14:textId="77777777" w:rsidR="00CC721E" w:rsidRPr="00886DED" w:rsidRDefault="00CC721E" w:rsidP="009148A5"/>
    <w:p w14:paraId="493CB9E0" w14:textId="77777777" w:rsidR="00CC721E" w:rsidRPr="00886DED" w:rsidRDefault="00CC721E" w:rsidP="009148A5"/>
    <w:p w14:paraId="493CB9E1" w14:textId="77777777" w:rsidR="00CC721E" w:rsidRPr="00886DED" w:rsidRDefault="00CC721E" w:rsidP="009148A5"/>
    <w:p w14:paraId="493CB9E2" w14:textId="77777777" w:rsidR="00E34686" w:rsidRPr="00886DED" w:rsidRDefault="00E34686" w:rsidP="009148A5"/>
    <w:p w14:paraId="493CB9E3" w14:textId="77777777" w:rsidR="00E34686" w:rsidRPr="00886DED" w:rsidRDefault="00E34686" w:rsidP="009148A5"/>
    <w:p w14:paraId="493CB9E4" w14:textId="77777777" w:rsidR="00E34686" w:rsidRPr="00886DED" w:rsidRDefault="00E34686" w:rsidP="009148A5"/>
    <w:p w14:paraId="493CB9E5" w14:textId="77777777" w:rsidR="00E34686" w:rsidRPr="00886DED" w:rsidRDefault="00E34686" w:rsidP="009148A5"/>
    <w:p w14:paraId="493CB9E6" w14:textId="77777777" w:rsidR="00E34686" w:rsidRPr="00886DED" w:rsidRDefault="00E34686" w:rsidP="009148A5"/>
    <w:p w14:paraId="493CB9E7" w14:textId="77777777" w:rsidR="00886DED" w:rsidRPr="00886DED" w:rsidRDefault="00886DED" w:rsidP="009148A5"/>
    <w:p w14:paraId="493CB9E8" w14:textId="77777777" w:rsidR="00886DED" w:rsidRPr="00886DED" w:rsidRDefault="00886DED" w:rsidP="009148A5"/>
    <w:p w14:paraId="493CB9E9" w14:textId="77777777" w:rsidR="00886DED" w:rsidRPr="00886DED" w:rsidRDefault="00886DED" w:rsidP="009148A5"/>
    <w:p w14:paraId="493CB9EA" w14:textId="77777777" w:rsidR="00886DED" w:rsidRPr="00886DED" w:rsidRDefault="00886DED" w:rsidP="009148A5"/>
    <w:p w14:paraId="493CB9EB" w14:textId="77777777" w:rsidR="00886DED" w:rsidRDefault="00886DED" w:rsidP="009148A5"/>
    <w:p w14:paraId="493CB9EC" w14:textId="77777777" w:rsidR="00886DED" w:rsidRDefault="00886DED" w:rsidP="009148A5"/>
    <w:p w14:paraId="493CB9ED" w14:textId="77777777" w:rsidR="00886DED" w:rsidRDefault="00886DED" w:rsidP="009148A5"/>
    <w:p w14:paraId="493CB9EE" w14:textId="77777777" w:rsidR="00CC721E" w:rsidRPr="00886DED" w:rsidRDefault="00EA3945" w:rsidP="009148A5">
      <w:r w:rsidRPr="00886DED">
        <w:t xml:space="preserve">Virginijus Vaškelis, tel. (8 5) 271 </w:t>
      </w:r>
      <w:r w:rsidRPr="00886DED">
        <w:rPr>
          <w:color w:val="000000"/>
          <w:lang w:eastAsia="en-GB"/>
        </w:rPr>
        <w:t xml:space="preserve">8274, el. p. </w:t>
      </w:r>
      <w:hyperlink r:id="rId9" w:history="1">
        <w:r w:rsidRPr="00886DED">
          <w:rPr>
            <w:rStyle w:val="Hipersaitas"/>
            <w:color w:val="auto"/>
            <w:u w:val="none"/>
            <w:lang w:eastAsia="en-GB"/>
          </w:rPr>
          <w:t>virginijus.vaskelis@vrm.lt</w:t>
        </w:r>
      </w:hyperlink>
      <w:r w:rsidRPr="00886DED">
        <w:rPr>
          <w:lang w:eastAsia="en-GB"/>
        </w:rPr>
        <w:t xml:space="preserve"> </w:t>
      </w:r>
    </w:p>
    <w:p w14:paraId="493CB9EF" w14:textId="77777777" w:rsidR="00FB571C" w:rsidRPr="00886DED" w:rsidRDefault="00B338B1" w:rsidP="009148A5">
      <w:r w:rsidRPr="00886DED">
        <w:t>Alvija Vitkauskienė</w:t>
      </w:r>
      <w:r w:rsidR="00280F08" w:rsidRPr="00886DED">
        <w:t xml:space="preserve">, tel. </w:t>
      </w:r>
      <w:r w:rsidR="00280F08" w:rsidRPr="00886DED">
        <w:rPr>
          <w:color w:val="000000"/>
        </w:rPr>
        <w:t xml:space="preserve">(8 5) </w:t>
      </w:r>
      <w:r w:rsidR="00280F08" w:rsidRPr="00886DED">
        <w:t xml:space="preserve">271 </w:t>
      </w:r>
      <w:r w:rsidRPr="00886DED">
        <w:t>8747</w:t>
      </w:r>
      <w:r w:rsidR="00280F08" w:rsidRPr="00886DED">
        <w:t xml:space="preserve">, el. p. </w:t>
      </w:r>
      <w:hyperlink r:id="rId10" w:history="1">
        <w:r w:rsidR="00FB571C" w:rsidRPr="00886DED">
          <w:rPr>
            <w:rStyle w:val="Hipersaitas"/>
            <w:color w:val="auto"/>
            <w:u w:val="none"/>
          </w:rPr>
          <w:t>alvija.vitkauskienė@vrm.lt</w:t>
        </w:r>
      </w:hyperlink>
    </w:p>
    <w:sectPr w:rsidR="00FB571C" w:rsidRPr="00886DED" w:rsidSect="00256775">
      <w:headerReference w:type="even" r:id="rId11"/>
      <w:headerReference w:type="default" r:id="rId12"/>
      <w:footerReference w:type="first" r:id="rId13"/>
      <w:pgSz w:w="11906" w:h="16838" w:code="9"/>
      <w:pgMar w:top="1134" w:right="567" w:bottom="1134" w:left="1701" w:header="567" w:footer="51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8918A" w14:textId="77777777" w:rsidR="00766455" w:rsidRDefault="00766455" w:rsidP="00DB30A6">
      <w:r>
        <w:separator/>
      </w:r>
    </w:p>
  </w:endnote>
  <w:endnote w:type="continuationSeparator" w:id="0">
    <w:p w14:paraId="4E296B94" w14:textId="77777777" w:rsidR="00766455" w:rsidRDefault="00766455" w:rsidP="00DB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Lentelstinklelis"/>
      <w:tblW w:w="9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73"/>
      <w:gridCol w:w="1708"/>
    </w:tblGrid>
    <w:tr w:rsidR="005C4059" w14:paraId="493CB9FC" w14:textId="77777777" w:rsidTr="00CB2C23">
      <w:trPr>
        <w:trHeight w:val="1276"/>
      </w:trPr>
      <w:tc>
        <w:tcPr>
          <w:tcW w:w="7573" w:type="dxa"/>
        </w:tcPr>
        <w:p w14:paraId="493CB9FA" w14:textId="77777777" w:rsidR="005C4059" w:rsidRDefault="0041168D" w:rsidP="002A2934">
          <w:pPr>
            <w:pStyle w:val="Porat"/>
          </w:pPr>
        </w:p>
      </w:tc>
      <w:tc>
        <w:tcPr>
          <w:tcW w:w="1708" w:type="dxa"/>
        </w:tcPr>
        <w:p w14:paraId="493CB9FB" w14:textId="77777777" w:rsidR="005C4059" w:rsidRDefault="00F604DF" w:rsidP="00D97282">
          <w:pPr>
            <w:pStyle w:val="Porat"/>
            <w:ind w:left="-106" w:right="-203" w:hanging="2"/>
          </w:pPr>
          <w:r>
            <w:rPr>
              <w:noProof/>
              <w:lang w:eastAsia="lt-LT"/>
            </w:rPr>
            <w:drawing>
              <wp:inline distT="0" distB="0" distL="0" distR="0" wp14:anchorId="493CB9FE" wp14:editId="493CB9FF">
                <wp:extent cx="1022350" cy="771525"/>
                <wp:effectExtent l="0" t="0" r="635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kime-laisve_30_L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2350" cy="771525"/>
                        </a:xfrm>
                        <a:prstGeom prst="rect">
                          <a:avLst/>
                        </a:prstGeom>
                      </pic:spPr>
                    </pic:pic>
                  </a:graphicData>
                </a:graphic>
              </wp:inline>
            </w:drawing>
          </w:r>
        </w:p>
      </w:tc>
    </w:tr>
  </w:tbl>
  <w:p w14:paraId="493CB9FD" w14:textId="77777777" w:rsidR="005C4059" w:rsidRDefault="0041168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98A55" w14:textId="77777777" w:rsidR="00766455" w:rsidRDefault="00766455" w:rsidP="00DB30A6">
      <w:r>
        <w:separator/>
      </w:r>
    </w:p>
  </w:footnote>
  <w:footnote w:type="continuationSeparator" w:id="0">
    <w:p w14:paraId="0C99D5EC" w14:textId="77777777" w:rsidR="00766455" w:rsidRDefault="00766455" w:rsidP="00DB3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CB9F6" w14:textId="77777777" w:rsidR="00BA5CFC" w:rsidRDefault="00085A86" w:rsidP="00BA5CFC">
    <w:pPr>
      <w:pStyle w:val="Antrats"/>
      <w:framePr w:wrap="around" w:vAnchor="text" w:hAnchor="margin" w:xAlign="center" w:y="1"/>
      <w:rPr>
        <w:rStyle w:val="Puslapionumeris"/>
      </w:rPr>
    </w:pPr>
    <w:r>
      <w:rPr>
        <w:rStyle w:val="Puslapionumeris"/>
      </w:rPr>
      <w:fldChar w:fldCharType="begin"/>
    </w:r>
    <w:r w:rsidR="00715384">
      <w:rPr>
        <w:rStyle w:val="Puslapionumeris"/>
      </w:rPr>
      <w:instrText xml:space="preserve">PAGE  </w:instrText>
    </w:r>
    <w:r>
      <w:rPr>
        <w:rStyle w:val="Puslapionumeris"/>
      </w:rPr>
      <w:fldChar w:fldCharType="separate"/>
    </w:r>
    <w:r w:rsidR="00715384">
      <w:rPr>
        <w:rStyle w:val="Puslapionumeris"/>
        <w:noProof/>
      </w:rPr>
      <w:t>1</w:t>
    </w:r>
    <w:r>
      <w:rPr>
        <w:rStyle w:val="Puslapionumeris"/>
      </w:rPr>
      <w:fldChar w:fldCharType="end"/>
    </w:r>
  </w:p>
  <w:p w14:paraId="493CB9F7" w14:textId="77777777" w:rsidR="00BA5CFC" w:rsidRDefault="0041168D">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0739784"/>
      <w:docPartObj>
        <w:docPartGallery w:val="Page Numbers (Top of Page)"/>
        <w:docPartUnique/>
      </w:docPartObj>
    </w:sdtPr>
    <w:sdtEndPr/>
    <w:sdtContent>
      <w:p w14:paraId="493CB9F8" w14:textId="77777777" w:rsidR="00256775" w:rsidRDefault="00256775">
        <w:pPr>
          <w:pStyle w:val="Antrats"/>
          <w:jc w:val="center"/>
        </w:pPr>
        <w:r>
          <w:fldChar w:fldCharType="begin"/>
        </w:r>
        <w:r>
          <w:instrText>PAGE   \* MERGEFORMAT</w:instrText>
        </w:r>
        <w:r>
          <w:fldChar w:fldCharType="separate"/>
        </w:r>
        <w:r w:rsidR="0041168D">
          <w:rPr>
            <w:noProof/>
          </w:rPr>
          <w:t>2</w:t>
        </w:r>
        <w:r>
          <w:fldChar w:fldCharType="end"/>
        </w:r>
      </w:p>
    </w:sdtContent>
  </w:sdt>
  <w:p w14:paraId="493CB9F9" w14:textId="77777777" w:rsidR="00C35D88" w:rsidRDefault="00C35D8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A308E"/>
    <w:multiLevelType w:val="hybridMultilevel"/>
    <w:tmpl w:val="E0F498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5156CA5"/>
    <w:multiLevelType w:val="hybridMultilevel"/>
    <w:tmpl w:val="E38E47E4"/>
    <w:lvl w:ilvl="0" w:tplc="15500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19B"/>
    <w:rsid w:val="00006D43"/>
    <w:rsid w:val="0004399A"/>
    <w:rsid w:val="00055229"/>
    <w:rsid w:val="0005618E"/>
    <w:rsid w:val="00063EAB"/>
    <w:rsid w:val="000742EB"/>
    <w:rsid w:val="00084BC0"/>
    <w:rsid w:val="00085A86"/>
    <w:rsid w:val="000B1ECA"/>
    <w:rsid w:val="000B6FAB"/>
    <w:rsid w:val="000C713F"/>
    <w:rsid w:val="000F3CAC"/>
    <w:rsid w:val="001168BF"/>
    <w:rsid w:val="00116FE4"/>
    <w:rsid w:val="001448EF"/>
    <w:rsid w:val="001626D5"/>
    <w:rsid w:val="0019136B"/>
    <w:rsid w:val="001A5836"/>
    <w:rsid w:val="001F5416"/>
    <w:rsid w:val="00206C40"/>
    <w:rsid w:val="002174A5"/>
    <w:rsid w:val="00247FB5"/>
    <w:rsid w:val="0025508D"/>
    <w:rsid w:val="002551C3"/>
    <w:rsid w:val="0025599E"/>
    <w:rsid w:val="00256775"/>
    <w:rsid w:val="00257E52"/>
    <w:rsid w:val="00263408"/>
    <w:rsid w:val="00265030"/>
    <w:rsid w:val="00280F08"/>
    <w:rsid w:val="002A2934"/>
    <w:rsid w:val="002C4374"/>
    <w:rsid w:val="002F3C7F"/>
    <w:rsid w:val="003079BC"/>
    <w:rsid w:val="00311B1D"/>
    <w:rsid w:val="003214F0"/>
    <w:rsid w:val="00371333"/>
    <w:rsid w:val="003768C8"/>
    <w:rsid w:val="003857F4"/>
    <w:rsid w:val="003A2D7A"/>
    <w:rsid w:val="003A6808"/>
    <w:rsid w:val="003D0263"/>
    <w:rsid w:val="003E4782"/>
    <w:rsid w:val="003F7116"/>
    <w:rsid w:val="00402D81"/>
    <w:rsid w:val="00405628"/>
    <w:rsid w:val="0041168D"/>
    <w:rsid w:val="00437AA7"/>
    <w:rsid w:val="00443DAF"/>
    <w:rsid w:val="00446AF1"/>
    <w:rsid w:val="00466834"/>
    <w:rsid w:val="00472CA7"/>
    <w:rsid w:val="0047498C"/>
    <w:rsid w:val="00495C91"/>
    <w:rsid w:val="00496203"/>
    <w:rsid w:val="00497BF0"/>
    <w:rsid w:val="004C2429"/>
    <w:rsid w:val="004D3D06"/>
    <w:rsid w:val="004E4D56"/>
    <w:rsid w:val="0052414F"/>
    <w:rsid w:val="005257ED"/>
    <w:rsid w:val="005A0D67"/>
    <w:rsid w:val="005A1DD7"/>
    <w:rsid w:val="005A4144"/>
    <w:rsid w:val="005B069D"/>
    <w:rsid w:val="005C6497"/>
    <w:rsid w:val="005F21C8"/>
    <w:rsid w:val="005F23BF"/>
    <w:rsid w:val="005F5EA9"/>
    <w:rsid w:val="0061398C"/>
    <w:rsid w:val="00621B8F"/>
    <w:rsid w:val="006453B7"/>
    <w:rsid w:val="00646DBC"/>
    <w:rsid w:val="0067471E"/>
    <w:rsid w:val="006E4528"/>
    <w:rsid w:val="007123EC"/>
    <w:rsid w:val="00715384"/>
    <w:rsid w:val="00746026"/>
    <w:rsid w:val="00755AAF"/>
    <w:rsid w:val="00766455"/>
    <w:rsid w:val="0077304F"/>
    <w:rsid w:val="00791C2A"/>
    <w:rsid w:val="007976F5"/>
    <w:rsid w:val="007A3460"/>
    <w:rsid w:val="007D070D"/>
    <w:rsid w:val="007D374E"/>
    <w:rsid w:val="007D3903"/>
    <w:rsid w:val="0080073C"/>
    <w:rsid w:val="00801EAC"/>
    <w:rsid w:val="00821F92"/>
    <w:rsid w:val="00846DEC"/>
    <w:rsid w:val="00847096"/>
    <w:rsid w:val="008563E5"/>
    <w:rsid w:val="008634A6"/>
    <w:rsid w:val="00871879"/>
    <w:rsid w:val="00874A82"/>
    <w:rsid w:val="0087651F"/>
    <w:rsid w:val="00882930"/>
    <w:rsid w:val="008864A3"/>
    <w:rsid w:val="00886DED"/>
    <w:rsid w:val="00894F0C"/>
    <w:rsid w:val="008A7449"/>
    <w:rsid w:val="008C2329"/>
    <w:rsid w:val="008C65F2"/>
    <w:rsid w:val="008C75BB"/>
    <w:rsid w:val="008C7D76"/>
    <w:rsid w:val="00901704"/>
    <w:rsid w:val="00911428"/>
    <w:rsid w:val="009148A5"/>
    <w:rsid w:val="00923FCB"/>
    <w:rsid w:val="00935F50"/>
    <w:rsid w:val="00952A8B"/>
    <w:rsid w:val="00953FD1"/>
    <w:rsid w:val="00974142"/>
    <w:rsid w:val="00976636"/>
    <w:rsid w:val="009810AA"/>
    <w:rsid w:val="009862F8"/>
    <w:rsid w:val="009B4622"/>
    <w:rsid w:val="009D478C"/>
    <w:rsid w:val="009D7E4A"/>
    <w:rsid w:val="009E6BF6"/>
    <w:rsid w:val="00A050D7"/>
    <w:rsid w:val="00A56C36"/>
    <w:rsid w:val="00A63F4E"/>
    <w:rsid w:val="00A67106"/>
    <w:rsid w:val="00A90883"/>
    <w:rsid w:val="00AC3E0A"/>
    <w:rsid w:val="00AC5D2B"/>
    <w:rsid w:val="00AE10B4"/>
    <w:rsid w:val="00AF262B"/>
    <w:rsid w:val="00B01BB4"/>
    <w:rsid w:val="00B11345"/>
    <w:rsid w:val="00B31007"/>
    <w:rsid w:val="00B338B1"/>
    <w:rsid w:val="00B556FA"/>
    <w:rsid w:val="00B653AF"/>
    <w:rsid w:val="00B8485F"/>
    <w:rsid w:val="00BC038C"/>
    <w:rsid w:val="00BC65CD"/>
    <w:rsid w:val="00BE163F"/>
    <w:rsid w:val="00BE22C1"/>
    <w:rsid w:val="00BE3378"/>
    <w:rsid w:val="00BF3D5C"/>
    <w:rsid w:val="00C0063B"/>
    <w:rsid w:val="00C21D8D"/>
    <w:rsid w:val="00C35D88"/>
    <w:rsid w:val="00C41A30"/>
    <w:rsid w:val="00C45200"/>
    <w:rsid w:val="00C45245"/>
    <w:rsid w:val="00C52213"/>
    <w:rsid w:val="00C62172"/>
    <w:rsid w:val="00C85BE0"/>
    <w:rsid w:val="00C954F1"/>
    <w:rsid w:val="00CB2C23"/>
    <w:rsid w:val="00CB76DC"/>
    <w:rsid w:val="00CC0C11"/>
    <w:rsid w:val="00CC721E"/>
    <w:rsid w:val="00CD20BE"/>
    <w:rsid w:val="00D31566"/>
    <w:rsid w:val="00D66C81"/>
    <w:rsid w:val="00D70B9C"/>
    <w:rsid w:val="00D91795"/>
    <w:rsid w:val="00D97282"/>
    <w:rsid w:val="00DA754D"/>
    <w:rsid w:val="00DB30A6"/>
    <w:rsid w:val="00DB62E0"/>
    <w:rsid w:val="00DD1997"/>
    <w:rsid w:val="00DE4C88"/>
    <w:rsid w:val="00DF4CCF"/>
    <w:rsid w:val="00E34686"/>
    <w:rsid w:val="00E43C99"/>
    <w:rsid w:val="00E50736"/>
    <w:rsid w:val="00E57ADF"/>
    <w:rsid w:val="00E64AC8"/>
    <w:rsid w:val="00E816A4"/>
    <w:rsid w:val="00E860E6"/>
    <w:rsid w:val="00EA0B5E"/>
    <w:rsid w:val="00EA0CC6"/>
    <w:rsid w:val="00EA119B"/>
    <w:rsid w:val="00EA1CCF"/>
    <w:rsid w:val="00EA3945"/>
    <w:rsid w:val="00EC0CD9"/>
    <w:rsid w:val="00EE67E7"/>
    <w:rsid w:val="00EF4B28"/>
    <w:rsid w:val="00F12472"/>
    <w:rsid w:val="00F442F8"/>
    <w:rsid w:val="00F50DB7"/>
    <w:rsid w:val="00F54698"/>
    <w:rsid w:val="00F55692"/>
    <w:rsid w:val="00F604DF"/>
    <w:rsid w:val="00F61E2F"/>
    <w:rsid w:val="00F62B78"/>
    <w:rsid w:val="00F63CE3"/>
    <w:rsid w:val="00FB4AAA"/>
    <w:rsid w:val="00FB571C"/>
    <w:rsid w:val="00FC018A"/>
    <w:rsid w:val="00FC5E44"/>
    <w:rsid w:val="00FD15A1"/>
    <w:rsid w:val="00FD6D30"/>
    <w:rsid w:val="00FE6DB6"/>
    <w:rsid w:val="00FF55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3CB9AD"/>
  <w15:docId w15:val="{D19C4072-CBDA-48E0-A6CA-B94F8C5A9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119B"/>
    <w:pPr>
      <w:spacing w:line="240" w:lineRule="auto"/>
    </w:pPr>
    <w:rPr>
      <w:rFonts w:eastAsia="Times New Roman" w:cs="Times New Roman"/>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A119B"/>
    <w:pPr>
      <w:tabs>
        <w:tab w:val="center" w:pos="4153"/>
        <w:tab w:val="right" w:pos="8306"/>
      </w:tabs>
    </w:pPr>
  </w:style>
  <w:style w:type="character" w:customStyle="1" w:styleId="AntratsDiagrama">
    <w:name w:val="Antraštės Diagrama"/>
    <w:basedOn w:val="Numatytasispastraiposriftas"/>
    <w:link w:val="Antrats"/>
    <w:uiPriority w:val="99"/>
    <w:rsid w:val="00EA119B"/>
    <w:rPr>
      <w:rFonts w:eastAsia="Times New Roman" w:cs="Times New Roman"/>
      <w:szCs w:val="20"/>
      <w:lang w:val="lt-LT"/>
    </w:rPr>
  </w:style>
  <w:style w:type="paragraph" w:styleId="Antrat">
    <w:name w:val="caption"/>
    <w:basedOn w:val="prastasis"/>
    <w:next w:val="prastasis"/>
    <w:qFormat/>
    <w:rsid w:val="00EA119B"/>
    <w:pPr>
      <w:jc w:val="center"/>
    </w:pPr>
    <w:rPr>
      <w:b/>
      <w:sz w:val="28"/>
    </w:rPr>
  </w:style>
  <w:style w:type="character" w:styleId="Puslapionumeris">
    <w:name w:val="page number"/>
    <w:basedOn w:val="Numatytasispastraiposriftas"/>
    <w:rsid w:val="00EA119B"/>
  </w:style>
  <w:style w:type="character" w:styleId="Hipersaitas">
    <w:name w:val="Hyperlink"/>
    <w:basedOn w:val="Numatytasispastraiposriftas"/>
    <w:rsid w:val="00EA119B"/>
    <w:rPr>
      <w:color w:val="0000FF"/>
      <w:u w:val="single"/>
    </w:rPr>
  </w:style>
  <w:style w:type="paragraph" w:styleId="Porat">
    <w:name w:val="footer"/>
    <w:basedOn w:val="prastasis"/>
    <w:link w:val="PoratDiagrama"/>
    <w:uiPriority w:val="99"/>
    <w:unhideWhenUsed/>
    <w:rsid w:val="00EA119B"/>
    <w:pPr>
      <w:tabs>
        <w:tab w:val="center" w:pos="4680"/>
        <w:tab w:val="right" w:pos="9360"/>
      </w:tabs>
    </w:pPr>
  </w:style>
  <w:style w:type="character" w:customStyle="1" w:styleId="PoratDiagrama">
    <w:name w:val="Poraštė Diagrama"/>
    <w:basedOn w:val="Numatytasispastraiposriftas"/>
    <w:link w:val="Porat"/>
    <w:uiPriority w:val="99"/>
    <w:rsid w:val="00EA119B"/>
    <w:rPr>
      <w:rFonts w:eastAsia="Times New Roman" w:cs="Times New Roman"/>
      <w:szCs w:val="20"/>
      <w:lang w:val="en-GB"/>
    </w:rPr>
  </w:style>
  <w:style w:type="table" w:styleId="Lentelstinklelis">
    <w:name w:val="Table Grid"/>
    <w:basedOn w:val="prastojilentel"/>
    <w:uiPriority w:val="59"/>
    <w:rsid w:val="00EA11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A11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119B"/>
    <w:rPr>
      <w:rFonts w:ascii="Tahoma" w:eastAsia="Times New Roman" w:hAnsi="Tahoma" w:cs="Tahoma"/>
      <w:sz w:val="16"/>
      <w:szCs w:val="16"/>
      <w:lang w:val="en-GB"/>
    </w:rPr>
  </w:style>
  <w:style w:type="character" w:customStyle="1" w:styleId="dlxnowrap1">
    <w:name w:val="dlxnowrap1"/>
    <w:basedOn w:val="Numatytasispastraiposriftas"/>
    <w:rsid w:val="00084BC0"/>
  </w:style>
  <w:style w:type="paragraph" w:styleId="Puslapioinaostekstas">
    <w:name w:val="footnote text"/>
    <w:basedOn w:val="prastasis"/>
    <w:link w:val="PuslapioinaostekstasDiagrama"/>
    <w:uiPriority w:val="99"/>
    <w:semiHidden/>
    <w:unhideWhenUsed/>
    <w:rsid w:val="00B01BB4"/>
    <w:rPr>
      <w:sz w:val="20"/>
    </w:rPr>
  </w:style>
  <w:style w:type="character" w:customStyle="1" w:styleId="PuslapioinaostekstasDiagrama">
    <w:name w:val="Puslapio išnašos tekstas Diagrama"/>
    <w:basedOn w:val="Numatytasispastraiposriftas"/>
    <w:link w:val="Puslapioinaostekstas"/>
    <w:uiPriority w:val="99"/>
    <w:semiHidden/>
    <w:rsid w:val="00B01BB4"/>
    <w:rPr>
      <w:rFonts w:eastAsia="Times New Roman" w:cs="Times New Roman"/>
      <w:sz w:val="20"/>
      <w:szCs w:val="20"/>
      <w:lang w:val="en-GB"/>
    </w:rPr>
  </w:style>
  <w:style w:type="character" w:styleId="Puslapioinaosnuoroda">
    <w:name w:val="footnote reference"/>
    <w:basedOn w:val="Numatytasispastraiposriftas"/>
    <w:uiPriority w:val="99"/>
    <w:semiHidden/>
    <w:unhideWhenUsed/>
    <w:rsid w:val="00B01BB4"/>
    <w:rPr>
      <w:vertAlign w:val="superscript"/>
    </w:rPr>
  </w:style>
  <w:style w:type="paragraph" w:customStyle="1" w:styleId="Dainiausstilius">
    <w:name w:val="Dainiaus stilius"/>
    <w:basedOn w:val="prastasis"/>
    <w:qFormat/>
    <w:rsid w:val="00DF4CCF"/>
    <w:pPr>
      <w:ind w:firstLine="567"/>
      <w:jc w:val="both"/>
    </w:pPr>
    <w:rPr>
      <w:rFonts w:eastAsia="Calibri"/>
      <w:szCs w:val="22"/>
    </w:rPr>
  </w:style>
  <w:style w:type="paragraph" w:styleId="Sraopastraipa">
    <w:name w:val="List Paragraph"/>
    <w:basedOn w:val="prastasis"/>
    <w:uiPriority w:val="34"/>
    <w:qFormat/>
    <w:rsid w:val="00FB5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4569">
      <w:bodyDiv w:val="1"/>
      <w:marLeft w:val="0"/>
      <w:marRight w:val="0"/>
      <w:marTop w:val="0"/>
      <w:marBottom w:val="0"/>
      <w:divBdr>
        <w:top w:val="none" w:sz="0" w:space="0" w:color="auto"/>
        <w:left w:val="none" w:sz="0" w:space="0" w:color="auto"/>
        <w:bottom w:val="none" w:sz="0" w:space="0" w:color="auto"/>
        <w:right w:val="none" w:sz="0" w:space="0" w:color="auto"/>
      </w:divBdr>
      <w:divsChild>
        <w:div w:id="322465903">
          <w:marLeft w:val="0"/>
          <w:marRight w:val="0"/>
          <w:marTop w:val="0"/>
          <w:marBottom w:val="0"/>
          <w:divBdr>
            <w:top w:val="none" w:sz="0" w:space="0" w:color="auto"/>
            <w:left w:val="none" w:sz="0" w:space="0" w:color="auto"/>
            <w:bottom w:val="none" w:sz="0" w:space="0" w:color="auto"/>
            <w:right w:val="none" w:sz="0" w:space="0" w:color="auto"/>
          </w:divBdr>
        </w:div>
        <w:div w:id="101150792">
          <w:marLeft w:val="0"/>
          <w:marRight w:val="0"/>
          <w:marTop w:val="0"/>
          <w:marBottom w:val="0"/>
          <w:divBdr>
            <w:top w:val="none" w:sz="0" w:space="0" w:color="auto"/>
            <w:left w:val="none" w:sz="0" w:space="0" w:color="auto"/>
            <w:bottom w:val="none" w:sz="0" w:space="0" w:color="auto"/>
            <w:right w:val="none" w:sz="0" w:space="0" w:color="auto"/>
          </w:divBdr>
        </w:div>
        <w:div w:id="536816834">
          <w:marLeft w:val="0"/>
          <w:marRight w:val="0"/>
          <w:marTop w:val="0"/>
          <w:marBottom w:val="0"/>
          <w:divBdr>
            <w:top w:val="none" w:sz="0" w:space="0" w:color="auto"/>
            <w:left w:val="none" w:sz="0" w:space="0" w:color="auto"/>
            <w:bottom w:val="none" w:sz="0" w:space="0" w:color="auto"/>
            <w:right w:val="none" w:sz="0" w:space="0" w:color="auto"/>
          </w:divBdr>
        </w:div>
        <w:div w:id="346910982">
          <w:marLeft w:val="0"/>
          <w:marRight w:val="0"/>
          <w:marTop w:val="0"/>
          <w:marBottom w:val="0"/>
          <w:divBdr>
            <w:top w:val="none" w:sz="0" w:space="0" w:color="auto"/>
            <w:left w:val="none" w:sz="0" w:space="0" w:color="auto"/>
            <w:bottom w:val="none" w:sz="0" w:space="0" w:color="auto"/>
            <w:right w:val="none" w:sz="0" w:space="0" w:color="auto"/>
          </w:divBdr>
        </w:div>
        <w:div w:id="194079906">
          <w:marLeft w:val="0"/>
          <w:marRight w:val="0"/>
          <w:marTop w:val="0"/>
          <w:marBottom w:val="0"/>
          <w:divBdr>
            <w:top w:val="none" w:sz="0" w:space="0" w:color="auto"/>
            <w:left w:val="none" w:sz="0" w:space="0" w:color="auto"/>
            <w:bottom w:val="none" w:sz="0" w:space="0" w:color="auto"/>
            <w:right w:val="none" w:sz="0" w:space="0" w:color="auto"/>
          </w:divBdr>
        </w:div>
        <w:div w:id="528108246">
          <w:marLeft w:val="0"/>
          <w:marRight w:val="0"/>
          <w:marTop w:val="0"/>
          <w:marBottom w:val="0"/>
          <w:divBdr>
            <w:top w:val="none" w:sz="0" w:space="0" w:color="auto"/>
            <w:left w:val="none" w:sz="0" w:space="0" w:color="auto"/>
            <w:bottom w:val="none" w:sz="0" w:space="0" w:color="auto"/>
            <w:right w:val="none" w:sz="0" w:space="0" w:color="auto"/>
          </w:divBdr>
        </w:div>
        <w:div w:id="583952599">
          <w:marLeft w:val="0"/>
          <w:marRight w:val="0"/>
          <w:marTop w:val="0"/>
          <w:marBottom w:val="0"/>
          <w:divBdr>
            <w:top w:val="none" w:sz="0" w:space="0" w:color="auto"/>
            <w:left w:val="none" w:sz="0" w:space="0" w:color="auto"/>
            <w:bottom w:val="none" w:sz="0" w:space="0" w:color="auto"/>
            <w:right w:val="none" w:sz="0" w:space="0" w:color="auto"/>
          </w:divBdr>
        </w:div>
        <w:div w:id="469178240">
          <w:marLeft w:val="0"/>
          <w:marRight w:val="0"/>
          <w:marTop w:val="0"/>
          <w:marBottom w:val="0"/>
          <w:divBdr>
            <w:top w:val="none" w:sz="0" w:space="0" w:color="auto"/>
            <w:left w:val="none" w:sz="0" w:space="0" w:color="auto"/>
            <w:bottom w:val="none" w:sz="0" w:space="0" w:color="auto"/>
            <w:right w:val="none" w:sz="0" w:space="0" w:color="auto"/>
          </w:divBdr>
        </w:div>
        <w:div w:id="503710981">
          <w:marLeft w:val="0"/>
          <w:marRight w:val="0"/>
          <w:marTop w:val="0"/>
          <w:marBottom w:val="0"/>
          <w:divBdr>
            <w:top w:val="none" w:sz="0" w:space="0" w:color="auto"/>
            <w:left w:val="none" w:sz="0" w:space="0" w:color="auto"/>
            <w:bottom w:val="none" w:sz="0" w:space="0" w:color="auto"/>
            <w:right w:val="none" w:sz="0" w:space="0" w:color="auto"/>
          </w:divBdr>
        </w:div>
        <w:div w:id="437287793">
          <w:marLeft w:val="0"/>
          <w:marRight w:val="0"/>
          <w:marTop w:val="0"/>
          <w:marBottom w:val="0"/>
          <w:divBdr>
            <w:top w:val="none" w:sz="0" w:space="0" w:color="auto"/>
            <w:left w:val="none" w:sz="0" w:space="0" w:color="auto"/>
            <w:bottom w:val="none" w:sz="0" w:space="0" w:color="auto"/>
            <w:right w:val="none" w:sz="0" w:space="0" w:color="auto"/>
          </w:divBdr>
        </w:div>
        <w:div w:id="1079328348">
          <w:marLeft w:val="0"/>
          <w:marRight w:val="0"/>
          <w:marTop w:val="0"/>
          <w:marBottom w:val="0"/>
          <w:divBdr>
            <w:top w:val="none" w:sz="0" w:space="0" w:color="auto"/>
            <w:left w:val="none" w:sz="0" w:space="0" w:color="auto"/>
            <w:bottom w:val="none" w:sz="0" w:space="0" w:color="auto"/>
            <w:right w:val="none" w:sz="0" w:space="0" w:color="auto"/>
          </w:divBdr>
        </w:div>
        <w:div w:id="1588151911">
          <w:marLeft w:val="0"/>
          <w:marRight w:val="0"/>
          <w:marTop w:val="0"/>
          <w:marBottom w:val="0"/>
          <w:divBdr>
            <w:top w:val="none" w:sz="0" w:space="0" w:color="auto"/>
            <w:left w:val="none" w:sz="0" w:space="0" w:color="auto"/>
            <w:bottom w:val="none" w:sz="0" w:space="0" w:color="auto"/>
            <w:right w:val="none" w:sz="0" w:space="0" w:color="auto"/>
          </w:divBdr>
        </w:div>
        <w:div w:id="1956787981">
          <w:marLeft w:val="0"/>
          <w:marRight w:val="0"/>
          <w:marTop w:val="0"/>
          <w:marBottom w:val="0"/>
          <w:divBdr>
            <w:top w:val="none" w:sz="0" w:space="0" w:color="auto"/>
            <w:left w:val="none" w:sz="0" w:space="0" w:color="auto"/>
            <w:bottom w:val="none" w:sz="0" w:space="0" w:color="auto"/>
            <w:right w:val="none" w:sz="0" w:space="0" w:color="auto"/>
          </w:divBdr>
        </w:div>
        <w:div w:id="278492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mailto:alvija.vitkauskien&#279;@vrm.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mailto:bendrasisd@vrm.lt" TargetMode="External"
                 Type="http://schemas.openxmlformats.org/officeDocument/2006/relationships/hyperlink"/>
   <Relationship Id="rId9" Target="mailto:virginijus.vaskelis@vrm.lt" TargetMode="External"
                 Type="http://schemas.openxmlformats.org/officeDocument/2006/relationships/hyperlink"/>
</Relationships>
</file>

<file path=word/_rels/footer1.xml.rels><?xml version="1.0" encoding="UTF-8" standalone="yes"?>
<Relationships xmlns="http://schemas.openxmlformats.org/package/2006/relationships">
   <Relationship Id="rId1" Target="media/image2.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2419</Words>
  <Characters>1380</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3792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2020-05-21T12:33:00Z</dcterms:created>
  <dc:creator>m05493</dc:creator>
  <cp:lastModifiedBy>Laura Juchnienė</cp:lastModifiedBy>
  <cp:lastPrinted>2017-02-21T13:41:00Z</cp:lastPrinted>
  <dcterms:modified xsi:type="dcterms:W3CDTF">2020-05-21T12:33:00Z</dcterms:modified>
  <cp:revision>2</cp:revision>
</cp:coreProperties>
</file>