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0c7b2d47221c4ac39ed9bb8c0277c648"/>
        <w:lock w:val="sdtLocked"/>
        <w:richText/>
      </w:sdtPr>
      <w:sdtContent>
        <w:p>
          <w:pPr>
            <w:widowControl w:val="0"/>
            <w:suppressAutoHyphens/>
            <w:overflowPunct w:val="0"/>
            <w:ind w:left="7344" w:firstLine="996"/>
            <w:jc w:val="center"/>
            <w:textAlignment w:val="baseline"/>
            <w:rPr>
              <w:b/>
              <w:kern w:val="3"/>
              <w:szCs w:val="22"/>
            </w:rPr>
          </w:pPr>
          <w:r>
            <w:rPr>
              <w:b/>
              <w:kern w:val="3"/>
              <w:szCs w:val="22"/>
            </w:rPr>
            <w:t>Projektas</w:t>
          </w:r>
        </w:p>
        <w:p>
          <w:pPr>
            <w:widowControl w:val="0"/>
            <w:suppressAutoHyphens/>
            <w:overflowPunct w:val="0"/>
            <w:ind w:firstLine="1296"/>
            <w:jc w:val="center"/>
            <w:textAlignment w:val="baseline"/>
            <w:rPr>
              <w:rFonts w:ascii="Calibri" w:hAnsi="Calibri"/>
              <w:kern w:val="3"/>
              <w:sz w:val="22"/>
              <w:szCs w:val="22"/>
            </w:rPr>
          </w:pPr>
        </w:p>
        <w:p>
          <w:pPr>
            <w:widowControl w:val="0"/>
            <w:suppressAutoHyphens/>
            <w:overflowPunct w:val="0"/>
            <w:jc w:val="center"/>
            <w:textAlignment w:val="baseline"/>
            <w:rPr>
              <w:rFonts w:ascii="Calibri" w:hAnsi="Calibri"/>
              <w:kern w:val="3"/>
              <w:sz w:val="22"/>
              <w:szCs w:val="22"/>
            </w:rPr>
          </w:pPr>
          <w:r>
            <w:rPr>
              <w:b/>
              <w:kern w:val="3"/>
              <w:szCs w:val="22"/>
            </w:rPr>
            <w:t>LIETUVOS RESPUBLIKOS</w:t>
          </w:r>
        </w:p>
        <w:p>
          <w:pPr>
            <w:widowControl w:val="0"/>
            <w:suppressAutoHyphens/>
            <w:overflowPunct w:val="0"/>
            <w:jc w:val="center"/>
            <w:textAlignment w:val="baseline"/>
            <w:rPr>
              <w:b/>
              <w:kern w:val="3"/>
              <w:szCs w:val="22"/>
            </w:rPr>
          </w:pPr>
          <w:r>
            <w:rPr>
              <w:b/>
              <w:kern w:val="3"/>
              <w:szCs w:val="22"/>
            </w:rPr>
            <w:t>BAUDŽIAMOJO PROCESO KODEKSO PAPILDYMO 8</w:t>
          </w:r>
          <w:r>
            <w:rPr>
              <w:b/>
              <w:kern w:val="3"/>
              <w:szCs w:val="22"/>
              <w:vertAlign w:val="superscript"/>
            </w:rPr>
            <w:t>2</w:t>
          </w:r>
          <w:r>
            <w:rPr>
              <w:b/>
              <w:kern w:val="3"/>
              <w:szCs w:val="22"/>
            </w:rPr>
            <w:t xml:space="preserve"> STRAIPSNIU</w:t>
          </w:r>
        </w:p>
        <w:p>
          <w:pPr>
            <w:widowControl w:val="0"/>
            <w:suppressAutoHyphens/>
            <w:overflowPunct w:val="0"/>
            <w:jc w:val="center"/>
            <w:textAlignment w:val="baseline"/>
            <w:rPr>
              <w:rFonts w:ascii="Calibri" w:hAnsi="Calibri"/>
              <w:kern w:val="3"/>
              <w:sz w:val="22"/>
              <w:szCs w:val="22"/>
            </w:rPr>
          </w:pPr>
          <w:r>
            <w:rPr>
              <w:b/>
              <w:kern w:val="3"/>
              <w:szCs w:val="22"/>
            </w:rPr>
            <w:t>ĮSTATYMAS</w:t>
          </w:r>
        </w:p>
        <w:p>
          <w:pPr>
            <w:widowControl w:val="0"/>
            <w:suppressAutoHyphens/>
            <w:overflowPunct w:val="0"/>
            <w:jc w:val="center"/>
            <w:textAlignment w:val="baseline"/>
            <w:rPr>
              <w:rFonts w:ascii="Calibri" w:hAnsi="Calibri"/>
              <w:kern w:val="3"/>
              <w:sz w:val="22"/>
              <w:szCs w:val="22"/>
            </w:rPr>
          </w:pPr>
        </w:p>
        <w:p>
          <w:pPr>
            <w:widowControl w:val="0"/>
            <w:suppressAutoHyphens/>
            <w:overflowPunct w:val="0"/>
            <w:jc w:val="center"/>
            <w:textAlignment w:val="baseline"/>
            <w:rPr>
              <w:rFonts w:ascii="Calibri" w:hAnsi="Calibri"/>
              <w:kern w:val="3"/>
              <w:sz w:val="22"/>
              <w:szCs w:val="22"/>
            </w:rPr>
          </w:pPr>
          <w:r>
            <w:rPr>
              <w:kern w:val="3"/>
              <w:szCs w:val="22"/>
            </w:rPr>
            <w:t>2020 m.</w:t>
            <w:tab/>
            <w:tab/>
            <w:tab/>
            <w:t>d. Nr.</w:t>
          </w:r>
        </w:p>
        <w:p>
          <w:pPr>
            <w:widowControl w:val="0"/>
            <w:suppressAutoHyphens/>
            <w:overflowPunct w:val="0"/>
            <w:jc w:val="center"/>
            <w:textAlignment w:val="baseline"/>
            <w:rPr>
              <w:rFonts w:ascii="Calibri" w:hAnsi="Calibri"/>
              <w:kern w:val="3"/>
              <w:sz w:val="22"/>
              <w:szCs w:val="22"/>
            </w:rPr>
          </w:pPr>
          <w:r>
            <w:rPr>
              <w:kern w:val="3"/>
              <w:szCs w:val="22"/>
            </w:rPr>
            <w:t>Vilnius</w:t>
          </w:r>
        </w:p>
        <w:p>
          <w:pPr>
            <w:widowControl w:val="0"/>
            <w:suppressAutoHyphens/>
            <w:overflowPunct w:val="0"/>
            <w:textAlignment w:val="baseline"/>
            <w:rPr>
              <w:rFonts w:ascii="Calibri" w:hAnsi="Calibri"/>
              <w:kern w:val="3"/>
              <w:sz w:val="22"/>
              <w:szCs w:val="22"/>
            </w:rPr>
          </w:pPr>
        </w:p>
        <w:sdt>
          <w:sdtPr>
            <w:alias w:val="1 str."/>
            <w:tag w:val="part_3d1af62a96d34bf8975906d45a5d4b85"/>
            <w:lock w:val="sdtLocked"/>
            <w:richText/>
          </w:sdtPr>
          <w:sdtContent>
            <w:p>
              <w:pPr>
                <w:widowControl w:val="0"/>
                <w:suppressAutoHyphens/>
                <w:overflowPunct w:val="0"/>
                <w:ind w:firstLine="709"/>
                <w:jc w:val="both"/>
                <w:textAlignment w:val="baseline"/>
                <w:rPr>
                  <w:rFonts w:ascii="Calibri" w:hAnsi="Calibri"/>
                  <w:kern w:val="3"/>
                  <w:sz w:val="22"/>
                  <w:szCs w:val="22"/>
                </w:rPr>
              </w:pPr>
              <w:sdt>
                <w:sdtPr>
                  <w:alias w:val="Numeris"/>
                  <w:tag w:val="nr_3d1af62a96d34bf8975906d45a5d4b85"/>
                  <w:lock w:val="sdtLocked"/>
                  <w:richText/>
                </w:sdtPr>
                <w:sdtContent>
                  <w:r>
                    <w:rPr>
                      <w:b/>
                      <w:kern w:val="3"/>
                      <w:szCs w:val="22"/>
                    </w:rPr>
                    <w:t>1</w:t>
                  </w:r>
                </w:sdtContent>
              </w:sdt>
              <w:r>
                <w:rPr>
                  <w:b/>
                  <w:kern w:val="3"/>
                  <w:szCs w:val="22"/>
                </w:rPr>
                <w:t xml:space="preserve"> straipsnis. </w:t>
              </w:r>
              <w:sdt>
                <w:sdtPr>
                  <w:alias w:val="Pavadinimas"/>
                  <w:tag w:val="title_3d1af62a96d34bf8975906d45a5d4b85"/>
                  <w:lock w:val="sdtLocked"/>
                  <w:richText/>
                </w:sdtPr>
                <w:sdtContent>
                  <w:r>
                    <w:rPr>
                      <w:b/>
                      <w:kern w:val="3"/>
                      <w:szCs w:val="22"/>
                    </w:rPr>
                    <w:t>Kodekso papildymas 8</w:t>
                  </w:r>
                  <w:r>
                    <w:rPr>
                      <w:b/>
                      <w:kern w:val="3"/>
                      <w:szCs w:val="22"/>
                      <w:vertAlign w:val="superscript"/>
                    </w:rPr>
                    <w:t>2</w:t>
                  </w:r>
                  <w:r>
                    <w:rPr>
                      <w:b/>
                      <w:kern w:val="3"/>
                      <w:szCs w:val="22"/>
                    </w:rPr>
                    <w:t xml:space="preserve"> straipsniu</w:t>
                  </w:r>
                </w:sdtContent>
              </w:sdt>
            </w:p>
            <w:sdt>
              <w:sdtPr>
                <w:alias w:val="1 str. 1 d."/>
                <w:tag w:val="part_8aee3f3fad4341daa4a392010678c9b2"/>
                <w:lock w:val="sdtLocked"/>
                <w:richText/>
              </w:sdtPr>
              <w:sdtContent>
                <w:p>
                  <w:pPr>
                    <w:widowControl w:val="0"/>
                    <w:suppressAutoHyphens/>
                    <w:overflowPunct w:val="0"/>
                    <w:ind w:firstLine="709"/>
                    <w:jc w:val="both"/>
                    <w:textAlignment w:val="baseline"/>
                    <w:rPr>
                      <w:kern w:val="3"/>
                      <w:szCs w:val="22"/>
                    </w:rPr>
                  </w:pPr>
                  <w:r>
                    <w:rPr>
                      <w:kern w:val="3"/>
                      <w:szCs w:val="22"/>
                    </w:rPr>
                    <w:t>Papildyti Kodeksą 8</w:t>
                  </w:r>
                  <w:r>
                    <w:rPr>
                      <w:kern w:val="3"/>
                      <w:szCs w:val="22"/>
                      <w:vertAlign w:val="superscript"/>
                    </w:rPr>
                    <w:t>2</w:t>
                  </w:r>
                  <w:r>
                    <w:rPr>
                      <w:kern w:val="3"/>
                      <w:szCs w:val="22"/>
                    </w:rPr>
                    <w:t xml:space="preserve"> straipsniu:</w:t>
                  </w:r>
                </w:p>
                <w:sdt>
                  <w:sdtPr>
                    <w:alias w:val="citata"/>
                    <w:tag w:val="part_f69745370aa94447839181600ef26584"/>
                    <w:lock w:val="sdtLocked"/>
                    <w:richText/>
                  </w:sdtPr>
                  <w:sdtContent>
                    <w:sdt>
                      <w:sdtPr>
                        <w:alias w:val="8-2 str."/>
                        <w:tag w:val="part_f88a24cf30e04d9ea034a93d0dc8a0bf"/>
                        <w:lock w:val="sdtLocked"/>
                        <w:richText/>
                      </w:sdtPr>
                      <w:sdtContent>
                        <w:p>
                          <w:pPr>
                            <w:widowControl w:val="0"/>
                            <w:suppressAutoHyphens/>
                            <w:overflowPunct w:val="0"/>
                            <w:ind w:left="2410" w:hanging="1701"/>
                            <w:jc w:val="both"/>
                            <w:textAlignment w:val="baseline"/>
                            <w:rPr>
                              <w:b/>
                              <w:kern w:val="3"/>
                              <w:szCs w:val="24"/>
                            </w:rPr>
                          </w:pPr>
                          <w:r>
                            <w:rPr>
                              <w:b/>
                              <w:kern w:val="3"/>
                              <w:szCs w:val="24"/>
                            </w:rPr>
                            <w:t>„</w:t>
                          </w:r>
                          <w:sdt>
                            <w:sdtPr>
                              <w:alias w:val="Numeris"/>
                              <w:tag w:val="nr_f88a24cf30e04d9ea034a93d0dc8a0bf"/>
                              <w:lock w:val="sdtLocked"/>
                              <w:richText/>
                            </w:sdtPr>
                            <w:sdtContent>
                              <w:r>
                                <w:rPr>
                                  <w:b/>
                                  <w:kern w:val="3"/>
                                  <w:szCs w:val="24"/>
                                </w:rPr>
                                <w:t>8</w:t>
                              </w:r>
                              <w:r>
                                <w:rPr>
                                  <w:b/>
                                  <w:kern w:val="3"/>
                                  <w:szCs w:val="24"/>
                                  <w:vertAlign w:val="superscript"/>
                                </w:rPr>
                                <w:t>2</w:t>
                              </w:r>
                            </w:sdtContent>
                          </w:sdt>
                          <w:r>
                            <w:rPr>
                              <w:b/>
                              <w:kern w:val="3"/>
                              <w:szCs w:val="24"/>
                            </w:rPr>
                            <w:t xml:space="preserve"> straipsnis. </w:t>
                          </w:r>
                          <w:sdt>
                            <w:sdtPr>
                              <w:alias w:val="Pavadinimas"/>
                              <w:tag w:val="title_f88a24cf30e04d9ea034a93d0dc8a0bf"/>
                              <w:lock w:val="sdtLocked"/>
                              <w:richText/>
                            </w:sdtPr>
                            <w:sdtContent>
                              <w:r>
                                <w:rPr>
                                  <w:b/>
                                  <w:kern w:val="3"/>
                                  <w:szCs w:val="24"/>
                                </w:rPr>
                                <w:t>Vaizdo konferencijų, telekonferencijų naudojimas ikiteisminiame tyrime ir nagrinėjant bylas teisme</w:t>
                              </w:r>
                            </w:sdtContent>
                          </w:sdt>
                        </w:p>
                        <w:sdt>
                          <w:sdtPr>
                            <w:alias w:val="8-2 str. 1 d."/>
                            <w:tag w:val="part_e98bf9c4655441d3b72459ab48a7c0c1"/>
                            <w:lock w:val="sdtLocked"/>
                            <w:richText/>
                          </w:sdtPr>
                          <w:sdtContent>
                            <w:p>
                              <w:pPr>
                                <w:widowControl w:val="0"/>
                                <w:suppressAutoHyphens/>
                                <w:overflowPunct w:val="0"/>
                                <w:ind w:firstLine="709"/>
                                <w:jc w:val="both"/>
                                <w:textAlignment w:val="baseline"/>
                                <w:rPr>
                                  <w:kern w:val="3"/>
                                  <w:szCs w:val="24"/>
                                </w:rPr>
                              </w:pPr>
                              <w:sdt>
                                <w:sdtPr>
                                  <w:alias w:val="Numeris"/>
                                  <w:tag w:val="nr_e98bf9c4655441d3b72459ab48a7c0c1"/>
                                  <w:lock w:val="sdtLocked"/>
                                  <w:richText/>
                                </w:sdtPr>
                                <w:sdtContent>
                                  <w:r>
                                    <w:rPr>
                                      <w:kern w:val="3"/>
                                      <w:szCs w:val="24"/>
                                    </w:rPr>
                                    <w:t>1</w:t>
                                  </w:r>
                                </w:sdtContent>
                              </w:sdt>
                              <w:r>
                                <w:rPr>
                                  <w:kern w:val="3"/>
                                  <w:szCs w:val="24"/>
                                </w:rPr>
                                <w:t>. Ikiteisminio tyrimo vykdymas, bylų nagrinėjimas ir proceso dalyvių dalyvavimas teismo posėdžiuose gali būti užtikrinami naudojant informacines ir elektroninių ryšių technologijas (per vaizdo konferencijas, telekonferencijas ir kitaip). Naudojant šias technologijas, turi būti užtikrinti patikimas proceso dalyvių tapatybės nustatymas ir duomenų (įrodymų) objektyvus fiksavimas bei pateikimas.</w:t>
                              </w:r>
                            </w:p>
                          </w:sdtContent>
                        </w:sdt>
                        <w:sdt>
                          <w:sdtPr>
                            <w:alias w:val="8-2 str. 2 d."/>
                            <w:tag w:val="part_86bf8e233b564296af79a4c3dd78cbb9"/>
                            <w:lock w:val="sdtLocked"/>
                            <w:richText/>
                          </w:sdtPr>
                          <w:sdtContent>
                            <w:p>
                              <w:pPr>
                                <w:widowControl w:val="0"/>
                                <w:suppressAutoHyphens/>
                                <w:overflowPunct w:val="0"/>
                                <w:ind w:firstLine="709"/>
                                <w:jc w:val="both"/>
                                <w:textAlignment w:val="baseline"/>
                                <w:rPr>
                                  <w:kern w:val="3"/>
                                  <w:szCs w:val="24"/>
                                </w:rPr>
                              </w:pPr>
                              <w:sdt>
                                <w:sdtPr>
                                  <w:alias w:val="Numeris"/>
                                  <w:tag w:val="nr_86bf8e233b564296af79a4c3dd78cbb9"/>
                                  <w:lock w:val="sdtLocked"/>
                                  <w:richText/>
                                </w:sdtPr>
                                <w:sdtContent>
                                  <w:r>
                                    <w:rPr>
                                      <w:kern w:val="3"/>
                                      <w:szCs w:val="24"/>
                                    </w:rPr>
                                    <w:t>2</w:t>
                                  </w:r>
                                </w:sdtContent>
                              </w:sdt>
                              <w:r>
                                <w:rPr>
                                  <w:kern w:val="3"/>
                                  <w:szCs w:val="24"/>
                                </w:rPr>
                                <w:t>. Ikiteisminio tyrimo ar teismo proceso metu, naudojant šio straipsnio 1 dalyje numatytas informacines ir elektroninių ryšių technologijas, visi procesiniai dokumentai įteikiami elektroniniu paštu, faksu arba kitomis proceso dalyvių, kuriems įteikiami procesiniai dokumentai, turimomis elektroninių ryšių priemonėmis, išskyrus atvejus, kai tam nėra techninių galimybių. Įteikiant procesinį dokumentą elektroninių ryšių priemonėmis, procesinio dokumento įteikimo diena laikoma po procesinio dokumento išsiuntimo dienos einanti darbo diena. Apie atliekamus procesinius veiksmus ikiteisminio tyrimo pareigūnas, prokuroras ar teismas proceso dalyviams gali pranešti telefonu ne vėliau kaip likus trims darbo dienoms iki atliekamo procesinio veiksmo pradžios.</w:t>
                              </w:r>
                            </w:p>
                          </w:sdtContent>
                        </w:sdt>
                        <w:sdt>
                          <w:sdtPr>
                            <w:alias w:val="8-2 str. 3 d."/>
                            <w:tag w:val="part_7622c8d8bdbb447390edf34c8ea6a18e"/>
                            <w:lock w:val="sdtLocked"/>
                            <w:richText/>
                          </w:sdtPr>
                          <w:sdtContent>
                            <w:p>
                              <w:pPr>
                                <w:widowControl w:val="0"/>
                                <w:suppressAutoHyphens/>
                                <w:overflowPunct w:val="0"/>
                                <w:ind w:firstLine="709"/>
                                <w:jc w:val="both"/>
                                <w:textAlignment w:val="baseline"/>
                                <w:rPr>
                                  <w:kern w:val="3"/>
                                  <w:szCs w:val="24"/>
                                </w:rPr>
                              </w:pPr>
                              <w:sdt>
                                <w:sdtPr>
                                  <w:alias w:val="Numeris"/>
                                  <w:tag w:val="nr_7622c8d8bdbb447390edf34c8ea6a18e"/>
                                  <w:lock w:val="sdtLocked"/>
                                  <w:richText/>
                                </w:sdtPr>
                                <w:sdtContent>
                                  <w:r>
                                    <w:rPr>
                                      <w:kern w:val="3"/>
                                      <w:szCs w:val="24"/>
                                    </w:rPr>
                                    <w:t>3</w:t>
                                  </w:r>
                                </w:sdtContent>
                              </w:sdt>
                              <w:r>
                                <w:rPr>
                                  <w:kern w:val="3"/>
                                  <w:szCs w:val="24"/>
                                </w:rPr>
                                <w:t xml:space="preserve">. Ikiteisminis tyrimas ir bylų nagrinėjimas teisme, naudojant šio straipsnio 1 dalyje numatytas informacines ir elektroninių ryšių technologijas, vykdomi </w:t>
                              </w:r>
                              <w:r>
                                <w:rPr>
                                  <w:i/>
                                  <w:kern w:val="3"/>
                                  <w:szCs w:val="24"/>
                                  <w:lang w:val="la-Latn"/>
                                </w:rPr>
                                <w:t>mutatis mutandis</w:t>
                              </w:r>
                              <w:r>
                                <w:rPr>
                                  <w:kern w:val="3"/>
                                  <w:szCs w:val="24"/>
                                </w:rPr>
                                <w:t xml:space="preserve"> taikant šiame Kodekse nustatytas taisykles.“</w:t>
                              </w:r>
                            </w:p>
                            <w:p>
                              <w:pPr>
                                <w:widowControl w:val="0"/>
                                <w:suppressAutoHyphens/>
                                <w:overflowPunct w:val="0"/>
                                <w:ind w:firstLine="709"/>
                                <w:jc w:val="both"/>
                                <w:textAlignment w:val="baseline"/>
                                <w:rPr>
                                  <w:kern w:val="3"/>
                                  <w:szCs w:val="22"/>
                                </w:rPr>
                              </w:pPr>
                            </w:p>
                          </w:sdtContent>
                        </w:sdt>
                      </w:sdtContent>
                    </w:sdt>
                  </w:sdtContent>
                </w:sdt>
              </w:sdtContent>
            </w:sdt>
          </w:sdtContent>
        </w:sdt>
        <w:sdt>
          <w:sdtPr>
            <w:alias w:val="2 str."/>
            <w:tag w:val="part_52e687ae350749c8a97c008485b887f2"/>
            <w:lock w:val="sdtLocked"/>
            <w:richText/>
          </w:sdtPr>
          <w:sdtContent>
            <w:p>
              <w:pPr>
                <w:widowControl w:val="0"/>
                <w:suppressAutoHyphens/>
                <w:overflowPunct w:val="0"/>
                <w:ind w:firstLine="709"/>
                <w:jc w:val="both"/>
                <w:rPr>
                  <w:b/>
                  <w:kern w:val="3"/>
                  <w:szCs w:val="22"/>
                </w:rPr>
              </w:pPr>
              <w:sdt>
                <w:sdtPr>
                  <w:alias w:val="Numeris"/>
                  <w:tag w:val="nr_52e687ae350749c8a97c008485b887f2"/>
                  <w:lock w:val="sdtLocked"/>
                  <w:richText/>
                </w:sdtPr>
                <w:sdtContent>
                  <w:r>
                    <w:rPr>
                      <w:b/>
                      <w:kern w:val="3"/>
                      <w:szCs w:val="22"/>
                    </w:rPr>
                    <w:t>2</w:t>
                  </w:r>
                </w:sdtContent>
              </w:sdt>
              <w:r>
                <w:rPr>
                  <w:b/>
                  <w:kern w:val="3"/>
                  <w:szCs w:val="22"/>
                </w:rPr>
                <w:t xml:space="preserve"> straipsnis. </w:t>
              </w:r>
              <w:sdt>
                <w:sdtPr>
                  <w:alias w:val="Pavadinimas"/>
                  <w:tag w:val="title_52e687ae350749c8a97c008485b887f2"/>
                  <w:lock w:val="sdtLocked"/>
                  <w:richText/>
                </w:sdtPr>
                <w:sdtContent>
                  <w:r>
                    <w:rPr>
                      <w:b/>
                      <w:kern w:val="3"/>
                      <w:szCs w:val="22"/>
                    </w:rPr>
                    <w:t>Įstatymo įgyvendinimas</w:t>
                  </w:r>
                </w:sdtContent>
              </w:sdt>
            </w:p>
            <w:sdt>
              <w:sdtPr>
                <w:alias w:val="2 str. 1 d."/>
                <w:tag w:val="part_137f7a6a3341493392f7b1e73798af4f"/>
                <w:lock w:val="sdtLocked"/>
                <w:richText/>
              </w:sdtPr>
              <w:sdtContent>
                <w:p>
                  <w:pPr>
                    <w:widowControl w:val="0"/>
                    <w:suppressAutoHyphens/>
                    <w:overflowPunct w:val="0"/>
                    <w:ind w:firstLine="709"/>
                    <w:jc w:val="both"/>
                    <w:rPr>
                      <w:b/>
                      <w:kern w:val="3"/>
                      <w:szCs w:val="22"/>
                    </w:rPr>
                  </w:pPr>
                  <w:r>
                    <w:rPr>
                      <w:szCs w:val="24"/>
                      <w:lang w:eastAsia="lt-LT"/>
                    </w:rPr>
                    <w:t>Lietuvos Respublikos teisingumo ministras ir Lietuvos Respublikos generalinis prokuroras iki šio įstatymo įsigaliojimo priima šio įstatymo įgyvendinamuosius teisės aktus.</w:t>
                  </w:r>
                </w:p>
                <w:p>
                  <w:pPr>
                    <w:widowControl w:val="0"/>
                    <w:suppressAutoHyphens/>
                    <w:overflowPunct w:val="0"/>
                    <w:spacing w:line="360" w:lineRule="atLeast"/>
                    <w:ind w:firstLine="709"/>
                    <w:jc w:val="both"/>
                    <w:textAlignment w:val="baseline"/>
                    <w:rPr>
                      <w:i/>
                      <w:kern w:val="3"/>
                      <w:szCs w:val="22"/>
                    </w:rPr>
                  </w:pPr>
                </w:p>
              </w:sdtContent>
            </w:sdt>
          </w:sdtContent>
        </w:sdt>
        <w:sdt>
          <w:sdtPr>
            <w:alias w:val="signatura"/>
            <w:tag w:val="part_29f17524d1044c198f4cc177c59d8b05"/>
            <w:lock w:val="sdtLocked"/>
            <w:richText/>
          </w:sdtPr>
          <w:sdtContent>
            <w:p>
              <w:pPr>
                <w:widowControl w:val="0"/>
                <w:suppressAutoHyphens/>
                <w:overflowPunct w:val="0"/>
                <w:spacing w:line="360" w:lineRule="atLeast"/>
                <w:ind w:firstLine="709"/>
                <w:jc w:val="both"/>
                <w:textAlignment w:val="baseline"/>
                <w:rPr>
                  <w:rFonts w:ascii="Calibri" w:hAnsi="Calibri"/>
                  <w:kern w:val="3"/>
                  <w:sz w:val="22"/>
                  <w:szCs w:val="22"/>
                </w:rPr>
              </w:pPr>
              <w:r>
                <w:rPr>
                  <w:i/>
                  <w:kern w:val="3"/>
                  <w:szCs w:val="22"/>
                </w:rPr>
                <w:t>Skelbiu šį Lietuvos Respublikos Seimo priimtą įstatymą</w:t>
              </w:r>
            </w:p>
            <w:p>
              <w:pPr>
                <w:widowControl w:val="0"/>
                <w:suppressAutoHyphens/>
                <w:overflowPunct w:val="0"/>
                <w:spacing w:line="360" w:lineRule="atLeast"/>
                <w:jc w:val="both"/>
                <w:textAlignment w:val="baseline"/>
                <w:rPr>
                  <w:rFonts w:ascii="Calibri" w:hAnsi="Calibri"/>
                  <w:kern w:val="3"/>
                  <w:sz w:val="22"/>
                  <w:szCs w:val="22"/>
                </w:rPr>
              </w:pPr>
            </w:p>
            <w:p>
              <w:pPr>
                <w:widowControl w:val="0"/>
                <w:suppressAutoHyphens/>
                <w:overflowPunct w:val="0"/>
                <w:spacing w:line="360" w:lineRule="atLeast"/>
                <w:jc w:val="both"/>
                <w:textAlignment w:val="baseline"/>
                <w:rPr>
                  <w:rFonts w:ascii="Calibri" w:hAnsi="Calibri"/>
                  <w:kern w:val="3"/>
                  <w:sz w:val="22"/>
                  <w:szCs w:val="22"/>
                </w:rPr>
              </w:pPr>
              <w:r>
                <w:rPr>
                  <w:kern w:val="3"/>
                  <w:szCs w:val="22"/>
                </w:rPr>
                <w:t>Respublikos Prezidentas</w:t>
              </w:r>
            </w:p>
            <w:p>
              <w:pPr>
                <w:widowControl w:val="0"/>
                <w:suppressAutoHyphens/>
                <w:overflowPunct w:val="0"/>
                <w:textAlignment w:val="baseline"/>
                <w:rPr>
                  <w:rFonts w:ascii="Calibri" w:hAnsi="Calibri"/>
                  <w:kern w:val="3"/>
                  <w:sz w:val="22"/>
                  <w:szCs w:val="22"/>
                </w:rPr>
              </w:pPr>
            </w:p>
            <w:p>
              <w:pPr>
                <w:rPr>
                  <w:sz w:val="18"/>
                  <w:szCs w:val="18"/>
                </w:rPr>
              </w:pPr>
            </w:p>
            <w:p>
              <w:pPr>
                <w:widowControl w:val="0"/>
                <w:suppressAutoHyphens/>
                <w:overflowPunct w:val="0"/>
                <w:ind w:firstLine="709"/>
                <w:jc w:val="both"/>
                <w:textAlignment w:val="baseline"/>
                <w:rPr>
                  <w:rFonts w:ascii="Calibri" w:hAnsi="Calibri"/>
                  <w:kern w:val="3"/>
                  <w:sz w:val="22"/>
                  <w:szCs w:val="22"/>
                </w:rPr>
              </w:pPr>
            </w:p>
          </w:sdtContent>
        </w:sdt>
      </w:sdtContent>
    </w:sdt>
    <w:sectPr>
      <w:pgSz w:w="12240" w:h="15840"/>
      <w:pgMar w:top="1440" w:right="1440" w:bottom="1440" w:left="1440" w:header="720" w:footer="720" w:gutter="0"/>
      <w:cols w:space="72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widowControl w:val="0"/>
        <w:suppressAutoHyphens/>
        <w:overflowPunct w:val="0"/>
        <w:textAlignment w:val="baseline"/>
        <w:rPr>
          <w:rFonts w:ascii="Calibri" w:hAnsi="Calibri"/>
          <w:kern w:val="3"/>
          <w:sz w:val="22"/>
          <w:szCs w:val="22"/>
          <w:lang w:val="en-US"/>
        </w:rPr>
      </w:pPr>
      <w:r>
        <w:rPr>
          <w:rFonts w:ascii="Calibri" w:hAnsi="Calibri"/>
          <w:kern w:val="3"/>
          <w:sz w:val="22"/>
          <w:szCs w:val="22"/>
          <w:lang w:val="en-US"/>
        </w:rPr>
        <w:separator/>
      </w:r>
    </w:p>
  </w:endnote>
  <w:endnote w:type="continuationSeparator" w:id="0">
    <w:p>
      <w:pPr>
        <w:widowControl w:val="0"/>
        <w:suppressAutoHyphens/>
        <w:overflowPunct w:val="0"/>
        <w:textAlignment w:val="baseline"/>
        <w:rPr>
          <w:rFonts w:ascii="Calibri" w:hAnsi="Calibri"/>
          <w:kern w:val="3"/>
          <w:sz w:val="22"/>
          <w:szCs w:val="22"/>
          <w:lang w:val="en-US"/>
        </w:rPr>
      </w:pPr>
      <w:r>
        <w:rPr>
          <w:rFonts w:ascii="Calibri" w:hAnsi="Calibri"/>
          <w:kern w:val="3"/>
          <w:sz w:val="22"/>
          <w:szCs w:val="22"/>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widowControl w:val="0"/>
        <w:suppressAutoHyphens/>
        <w:overflowPunct w:val="0"/>
        <w:textAlignment w:val="baseline"/>
        <w:rPr>
          <w:rFonts w:ascii="Calibri" w:hAnsi="Calibri"/>
          <w:kern w:val="3"/>
          <w:sz w:val="22"/>
          <w:szCs w:val="22"/>
          <w:lang w:val="en-US"/>
        </w:rPr>
      </w:pPr>
      <w:r>
        <w:rPr>
          <w:rFonts w:ascii="Calibri" w:hAnsi="Calibri"/>
          <w:color w:val="000000"/>
          <w:kern w:val="3"/>
          <w:sz w:val="22"/>
          <w:szCs w:val="22"/>
          <w:lang w:val="en-US"/>
        </w:rPr>
        <w:separator/>
      </w:r>
    </w:p>
  </w:footnote>
  <w:footnote w:type="continuationSeparator" w:id="0">
    <w:p>
      <w:pPr>
        <w:widowControl w:val="0"/>
        <w:suppressAutoHyphens/>
        <w:overflowPunct w:val="0"/>
        <w:textAlignment w:val="baseline"/>
        <w:rPr>
          <w:rFonts w:ascii="Calibri" w:hAnsi="Calibri"/>
          <w:kern w:val="3"/>
          <w:sz w:val="22"/>
          <w:szCs w:val="22"/>
          <w:lang w:val="en-US"/>
        </w:rPr>
      </w:pPr>
      <w:r>
        <w:rPr>
          <w:rFonts w:ascii="Calibri" w:hAnsi="Calibri"/>
          <w:kern w:val="3"/>
          <w:sz w:val="22"/>
          <w:szCs w:val="22"/>
          <w:lang w:val="en-US"/>
        </w:rPr>
        <w:continuationSeparator/>
      </w: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3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5204652">
      <w:bodyDiv w:val="1"/>
      <w:marLeft w:val="0"/>
      <w:marRight w:val="0"/>
      <w:marTop w:val="0"/>
      <w:marBottom w:val="0"/>
      <w:divBdr>
        <w:top w:val="none" w:sz="0" w:space="0" w:color="auto"/>
        <w:left w:val="none" w:sz="0" w:space="0" w:color="auto"/>
        <w:bottom w:val="none" w:sz="0" w:space="0" w:color="auto"/>
        <w:right w:val="none" w:sz="0" w:space="0" w:color="auto"/>
      </w:divBdr>
      <w:divsChild>
        <w:div w:id="647902158">
          <w:marLeft w:val="0"/>
          <w:marRight w:val="0"/>
          <w:marTop w:val="0"/>
          <w:marBottom w:val="0"/>
          <w:divBdr>
            <w:top w:val="none" w:sz="0" w:space="0" w:color="auto"/>
            <w:left w:val="none" w:sz="0" w:space="0" w:color="auto"/>
            <w:bottom w:val="none" w:sz="0" w:space="0" w:color="auto"/>
            <w:right w:val="none" w:sz="0" w:space="0" w:color="auto"/>
          </w:divBdr>
          <w:divsChild>
            <w:div w:id="1985696708">
              <w:marLeft w:val="0"/>
              <w:marRight w:val="0"/>
              <w:marTop w:val="0"/>
              <w:marBottom w:val="0"/>
              <w:divBdr>
                <w:top w:val="none" w:sz="0" w:space="0" w:color="auto"/>
                <w:left w:val="none" w:sz="0" w:space="0" w:color="auto"/>
                <w:bottom w:val="none" w:sz="0" w:space="0" w:color="auto"/>
                <w:right w:val="none" w:sz="0" w:space="0" w:color="auto"/>
              </w:divBdr>
              <w:divsChild>
                <w:div w:id="1859461694">
                  <w:marLeft w:val="0"/>
                  <w:marRight w:val="0"/>
                  <w:marTop w:val="0"/>
                  <w:marBottom w:val="0"/>
                  <w:divBdr>
                    <w:top w:val="none" w:sz="0" w:space="0" w:color="auto"/>
                    <w:left w:val="none" w:sz="0" w:space="0" w:color="auto"/>
                    <w:bottom w:val="none" w:sz="0" w:space="0" w:color="auto"/>
                    <w:right w:val="none" w:sz="0" w:space="0" w:color="auto"/>
                  </w:divBdr>
                </w:div>
                <w:div w:id="6246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6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 Id="rId9"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ee63d8130b8346cfa934b68f26284e68" PartId="0c7b2d47221c4ac39ed9bb8c0277c648">
    <Part Type="straipsnis" Nr="1" Abbr="1 str." Title="Kodekso papildymas 8² straipsniu" DocPartId="8dcd3a39e24144379f1f17baae1d2fe7" PartId="3d1af62a96d34bf8975906d45a5d4b85">
      <Part Type="strDalis" Nr="1" Abbr="1 str. 1 d." DocPartId="eaba5953c2de45ad9cb09b437a4b5c85" PartId="8aee3f3fad4341daa4a392010678c9b2">
        <Part Type="citata" DocPartId="408bc01afa3049d38ed1c5ee17dbfe0b" PartId="f69745370aa94447839181600ef26584">
          <Part Type="straipsnis" Nr="8-2" Abbr="8-2 str." Title="Vaizdo konferencijų, telekonferencijų naudojimas ikiteisminiame tyrime ir nagrinėjant bylas teisme" DocPartId="a9a77f7cc9444346a9151f09861426b6" PartId="f88a24cf30e04d9ea034a93d0dc8a0bf">
            <Part Type="strDalis" Nr="1" Abbr="8-2 str. 1 d." DocPartId="53be6dbb5ff4427398e3dc0222af99eb" PartId="e98bf9c4655441d3b72459ab48a7c0c1"/>
            <Part Type="strDalis" Nr="2" Abbr="8-2 str. 2 d." DocPartId="7a867c21f8474e99bc89099aed2889ac" PartId="86bf8e233b564296af79a4c3dd78cbb9"/>
            <Part Type="strDalis" Nr="3" Abbr="8-2 str. 3 d." DocPartId="3cdb83f274824a459a41865ab5c79085" PartId="7622c8d8bdbb447390edf34c8ea6a18e"/>
          </Part>
        </Part>
      </Part>
    </Part>
    <Part Type="straipsnis" Nr="2" Abbr="2 str." Title="Įstatymo įgyvendinimas" DocPartId="cd81d686181448319988040f71849fe6" PartId="52e687ae350749c8a97c008485b887f2">
      <Part Type="strDalis" Nr="1" Abbr="2 str. 1 d." DocPartId="49bf64edf0e741a081ffd1498327fb23" PartId="137f7a6a3341493392f7b1e73798af4f"/>
    </Part>
    <Part Type="signatura" DocPartId="a913aa118ff44ba29ce81d6264f38daa" PartId="29f17524d1044c198f4cc177c59d8b05"/>
  </Part>
</Parts>
</file>

<file path=customXml/itemProps1.xml><?xml version="1.0" encoding="utf-8"?>
<ds:datastoreItem xmlns:ds="http://schemas.openxmlformats.org/officeDocument/2006/customXml" ds:itemID="{D9D1F67D-52B6-48AC-B4D1-6A40B21514B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1747</Characters>
  <Application>Microsoft Office Word</Application>
  <DocSecurity>4</DocSecurity>
  <Lines>39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2020-04-09T09:11:00Z</dcterms:created>
  <dc:creator>Tautvydas Žėkas</dc:creator>
  <cp:lastModifiedBy>Asseco</cp:lastModifiedBy>
  <cp:lastPrinted>2017-02-06T10:31:00Z</cp:lastPrinted>
  <dcterms:modified xsi:type="dcterms:W3CDTF">2020-04-09T09:11:00Z</dcterms:modified>
  <cp:revision>2</cp:revision>
</cp:coreProperties>
</file>