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A60FE" w14:textId="77777777" w:rsidR="003D12B4" w:rsidRPr="002C1F58" w:rsidRDefault="003D12B4" w:rsidP="003D12B4">
      <w:pPr>
        <w:rPr>
          <w:b/>
          <w:color w:val="000000"/>
          <w:sz w:val="22"/>
          <w:szCs w:val="22"/>
        </w:rPr>
      </w:pPr>
    </w:p>
    <w:p w14:paraId="6EEA60FF" w14:textId="77777777" w:rsidR="003D12B4" w:rsidRPr="002C1F58" w:rsidRDefault="003D12B4" w:rsidP="003D12B4">
      <w:pPr>
        <w:jc w:val="center"/>
        <w:rPr>
          <w:b/>
          <w:color w:val="000000"/>
          <w:sz w:val="22"/>
          <w:szCs w:val="22"/>
        </w:rPr>
      </w:pPr>
      <w:r w:rsidRPr="002C1F58">
        <w:rPr>
          <w:b/>
          <w:color w:val="000000"/>
          <w:sz w:val="22"/>
          <w:szCs w:val="22"/>
        </w:rPr>
        <w:t>NUMATOMO TEISINIO REGULIAVIMO POVEIKIO VERTINIMO PAŽYM</w:t>
      </w:r>
      <w:r w:rsidR="000942D4" w:rsidRPr="002C1F58">
        <w:rPr>
          <w:b/>
          <w:color w:val="000000"/>
          <w:sz w:val="22"/>
          <w:szCs w:val="22"/>
        </w:rPr>
        <w:t>A</w:t>
      </w:r>
    </w:p>
    <w:p w14:paraId="6EEA6100" w14:textId="77777777" w:rsidR="003D12B4" w:rsidRPr="002C1F58" w:rsidRDefault="003D12B4" w:rsidP="003D12B4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0"/>
        <w:gridCol w:w="7087"/>
      </w:tblGrid>
      <w:tr w:rsidR="003D12B4" w:rsidRPr="002C1F58" w14:paraId="6EEA6103" w14:textId="77777777" w:rsidTr="00DF3675">
        <w:tc>
          <w:tcPr>
            <w:tcW w:w="2235" w:type="dxa"/>
            <w:shd w:val="clear" w:color="auto" w:fill="DBE5F1"/>
            <w:hideMark/>
          </w:tcPr>
          <w:p w14:paraId="6EEA6101" w14:textId="77777777" w:rsidR="003D12B4" w:rsidRPr="002C1F58" w:rsidRDefault="003D12B4" w:rsidP="00DF3675">
            <w:pPr>
              <w:rPr>
                <w:sz w:val="22"/>
                <w:szCs w:val="22"/>
                <w:shd w:val="clear" w:color="auto" w:fill="DBE5F1"/>
              </w:rPr>
            </w:pPr>
            <w:r w:rsidRPr="002C1F58">
              <w:rPr>
                <w:b/>
                <w:sz w:val="22"/>
                <w:szCs w:val="22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6EEA6102" w14:textId="5DBA76C8" w:rsidR="003D12B4" w:rsidRPr="002C1F58" w:rsidRDefault="00004BF7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Dėl Lietuvos Respublikos Vyriausybės 2010 m. birželio 7 d. nutarimo </w:t>
            </w:r>
            <w:r w:rsidR="000721A2" w:rsidRPr="002C1F58">
              <w:rPr>
                <w:sz w:val="22"/>
                <w:szCs w:val="22"/>
              </w:rPr>
              <w:br/>
            </w:r>
            <w:r w:rsidRPr="002C1F58">
              <w:rPr>
                <w:sz w:val="22"/>
                <w:szCs w:val="22"/>
              </w:rPr>
              <w:t xml:space="preserve">Nr. 716 </w:t>
            </w:r>
            <w:r w:rsidR="006E5696" w:rsidRPr="002C1F58">
              <w:rPr>
                <w:sz w:val="22"/>
                <w:szCs w:val="22"/>
              </w:rPr>
              <w:t>„</w:t>
            </w:r>
            <w:r w:rsidRPr="002C1F58">
              <w:rPr>
                <w:sz w:val="22"/>
                <w:szCs w:val="22"/>
              </w:rPr>
              <w:t xml:space="preserve">Dėl </w:t>
            </w:r>
            <w:r w:rsidR="000942D4" w:rsidRPr="002C1F58">
              <w:rPr>
                <w:sz w:val="22"/>
                <w:szCs w:val="22"/>
              </w:rPr>
              <w:t>Nuostolių</w:t>
            </w:r>
            <w:r w:rsidRPr="002C1F58">
              <w:rPr>
                <w:sz w:val="22"/>
                <w:szCs w:val="22"/>
              </w:rPr>
              <w:t>, patirtų vykdant viešųjų paslaugų įsipareigojimą, kompensavimo tvarkos aprašo patvirtinimo ir Lietuvos Respublikos Vyriausybės 2004 m. rugpjūčio 19 d. nutarimo Nr. 1036 „Dėl įgaliojimų suteikimo“ pakeitimo“ pakeitimo</w:t>
            </w:r>
          </w:p>
        </w:tc>
      </w:tr>
    </w:tbl>
    <w:p w14:paraId="6EEA6104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8"/>
        <w:gridCol w:w="7099"/>
      </w:tblGrid>
      <w:tr w:rsidR="003D12B4" w:rsidRPr="002C1F58" w14:paraId="6EEA6107" w14:textId="77777777" w:rsidTr="00DF3675">
        <w:tc>
          <w:tcPr>
            <w:tcW w:w="2235" w:type="dxa"/>
            <w:shd w:val="clear" w:color="auto" w:fill="DBE5F1"/>
            <w:hideMark/>
          </w:tcPr>
          <w:p w14:paraId="6EEA6105" w14:textId="77777777" w:rsidR="003D12B4" w:rsidRPr="002C1F58" w:rsidRDefault="003D12B4" w:rsidP="00DF3675">
            <w:pPr>
              <w:rPr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6EEA6106" w14:textId="77777777" w:rsidR="003D12B4" w:rsidRPr="002C1F58" w:rsidRDefault="000942D4" w:rsidP="00DF3675">
            <w:pPr>
              <w:jc w:val="both"/>
              <w:rPr>
                <w:b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Lietuvos Respublikos s</w:t>
            </w:r>
            <w:r w:rsidR="006E5696" w:rsidRPr="002C1F58">
              <w:rPr>
                <w:sz w:val="22"/>
                <w:szCs w:val="22"/>
              </w:rPr>
              <w:t>usisiekimo ministerija</w:t>
            </w:r>
          </w:p>
        </w:tc>
      </w:tr>
    </w:tbl>
    <w:p w14:paraId="6EEA6108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5"/>
        <w:gridCol w:w="7102"/>
      </w:tblGrid>
      <w:tr w:rsidR="003D12B4" w:rsidRPr="002C1F58" w14:paraId="6EEA610C" w14:textId="77777777" w:rsidTr="00DF3675">
        <w:tc>
          <w:tcPr>
            <w:tcW w:w="2235" w:type="dxa"/>
            <w:shd w:val="clear" w:color="auto" w:fill="DBE5F1"/>
            <w:hideMark/>
          </w:tcPr>
          <w:p w14:paraId="6EEA6109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6EEA610A" w14:textId="77777777" w:rsidR="00004BF7" w:rsidRPr="002C1F58" w:rsidRDefault="00004BF7" w:rsidP="00004BF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Nutarimo projekto tikslas – pakeisti Nuostolių, patirtų vykdant viešųjų paslaugų įsipareigojimą, kompensavimo tvarkos aprašą, išdėstant jį nauja redakcija.</w:t>
            </w:r>
          </w:p>
          <w:p w14:paraId="6EEA610B" w14:textId="500DE687" w:rsidR="003D12B4" w:rsidRPr="002C1F58" w:rsidRDefault="00004BF7" w:rsidP="00004BF7">
            <w:pPr>
              <w:jc w:val="both"/>
              <w:rPr>
                <w:b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Nuostolių, patirtų vykdant viešųjų paslaugų įsipareigojimą, kompensavimo tvarkos aprašu (toliau – Aprašas) siekiama reglamentuoti geležinkelio įmonių (vežėjų) nuostolių, patirtų vykdant viešųjų paslaugų įsipareigojimus, kompensacijos (toliau – nuostolių kompensacija) apskaičiavimo tvarką, viešųjų paslaugų poreikio nustatymo kriterijus ir nuostolių kompensacijos planavimo bei mokėjimo tvarką.</w:t>
            </w:r>
          </w:p>
        </w:tc>
      </w:tr>
    </w:tbl>
    <w:p w14:paraId="6EEA610D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3D12B4" w:rsidRPr="002C1F58" w14:paraId="6EEA6110" w14:textId="77777777" w:rsidTr="00DF3675">
        <w:trPr>
          <w:trHeight w:val="415"/>
        </w:trPr>
        <w:tc>
          <w:tcPr>
            <w:tcW w:w="2164" w:type="dxa"/>
            <w:shd w:val="clear" w:color="auto" w:fill="DBE5F1"/>
          </w:tcPr>
          <w:p w14:paraId="6EEA610E" w14:textId="77777777" w:rsidR="003D12B4" w:rsidRPr="002C1F58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6EEA610F" w14:textId="77777777" w:rsidR="003D12B4" w:rsidRPr="002C1F58" w:rsidRDefault="003D12B4" w:rsidP="004C49DA">
            <w:pPr>
              <w:jc w:val="center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 xml:space="preserve">Siūlomo projekto poveikio įvertinimas </w:t>
            </w:r>
          </w:p>
        </w:tc>
      </w:tr>
    </w:tbl>
    <w:p w14:paraId="6EEA6111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3D12B4" w:rsidRPr="002C1F58" w14:paraId="6EEA612C" w14:textId="77777777" w:rsidTr="00D4279A">
        <w:trPr>
          <w:trHeight w:val="5954"/>
        </w:trPr>
        <w:tc>
          <w:tcPr>
            <w:tcW w:w="2235" w:type="dxa"/>
            <w:shd w:val="clear" w:color="auto" w:fill="DBE5F1"/>
          </w:tcPr>
          <w:p w14:paraId="6EEA6112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 xml:space="preserve">Poveikis atitinkamai </w:t>
            </w:r>
          </w:p>
          <w:p w14:paraId="6EEA6113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6945" w:type="dxa"/>
          </w:tcPr>
          <w:p w14:paraId="6EEA6114" w14:textId="77777777" w:rsidR="00FE6305" w:rsidRPr="002C1F58" w:rsidRDefault="00FE6305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Nors nutarimo projektu teikiamu Aprašu nėra reguliuojama iš esmės nauja teisinių santykių sritis, tačiau planuojami pakeitimai nuostolių, patirtų teikiant viešąsias paslaugas, </w:t>
            </w:r>
            <w:r w:rsidR="004C49DA" w:rsidRPr="002C1F58">
              <w:rPr>
                <w:sz w:val="22"/>
                <w:szCs w:val="22"/>
              </w:rPr>
              <w:t xml:space="preserve">geležinkelių transporto </w:t>
            </w:r>
            <w:r w:rsidRPr="002C1F58">
              <w:rPr>
                <w:sz w:val="22"/>
                <w:szCs w:val="22"/>
              </w:rPr>
              <w:t>srityje yra laikytini esminiais dėl žemiau nurodytų aplinkybių:</w:t>
            </w:r>
          </w:p>
          <w:p w14:paraId="6EEA6115" w14:textId="1102B878" w:rsidR="004C49DA" w:rsidRPr="002C1F58" w:rsidRDefault="00FE6305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b/>
                <w:bCs/>
                <w:sz w:val="22"/>
                <w:szCs w:val="22"/>
              </w:rPr>
              <w:t>1.</w:t>
            </w:r>
            <w:r w:rsidRPr="002C1F58">
              <w:rPr>
                <w:sz w:val="22"/>
                <w:szCs w:val="22"/>
              </w:rPr>
              <w:t xml:space="preserve"> </w:t>
            </w:r>
            <w:r w:rsidRPr="002C1F58">
              <w:rPr>
                <w:b/>
                <w:bCs/>
                <w:sz w:val="22"/>
                <w:szCs w:val="22"/>
              </w:rPr>
              <w:t>Iš esmės keičiama nuostolių, patirtų teikiant viešąsias paslaugas, kompensacijos formulė.</w:t>
            </w:r>
            <w:r w:rsidRPr="002C1F58">
              <w:rPr>
                <w:sz w:val="22"/>
                <w:szCs w:val="22"/>
              </w:rPr>
              <w:t xml:space="preserve"> Šiuo metu galiojanti kompensacijos apskaičiavimo formulė </w:t>
            </w:r>
            <w:r w:rsidR="000942D4" w:rsidRPr="002C1F58">
              <w:rPr>
                <w:sz w:val="22"/>
                <w:szCs w:val="22"/>
              </w:rPr>
              <w:t>tik iš dalies</w:t>
            </w:r>
            <w:r w:rsidRPr="002C1F58">
              <w:rPr>
                <w:sz w:val="22"/>
                <w:szCs w:val="22"/>
              </w:rPr>
              <w:t xml:space="preserve"> atspindi 2007 m. spalio 23 d. Europos Parlamento ir Tarybos reglamento (EB) Nr. 1370/2007 dėl keleivinio geležinkelių ir kelių transporto viešųjų paslaugų ir panaikinančio Tarybos reglamentus (EEB) Nr. 1191/69 ir (EEB) Nr. 1107/70</w:t>
            </w:r>
            <w:r w:rsidR="001E0758" w:rsidRPr="002C1F58">
              <w:rPr>
                <w:sz w:val="22"/>
                <w:szCs w:val="22"/>
              </w:rPr>
              <w:t xml:space="preserve"> su visais pakeitimais</w:t>
            </w:r>
            <w:r w:rsidRPr="002C1F58">
              <w:rPr>
                <w:sz w:val="22"/>
                <w:szCs w:val="22"/>
              </w:rPr>
              <w:t xml:space="preserve">  (toliau – Reglamentas (EB) Nr. 1370/2007) nuostatas ir nėra motyvuojanti efektyvinti geležinkelio įmonės (vežėjo) veiklą. </w:t>
            </w:r>
            <w:r w:rsidR="004C49DA" w:rsidRPr="002C1F58">
              <w:rPr>
                <w:sz w:val="22"/>
                <w:szCs w:val="22"/>
              </w:rPr>
              <w:t xml:space="preserve">Pavyzdžiui, šiuo metu galiojančios redakcijos formulėje esanti vagonų dedamoji motyvuoja geležinkelio įmones (vežėjus) </w:t>
            </w:r>
            <w:r w:rsidR="000721A2" w:rsidRPr="002C1F58">
              <w:rPr>
                <w:sz w:val="22"/>
                <w:szCs w:val="22"/>
              </w:rPr>
              <w:t xml:space="preserve">į </w:t>
            </w:r>
            <w:r w:rsidR="004C49DA" w:rsidRPr="002C1F58">
              <w:rPr>
                <w:sz w:val="22"/>
                <w:szCs w:val="22"/>
              </w:rPr>
              <w:t xml:space="preserve">maršrutą </w:t>
            </w:r>
            <w:r w:rsidR="000721A2" w:rsidRPr="002C1F58">
              <w:rPr>
                <w:sz w:val="22"/>
                <w:szCs w:val="22"/>
              </w:rPr>
              <w:t xml:space="preserve">važiuoti </w:t>
            </w:r>
            <w:r w:rsidR="004C49DA" w:rsidRPr="002C1F58">
              <w:rPr>
                <w:sz w:val="22"/>
                <w:szCs w:val="22"/>
              </w:rPr>
              <w:t xml:space="preserve">su didesniu </w:t>
            </w:r>
            <w:r w:rsidR="000721A2" w:rsidRPr="002C1F58">
              <w:rPr>
                <w:sz w:val="22"/>
                <w:szCs w:val="22"/>
              </w:rPr>
              <w:t xml:space="preserve">skaičiumi </w:t>
            </w:r>
            <w:r w:rsidR="004C49DA" w:rsidRPr="002C1F58">
              <w:rPr>
                <w:sz w:val="22"/>
                <w:szCs w:val="22"/>
              </w:rPr>
              <w:t>vagonų, neatsižvelgiant į jų faktinį užimtumą</w:t>
            </w:r>
            <w:r w:rsidR="00002EF6" w:rsidRPr="002C1F58">
              <w:rPr>
                <w:sz w:val="22"/>
                <w:szCs w:val="22"/>
              </w:rPr>
              <w:t xml:space="preserve">. </w:t>
            </w:r>
            <w:r w:rsidR="004C49DA" w:rsidRPr="002C1F58">
              <w:rPr>
                <w:sz w:val="22"/>
                <w:szCs w:val="22"/>
              </w:rPr>
              <w:t>Taip pat formulėje esanti rentabilumo dedamoji, kuri</w:t>
            </w:r>
            <w:r w:rsidR="000721A2" w:rsidRPr="002C1F58">
              <w:rPr>
                <w:sz w:val="22"/>
                <w:szCs w:val="22"/>
              </w:rPr>
              <w:t>,</w:t>
            </w:r>
            <w:r w:rsidR="004C49DA" w:rsidRPr="002C1F58">
              <w:rPr>
                <w:sz w:val="22"/>
                <w:szCs w:val="22"/>
              </w:rPr>
              <w:t xml:space="preserve"> nepaisant jokių aplinkybių</w:t>
            </w:r>
            <w:r w:rsidR="000721A2" w:rsidRPr="002C1F58">
              <w:rPr>
                <w:sz w:val="22"/>
                <w:szCs w:val="22"/>
              </w:rPr>
              <w:t>,</w:t>
            </w:r>
            <w:r w:rsidR="004C49DA" w:rsidRPr="002C1F58">
              <w:rPr>
                <w:sz w:val="22"/>
                <w:szCs w:val="22"/>
              </w:rPr>
              <w:t xml:space="preserve"> išlieka pastovaus dydžio, nemotyvuoja geležinkelių įmonių (vežėjų) optimizuoti ir efektyvinti jų veiklos.</w:t>
            </w:r>
          </w:p>
          <w:p w14:paraId="6EEA6116" w14:textId="4BD2A9D9" w:rsidR="00046CA1" w:rsidRPr="002C1F58" w:rsidRDefault="00FE6305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Todėl Nutarimo projektu teikiamo Aprašo projektu siūloma kompensavimo formulę pakeisti</w:t>
            </w:r>
            <w:r w:rsidR="00002EF6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atsisakant vidutinio vagonų skaičius traukinio sąstate bei rentabilumo dedamųjų. Atsižvelgiant į Reglamento (EB) Nr. 1370/2007 reikalavimus</w:t>
            </w:r>
            <w:r w:rsidR="000721A2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anksčiau naudotas rentabilumas Aprašo projektu teikiamoje formulėje pakeičiamas į pagrįstojo pelno dydį</w:t>
            </w:r>
            <w:r w:rsidR="00046CA1" w:rsidRPr="002C1F58">
              <w:rPr>
                <w:sz w:val="22"/>
                <w:szCs w:val="22"/>
              </w:rPr>
              <w:t>. Taip pat siekiant gerinti paslaugų kokybę ir efektyvinti geležinkelio įmonės (vežėjo) veiklą yra numatyta premijų ir nuobaudų sistema, tiesiogiai susieta su geležinkelio įmonės (vežėjo) veikla.</w:t>
            </w:r>
          </w:p>
          <w:p w14:paraId="6EEA6117" w14:textId="212A1019" w:rsidR="00333DBE" w:rsidRPr="002C1F58" w:rsidRDefault="00333DBE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b/>
                <w:bCs/>
                <w:sz w:val="22"/>
                <w:szCs w:val="22"/>
              </w:rPr>
              <w:t xml:space="preserve">2. </w:t>
            </w:r>
            <w:r w:rsidR="004C49DA" w:rsidRPr="002C1F58">
              <w:rPr>
                <w:b/>
                <w:bCs/>
                <w:sz w:val="22"/>
                <w:szCs w:val="22"/>
              </w:rPr>
              <w:t>Įvardijami</w:t>
            </w:r>
            <w:r w:rsidRPr="002C1F58">
              <w:rPr>
                <w:b/>
                <w:bCs/>
                <w:sz w:val="22"/>
                <w:szCs w:val="22"/>
              </w:rPr>
              <w:t xml:space="preserve"> viešųjų paslaugų poreikio nustatymo kriterij</w:t>
            </w:r>
            <w:r w:rsidR="00A941D0" w:rsidRPr="002C1F58">
              <w:rPr>
                <w:b/>
                <w:bCs/>
                <w:sz w:val="22"/>
                <w:szCs w:val="22"/>
              </w:rPr>
              <w:t xml:space="preserve">ai. </w:t>
            </w:r>
            <w:r w:rsidR="00A941D0" w:rsidRPr="002C1F58">
              <w:rPr>
                <w:sz w:val="22"/>
                <w:szCs w:val="22"/>
              </w:rPr>
              <w:t xml:space="preserve">Šiuo metu galiojančio Aprašo redakcijoje viešųjų paslaugų poreikio nustatymo kriterijai nėra aiškiai apibrėžti, todėl Nutarimo projektu teikiamo Aprašo projekte pateikiama formulė ir kriterijai, kuriais vadovaujantis bus atrenkami maršrutai, kuriuose </w:t>
            </w:r>
            <w:r w:rsidR="00046CA1" w:rsidRPr="002C1F58">
              <w:rPr>
                <w:sz w:val="22"/>
                <w:szCs w:val="22"/>
              </w:rPr>
              <w:t>turėtų būti</w:t>
            </w:r>
            <w:r w:rsidR="00A941D0" w:rsidRPr="002C1F58">
              <w:rPr>
                <w:sz w:val="22"/>
                <w:szCs w:val="22"/>
              </w:rPr>
              <w:t xml:space="preserve"> teikiamos viešosios paslaugos. Minima formulė skirta kompete</w:t>
            </w:r>
            <w:r w:rsidR="000721A2" w:rsidRPr="002C1F58">
              <w:rPr>
                <w:sz w:val="22"/>
                <w:szCs w:val="22"/>
              </w:rPr>
              <w:t>n</w:t>
            </w:r>
            <w:r w:rsidR="00A941D0" w:rsidRPr="002C1F58">
              <w:rPr>
                <w:sz w:val="22"/>
                <w:szCs w:val="22"/>
              </w:rPr>
              <w:t>tingai institucijai</w:t>
            </w:r>
            <w:r w:rsidR="00002EF6" w:rsidRPr="002C1F58">
              <w:rPr>
                <w:sz w:val="22"/>
                <w:szCs w:val="22"/>
              </w:rPr>
              <w:t xml:space="preserve"> (Susisiekimo ministerijai)</w:t>
            </w:r>
            <w:r w:rsidR="00A941D0" w:rsidRPr="002C1F58">
              <w:rPr>
                <w:sz w:val="22"/>
                <w:szCs w:val="22"/>
              </w:rPr>
              <w:t xml:space="preserve"> nustatyti viešųjų paslaugų poreikį kiekviename maršrute. </w:t>
            </w:r>
            <w:r w:rsidR="00A941D0" w:rsidRPr="002C1F58">
              <w:rPr>
                <w:sz w:val="22"/>
                <w:szCs w:val="22"/>
              </w:rPr>
              <w:lastRenderedPageBreak/>
              <w:t>Viešųjų paslaugų poreikio nustatymo kriterijai apima maršruto socialinę (socialinis ir aplinkosauginis kriterij</w:t>
            </w:r>
            <w:r w:rsidR="0047186E" w:rsidRPr="002C1F58">
              <w:rPr>
                <w:sz w:val="22"/>
                <w:szCs w:val="22"/>
              </w:rPr>
              <w:t>ai</w:t>
            </w:r>
            <w:r w:rsidR="00A941D0" w:rsidRPr="002C1F58">
              <w:rPr>
                <w:sz w:val="22"/>
                <w:szCs w:val="22"/>
              </w:rPr>
              <w:t>) ir finansinę (maršruto užimtumas</w:t>
            </w:r>
            <w:r w:rsidR="000721A2" w:rsidRPr="002C1F58">
              <w:rPr>
                <w:sz w:val="22"/>
                <w:szCs w:val="22"/>
              </w:rPr>
              <w:t>,</w:t>
            </w:r>
            <w:r w:rsidR="00A941D0" w:rsidRPr="002C1F58">
              <w:rPr>
                <w:sz w:val="22"/>
                <w:szCs w:val="22"/>
              </w:rPr>
              <w:t xml:space="preserve"> sąnaudų</w:t>
            </w:r>
            <w:r w:rsidR="000721A2" w:rsidRPr="002C1F58">
              <w:rPr>
                <w:sz w:val="22"/>
                <w:szCs w:val="22"/>
              </w:rPr>
              <w:t xml:space="preserve"> ir </w:t>
            </w:r>
            <w:r w:rsidR="00A941D0" w:rsidRPr="002C1F58">
              <w:rPr>
                <w:sz w:val="22"/>
                <w:szCs w:val="22"/>
              </w:rPr>
              <w:t>pajamų santykis) maršruto aplinką, todėl tokiu būdu viešosios paslaugos poreikis įvertinamas įvairiapusiškai. Išvardinti kriterijai turi skirtingą dedamąjį svorį formulėje – socialinis kriterijus sudaro 40</w:t>
            </w:r>
            <w:r w:rsidR="00002EF6" w:rsidRPr="002C1F58">
              <w:rPr>
                <w:sz w:val="22"/>
                <w:szCs w:val="22"/>
              </w:rPr>
              <w:t xml:space="preserve"> proc.</w:t>
            </w:r>
            <w:r w:rsidR="00A941D0" w:rsidRPr="002C1F58">
              <w:rPr>
                <w:sz w:val="22"/>
                <w:szCs w:val="22"/>
              </w:rPr>
              <w:t xml:space="preserve"> maksimalaus galimo balo, sąnaudų ir pajamų santykis</w:t>
            </w:r>
            <w:r w:rsidR="00EC1376" w:rsidRPr="002C1F58">
              <w:rPr>
                <w:sz w:val="22"/>
                <w:szCs w:val="22"/>
              </w:rPr>
              <w:t xml:space="preserve"> – 25 proc. maksimalaus galimo balo </w:t>
            </w:r>
            <w:r w:rsidR="00A941D0" w:rsidRPr="002C1F58">
              <w:rPr>
                <w:sz w:val="22"/>
                <w:szCs w:val="22"/>
              </w:rPr>
              <w:t>bei maršruto užimtumas – 25</w:t>
            </w:r>
            <w:r w:rsidR="00002EF6" w:rsidRPr="002C1F58">
              <w:rPr>
                <w:sz w:val="22"/>
                <w:szCs w:val="22"/>
              </w:rPr>
              <w:t xml:space="preserve"> proc.</w:t>
            </w:r>
            <w:r w:rsidR="00A941D0" w:rsidRPr="002C1F58">
              <w:rPr>
                <w:sz w:val="22"/>
                <w:szCs w:val="22"/>
              </w:rPr>
              <w:t xml:space="preserve"> maksimalaus galimo balo, </w:t>
            </w:r>
            <w:r w:rsidR="00EC1376" w:rsidRPr="002C1F58">
              <w:rPr>
                <w:sz w:val="22"/>
                <w:szCs w:val="22"/>
              </w:rPr>
              <w:t xml:space="preserve">o </w:t>
            </w:r>
            <w:r w:rsidR="00A941D0" w:rsidRPr="002C1F58">
              <w:rPr>
                <w:sz w:val="22"/>
                <w:szCs w:val="22"/>
              </w:rPr>
              <w:t>aplinkosauginis kriterijus – 10</w:t>
            </w:r>
            <w:r w:rsidR="00002EF6" w:rsidRPr="002C1F58">
              <w:rPr>
                <w:sz w:val="22"/>
                <w:szCs w:val="22"/>
              </w:rPr>
              <w:t xml:space="preserve"> proc.</w:t>
            </w:r>
            <w:r w:rsidR="00A941D0" w:rsidRPr="002C1F58">
              <w:rPr>
                <w:sz w:val="22"/>
                <w:szCs w:val="22"/>
              </w:rPr>
              <w:t xml:space="preserve"> maksimalaus galimo balo.</w:t>
            </w:r>
          </w:p>
          <w:p w14:paraId="6EEA6118" w14:textId="3C320C71" w:rsidR="008601A2" w:rsidRPr="002C1F58" w:rsidRDefault="00002EF6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Laikoma, kad maršrutas tinkamas vieš</w:t>
            </w:r>
            <w:r w:rsidR="0047186E" w:rsidRPr="002C1F58">
              <w:rPr>
                <w:sz w:val="22"/>
                <w:szCs w:val="22"/>
              </w:rPr>
              <w:t>osioms</w:t>
            </w:r>
            <w:r w:rsidRPr="002C1F58">
              <w:rPr>
                <w:sz w:val="22"/>
                <w:szCs w:val="22"/>
              </w:rPr>
              <w:t xml:space="preserve"> paslaug</w:t>
            </w:r>
            <w:r w:rsidR="0047186E" w:rsidRPr="002C1F58">
              <w:rPr>
                <w:sz w:val="22"/>
                <w:szCs w:val="22"/>
              </w:rPr>
              <w:t>oms</w:t>
            </w:r>
            <w:r w:rsidRPr="002C1F58">
              <w:rPr>
                <w:sz w:val="22"/>
                <w:szCs w:val="22"/>
              </w:rPr>
              <w:t xml:space="preserve"> teik</w:t>
            </w:r>
            <w:r w:rsidR="0047186E" w:rsidRPr="002C1F58">
              <w:rPr>
                <w:sz w:val="22"/>
                <w:szCs w:val="22"/>
              </w:rPr>
              <w:t>t</w:t>
            </w:r>
            <w:r w:rsidRPr="002C1F58">
              <w:rPr>
                <w:sz w:val="22"/>
                <w:szCs w:val="22"/>
              </w:rPr>
              <w:t>i, jeigu galutinė balų suma viršija 40 proc. Ši pereinamoji riba pasirinkta įvertinus esamus</w:t>
            </w:r>
            <w:r w:rsidR="008601A2" w:rsidRPr="002C1F58">
              <w:rPr>
                <w:sz w:val="22"/>
                <w:szCs w:val="22"/>
              </w:rPr>
              <w:t xml:space="preserve"> ir ateityje galimus</w:t>
            </w:r>
            <w:r w:rsidRPr="002C1F58">
              <w:rPr>
                <w:sz w:val="22"/>
                <w:szCs w:val="22"/>
              </w:rPr>
              <w:t xml:space="preserve"> vietinio susisiekimo maršrutus – siekiant atsisakyti neracionalių ir nepopuliarių maršrutų, bet paliekant maršrutus, kuriuose yra aiškiai išreikštas socialinis</w:t>
            </w:r>
            <w:r w:rsidR="00917405" w:rsidRPr="002C1F58">
              <w:rPr>
                <w:sz w:val="22"/>
                <w:szCs w:val="22"/>
              </w:rPr>
              <w:t xml:space="preserve"> maršruto</w:t>
            </w:r>
            <w:r w:rsidRPr="002C1F58">
              <w:rPr>
                <w:sz w:val="22"/>
                <w:szCs w:val="22"/>
              </w:rPr>
              <w:t xml:space="preserve"> poreikis.</w:t>
            </w:r>
            <w:r w:rsidR="008601A2" w:rsidRPr="002C1F58">
              <w:rPr>
                <w:sz w:val="22"/>
                <w:szCs w:val="22"/>
              </w:rPr>
              <w:t xml:space="preserve"> Susisiekimo ministerijos nuomone, tokia pereinamoji riba yra optimali, kadangi </w:t>
            </w:r>
            <w:r w:rsidR="00AC5086" w:rsidRPr="002C1F58">
              <w:rPr>
                <w:sz w:val="22"/>
                <w:szCs w:val="22"/>
              </w:rPr>
              <w:t xml:space="preserve">labiau </w:t>
            </w:r>
            <w:r w:rsidR="00917405" w:rsidRPr="002C1F58">
              <w:rPr>
                <w:sz w:val="22"/>
                <w:szCs w:val="22"/>
              </w:rPr>
              <w:t>sumažinus</w:t>
            </w:r>
            <w:r w:rsidR="008601A2" w:rsidRPr="002C1F58">
              <w:rPr>
                <w:sz w:val="22"/>
                <w:szCs w:val="22"/>
              </w:rPr>
              <w:t xml:space="preserve"> pereinamąją ribą praktiškai kiekvienas teoriškai galimas vietinio susisiekimo maršrutas atitiktų keliamus reikalavimus, o tai neužtikrintų racionalaus valstybės biudžeto lėšų panaudojimo</w:t>
            </w:r>
            <w:r w:rsidR="000721A2" w:rsidRPr="002C1F58">
              <w:rPr>
                <w:sz w:val="22"/>
                <w:szCs w:val="22"/>
              </w:rPr>
              <w:t>. N</w:t>
            </w:r>
            <w:r w:rsidR="008601A2" w:rsidRPr="002C1F58">
              <w:rPr>
                <w:sz w:val="22"/>
                <w:szCs w:val="22"/>
              </w:rPr>
              <w:t>ustačius aukštesnę pereinamąją ribą</w:t>
            </w:r>
            <w:r w:rsidR="00917405" w:rsidRPr="002C1F58">
              <w:rPr>
                <w:sz w:val="22"/>
                <w:szCs w:val="22"/>
              </w:rPr>
              <w:t xml:space="preserve">, būtų atsisakyta dalies maršrutų, kuriuose yra išreikštas stiprus socialinis maršruto poreikis. </w:t>
            </w:r>
          </w:p>
          <w:p w14:paraId="6EEA6119" w14:textId="6714244A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b/>
                <w:bCs/>
                <w:sz w:val="22"/>
                <w:szCs w:val="22"/>
              </w:rPr>
              <w:t>3. Nustatomos aplinkybės, kurioms esant viešoji keleivių vežimo paslauga gali būti keičiama į kombinuotąją keleivių vežimo vietiniais maršrutais paslaugą.</w:t>
            </w:r>
            <w:r w:rsidRPr="002C1F58">
              <w:rPr>
                <w:sz w:val="22"/>
                <w:szCs w:val="22"/>
              </w:rPr>
              <w:t xml:space="preserve"> Nutarimo projektu teikiamo Aprašo projektu nustatomos aplinkybės, kurioms esant viešoji keleivių vežimo vietiniais maršrutais paslauga ar jo dalis gali būti keičiama į viešąją kombinuotąją keleivių vežimo vietiniais maršrutais paslaugą:</w:t>
            </w:r>
          </w:p>
          <w:p w14:paraId="6EEA611A" w14:textId="77777777" w:rsidR="00E14197" w:rsidRPr="002C1F58" w:rsidRDefault="00E14197" w:rsidP="00E14197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maršruto dalyje dėl techninių ar ekonominių priežasčių nebegalima teikti viešosios keleivių, bagažo vežimo geležinkelių transportu paslaugos; </w:t>
            </w:r>
          </w:p>
          <w:p w14:paraId="6EEA611B" w14:textId="77777777" w:rsidR="00E14197" w:rsidRPr="002C1F58" w:rsidRDefault="00E14197" w:rsidP="00E14197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maršruto dalyje dėl techninių kliūčių yra laikinai apribotas viešosios keleivių, bagažo vežimo geležinkelių transportu paslaugos teikimas; </w:t>
            </w:r>
          </w:p>
          <w:p w14:paraId="6EEA611C" w14:textId="1DE83FDF" w:rsidR="00E14197" w:rsidRPr="002C1F58" w:rsidRDefault="00046CA1" w:rsidP="00E14197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dėl prognozuojamo keleivių srauto maršruto dalyje</w:t>
            </w:r>
            <w:r w:rsidR="0014396E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teikiant viešąją kombinuotojo keleivių vežimo vietiniais maršrutais paslaugą</w:t>
            </w:r>
            <w:r w:rsidR="0014396E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būtų patiriamos bent 2 kartus mažesnės sąnaudos visame maršrute</w:t>
            </w:r>
            <w:r w:rsidR="0014396E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nei teikiant viešąją keleivių vežimo geležinkelių transportu paslaugą</w:t>
            </w:r>
            <w:r w:rsidR="00E14197" w:rsidRPr="002C1F58">
              <w:rPr>
                <w:sz w:val="22"/>
                <w:szCs w:val="22"/>
              </w:rPr>
              <w:t xml:space="preserve">; </w:t>
            </w:r>
          </w:p>
          <w:p w14:paraId="6EEA611D" w14:textId="13ED926F" w:rsidR="00E14197" w:rsidRPr="002C1F58" w:rsidRDefault="0014396E" w:rsidP="00E14197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maršruto, kuriame teikiama </w:t>
            </w:r>
            <w:r w:rsidR="00E14197" w:rsidRPr="002C1F58">
              <w:rPr>
                <w:sz w:val="22"/>
                <w:szCs w:val="22"/>
              </w:rPr>
              <w:t>viešo</w:t>
            </w:r>
            <w:r w:rsidRPr="002C1F58">
              <w:rPr>
                <w:sz w:val="22"/>
                <w:szCs w:val="22"/>
              </w:rPr>
              <w:t>ji</w:t>
            </w:r>
            <w:r w:rsidR="00E14197" w:rsidRPr="002C1F58">
              <w:rPr>
                <w:sz w:val="22"/>
                <w:szCs w:val="22"/>
              </w:rPr>
              <w:t xml:space="preserve"> kombinuotojo keleivių vežimo</w:t>
            </w:r>
            <w:r w:rsidRPr="002C1F58">
              <w:rPr>
                <w:sz w:val="22"/>
                <w:szCs w:val="22"/>
              </w:rPr>
              <w:t xml:space="preserve"> </w:t>
            </w:r>
            <w:r w:rsidR="00E14197" w:rsidRPr="002C1F58">
              <w:rPr>
                <w:sz w:val="22"/>
                <w:szCs w:val="22"/>
              </w:rPr>
              <w:t xml:space="preserve">vietiniais maršrutais </w:t>
            </w:r>
            <w:r w:rsidRPr="002C1F58">
              <w:rPr>
                <w:sz w:val="22"/>
                <w:szCs w:val="22"/>
              </w:rPr>
              <w:t xml:space="preserve">paslauga, </w:t>
            </w:r>
            <w:r w:rsidR="00E14197" w:rsidRPr="002C1F58">
              <w:rPr>
                <w:sz w:val="22"/>
                <w:szCs w:val="22"/>
              </w:rPr>
              <w:t>dalyje (kurioje nevežama geležinkelių transportu) nėra alternatyvių susisiekimo keleiviniu kelių transportu maršrutų.</w:t>
            </w:r>
          </w:p>
          <w:p w14:paraId="6EEA611E" w14:textId="1C176DE4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Taip pat</w:t>
            </w:r>
            <w:r w:rsidR="00963AA7" w:rsidRPr="002C1F58">
              <w:rPr>
                <w:sz w:val="22"/>
                <w:szCs w:val="22"/>
              </w:rPr>
              <w:t xml:space="preserve"> </w:t>
            </w:r>
            <w:r w:rsidRPr="002C1F58">
              <w:rPr>
                <w:sz w:val="22"/>
                <w:szCs w:val="22"/>
              </w:rPr>
              <w:t>nurodama, kokia viešosios kombinuotojo keleivių vežimo vietiniais maršrutais paslaugos dalis gali būti teikiama geležinkelių trans</w:t>
            </w:r>
            <w:r w:rsidR="000721A2" w:rsidRPr="002C1F58">
              <w:rPr>
                <w:sz w:val="22"/>
                <w:szCs w:val="22"/>
              </w:rPr>
              <w:t>p</w:t>
            </w:r>
            <w:r w:rsidRPr="002C1F58">
              <w:rPr>
                <w:sz w:val="22"/>
                <w:szCs w:val="22"/>
              </w:rPr>
              <w:t>ortu, o kuri kelių transportu</w:t>
            </w:r>
            <w:r w:rsidR="00963AA7" w:rsidRPr="002C1F58">
              <w:rPr>
                <w:sz w:val="22"/>
                <w:szCs w:val="22"/>
              </w:rPr>
              <w:t xml:space="preserve"> (50 km)</w:t>
            </w:r>
            <w:r w:rsidRPr="002C1F58">
              <w:rPr>
                <w:sz w:val="22"/>
                <w:szCs w:val="22"/>
              </w:rPr>
              <w:t>.</w:t>
            </w:r>
            <w:r w:rsidR="00963AA7" w:rsidRPr="002C1F58">
              <w:rPr>
                <w:sz w:val="22"/>
                <w:szCs w:val="22"/>
              </w:rPr>
              <w:t xml:space="preserve"> Pažymėtina, kad šis atkarpos ilgis </w:t>
            </w:r>
            <w:r w:rsidR="00046CA1" w:rsidRPr="002C1F58">
              <w:rPr>
                <w:sz w:val="22"/>
                <w:szCs w:val="22"/>
              </w:rPr>
              <w:t>nustatytas</w:t>
            </w:r>
            <w:r w:rsidR="00963AA7" w:rsidRPr="002C1F58">
              <w:rPr>
                <w:sz w:val="22"/>
                <w:szCs w:val="22"/>
              </w:rPr>
              <w:t xml:space="preserve"> derinantis prie Lietuvos Respublikos kelių transporto kodekso nuostatų.</w:t>
            </w:r>
          </w:p>
          <w:p w14:paraId="6EEA611F" w14:textId="77777777" w:rsidR="00E14197" w:rsidRPr="002C1F58" w:rsidRDefault="00E14197" w:rsidP="00E14197">
            <w:pPr>
              <w:jc w:val="both"/>
              <w:rPr>
                <w:b/>
                <w:bCs/>
                <w:sz w:val="22"/>
                <w:szCs w:val="22"/>
              </w:rPr>
            </w:pPr>
            <w:r w:rsidRPr="002C1F58">
              <w:rPr>
                <w:b/>
                <w:bCs/>
                <w:sz w:val="22"/>
                <w:szCs w:val="22"/>
              </w:rPr>
              <w:t xml:space="preserve">4. Keičiama nuostolių kompensacijos planavimo bei mokėjimo tvarka. </w:t>
            </w:r>
          </w:p>
          <w:p w14:paraId="6EEA6120" w14:textId="1C91E147" w:rsidR="00E14197" w:rsidRPr="002C1F58" w:rsidRDefault="001C6270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Priėmus </w:t>
            </w:r>
            <w:r w:rsidR="001A3B3D" w:rsidRPr="002C1F58">
              <w:rPr>
                <w:sz w:val="22"/>
                <w:szCs w:val="22"/>
              </w:rPr>
              <w:t xml:space="preserve">siūlomą </w:t>
            </w:r>
            <w:r w:rsidRPr="002C1F58">
              <w:rPr>
                <w:sz w:val="22"/>
                <w:szCs w:val="22"/>
              </w:rPr>
              <w:t>nutarimo projekt</w:t>
            </w:r>
            <w:r w:rsidR="001A3B3D" w:rsidRPr="002C1F58">
              <w:rPr>
                <w:sz w:val="22"/>
                <w:szCs w:val="22"/>
              </w:rPr>
              <w:t xml:space="preserve">ą, susidarys prielaidos teikti viešąsias keleivių vežimo paslaugas viešųjų paslaugų sutarčių pagrindu, o ne </w:t>
            </w:r>
            <w:r w:rsidR="004A089F" w:rsidRPr="002C1F58">
              <w:rPr>
                <w:sz w:val="22"/>
                <w:szCs w:val="22"/>
              </w:rPr>
              <w:t>biudžeto lėšų panaudos sutarčių</w:t>
            </w:r>
            <w:r w:rsidR="001A3B3D" w:rsidRPr="002C1F58">
              <w:rPr>
                <w:sz w:val="22"/>
                <w:szCs w:val="22"/>
              </w:rPr>
              <w:t xml:space="preserve"> pagrindu, kaip yra dabar. </w:t>
            </w:r>
            <w:r w:rsidR="00533D05" w:rsidRPr="002C1F58">
              <w:rPr>
                <w:sz w:val="22"/>
                <w:szCs w:val="22"/>
              </w:rPr>
              <w:t>K</w:t>
            </w:r>
            <w:r w:rsidR="001A3B3D" w:rsidRPr="002C1F58">
              <w:rPr>
                <w:sz w:val="22"/>
                <w:szCs w:val="22"/>
              </w:rPr>
              <w:t>okybiniai ir kiekybiniai viešųjų paslaugų reikalavimai bus apibrėžiami viešųjų paslaugų sutartyse, todėl mechanizmas, skirtas kokybinių ir kiekybinių reikalavimų vykdym</w:t>
            </w:r>
            <w:r w:rsidR="000721A2" w:rsidRPr="002C1F58">
              <w:rPr>
                <w:sz w:val="22"/>
                <w:szCs w:val="22"/>
              </w:rPr>
              <w:t>ui užtikrinti</w:t>
            </w:r>
            <w:r w:rsidR="001A3B3D" w:rsidRPr="002C1F58">
              <w:rPr>
                <w:sz w:val="22"/>
                <w:szCs w:val="22"/>
              </w:rPr>
              <w:t>, yra būtina proceso dalis.</w:t>
            </w:r>
          </w:p>
          <w:p w14:paraId="6EEA6121" w14:textId="39740982" w:rsidR="00E14197" w:rsidRPr="002C1F58" w:rsidRDefault="001A3B3D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Siekiant sukurti tokį mechanizmą</w:t>
            </w:r>
            <w:r w:rsidR="00143AB5" w:rsidRPr="002C1F58">
              <w:rPr>
                <w:sz w:val="22"/>
                <w:szCs w:val="22"/>
              </w:rPr>
              <w:t>, Nutarimo projektu teikiamame Apraš</w:t>
            </w:r>
            <w:r w:rsidR="0014396E" w:rsidRPr="002C1F58">
              <w:rPr>
                <w:sz w:val="22"/>
                <w:szCs w:val="22"/>
              </w:rPr>
              <w:t>e</w:t>
            </w:r>
            <w:r w:rsidR="00143AB5" w:rsidRPr="002C1F58">
              <w:rPr>
                <w:sz w:val="22"/>
                <w:szCs w:val="22"/>
              </w:rPr>
              <w:t xml:space="preserve"> siūloma įtraukti </w:t>
            </w:r>
            <w:r w:rsidR="001516CB" w:rsidRPr="002C1F58">
              <w:rPr>
                <w:sz w:val="22"/>
                <w:szCs w:val="22"/>
              </w:rPr>
              <w:t>Lietuvos transporto saugos administraciją, kaip instituciją, kuri atliks patikras traukiniuose, taip pat tikrins ir vertins duomenis, gautus iš geležinkelio įmonių (vežėjų) ir reikalingus kompensacij</w:t>
            </w:r>
            <w:r w:rsidR="000721A2" w:rsidRPr="002C1F58">
              <w:rPr>
                <w:sz w:val="22"/>
                <w:szCs w:val="22"/>
              </w:rPr>
              <w:t>ai</w:t>
            </w:r>
            <w:r w:rsidR="001516CB" w:rsidRPr="002C1F58">
              <w:rPr>
                <w:sz w:val="22"/>
                <w:szCs w:val="22"/>
              </w:rPr>
              <w:t xml:space="preserve"> už patirtus nuostolius</w:t>
            </w:r>
            <w:r w:rsidR="005E4FEB" w:rsidRPr="002C1F58">
              <w:rPr>
                <w:sz w:val="22"/>
                <w:szCs w:val="22"/>
              </w:rPr>
              <w:t>, teikiant viešąsias paslaugas,</w:t>
            </w:r>
            <w:r w:rsidR="001516CB" w:rsidRPr="002C1F58">
              <w:rPr>
                <w:sz w:val="22"/>
                <w:szCs w:val="22"/>
              </w:rPr>
              <w:t xml:space="preserve"> apskaiči</w:t>
            </w:r>
            <w:r w:rsidR="000721A2" w:rsidRPr="002C1F58">
              <w:rPr>
                <w:sz w:val="22"/>
                <w:szCs w:val="22"/>
              </w:rPr>
              <w:t>uoti</w:t>
            </w:r>
            <w:r w:rsidR="001516CB" w:rsidRPr="002C1F58">
              <w:rPr>
                <w:sz w:val="22"/>
                <w:szCs w:val="22"/>
              </w:rPr>
              <w:t xml:space="preserve">. </w:t>
            </w:r>
          </w:p>
          <w:p w14:paraId="6EEA6122" w14:textId="25AA8086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Priėmus nutarimo projektą bus</w:t>
            </w:r>
            <w:r w:rsidR="00845F77" w:rsidRPr="002C1F58">
              <w:rPr>
                <w:sz w:val="22"/>
                <w:szCs w:val="22"/>
              </w:rPr>
              <w:t xml:space="preserve"> įgyvend</w:t>
            </w:r>
            <w:r w:rsidR="000721A2" w:rsidRPr="002C1F58">
              <w:rPr>
                <w:sz w:val="22"/>
                <w:szCs w:val="22"/>
              </w:rPr>
              <w:t>int</w:t>
            </w:r>
            <w:r w:rsidR="00845F77" w:rsidRPr="002C1F58">
              <w:rPr>
                <w:sz w:val="22"/>
                <w:szCs w:val="22"/>
              </w:rPr>
              <w:t>i šie uždaviniai</w:t>
            </w:r>
            <w:r w:rsidRPr="002C1F58">
              <w:rPr>
                <w:sz w:val="22"/>
                <w:szCs w:val="22"/>
              </w:rPr>
              <w:t>:</w:t>
            </w:r>
          </w:p>
          <w:p w14:paraId="6EEA6123" w14:textId="339D9246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lastRenderedPageBreak/>
              <w:t>1. Objektyviai nustatomi maršrutai, kuriuose reikalinga teikti viešąsias keleivių vežimo paslaugas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4" w14:textId="3F015D4C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2. Atsisakoma vietinio susisiekimo maršrutų (arba</w:t>
            </w:r>
            <w:r w:rsidR="00025589" w:rsidRPr="002C1F58">
              <w:rPr>
                <w:sz w:val="22"/>
                <w:szCs w:val="22"/>
              </w:rPr>
              <w:t xml:space="preserve"> jie</w:t>
            </w:r>
            <w:r w:rsidRPr="002C1F58">
              <w:rPr>
                <w:sz w:val="22"/>
                <w:szCs w:val="22"/>
              </w:rPr>
              <w:t xml:space="preserve"> keičiami į kombinuotuosius vietinio susisiekimo maršrutus), kurių reikalingumas šiuo metu kelia abejonių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5" w14:textId="5E446F33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3. Efektyviau ir skaidriau panaudojamos biudžeto lėšos maršrut</w:t>
            </w:r>
            <w:r w:rsidR="00025589" w:rsidRPr="002C1F58">
              <w:rPr>
                <w:sz w:val="22"/>
                <w:szCs w:val="22"/>
              </w:rPr>
              <w:t>ams</w:t>
            </w:r>
            <w:r w:rsidRPr="002C1F58">
              <w:rPr>
                <w:sz w:val="22"/>
                <w:szCs w:val="22"/>
              </w:rPr>
              <w:t xml:space="preserve"> kompens</w:t>
            </w:r>
            <w:r w:rsidR="00025589" w:rsidRPr="002C1F58">
              <w:rPr>
                <w:sz w:val="22"/>
                <w:szCs w:val="22"/>
              </w:rPr>
              <w:t>uoti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6" w14:textId="59CBD3D7" w:rsidR="00845F77" w:rsidRPr="002C1F58" w:rsidRDefault="00845F7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4. Sustiprinta valstybės biudžeto lėšų panaudojimo kon</w:t>
            </w:r>
            <w:r w:rsidR="00025589" w:rsidRPr="002C1F58">
              <w:rPr>
                <w:sz w:val="22"/>
                <w:szCs w:val="22"/>
              </w:rPr>
              <w:t>t</w:t>
            </w:r>
            <w:r w:rsidRPr="002C1F58">
              <w:rPr>
                <w:sz w:val="22"/>
                <w:szCs w:val="22"/>
              </w:rPr>
              <w:t>rolė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7" w14:textId="7B8ACFCC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4. Sukuriamos vienodos sąlygos geležinkelio įmonėms (vežėjams) teikti viešąsias keleivių vežimo paslaugas</w:t>
            </w:r>
            <w:r w:rsidR="000721A2" w:rsidRPr="002C1F58">
              <w:rPr>
                <w:sz w:val="22"/>
                <w:szCs w:val="22"/>
              </w:rPr>
              <w:t>.</w:t>
            </w:r>
          </w:p>
          <w:p w14:paraId="6EEA6128" w14:textId="5C2F0DFB" w:rsidR="00E14197" w:rsidRPr="002C1F58" w:rsidRDefault="00E1419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5. Sudaromos sąlygos geležinkelio įmonėms (vežėjams) planuoti veiklą</w:t>
            </w:r>
            <w:r w:rsidR="00025589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resursus ir investicijas ilg</w:t>
            </w:r>
            <w:r w:rsidR="00025589" w:rsidRPr="002C1F58">
              <w:rPr>
                <w:sz w:val="22"/>
                <w:szCs w:val="22"/>
              </w:rPr>
              <w:t>a</w:t>
            </w:r>
            <w:r w:rsidRPr="002C1F58">
              <w:rPr>
                <w:sz w:val="22"/>
                <w:szCs w:val="22"/>
              </w:rPr>
              <w:t>jame periode.</w:t>
            </w:r>
          </w:p>
          <w:p w14:paraId="6EEA6129" w14:textId="6C9038B7" w:rsidR="00E14197" w:rsidRPr="002C1F58" w:rsidRDefault="00845F77" w:rsidP="00E14197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Įgyvendinus šiuos uždavinius yra</w:t>
            </w:r>
            <w:r w:rsidR="00E14197" w:rsidRPr="002C1F58">
              <w:rPr>
                <w:sz w:val="22"/>
                <w:szCs w:val="22"/>
              </w:rPr>
              <w:t xml:space="preserve"> tikėtinas ilgalaikis efektas, iš esmės pakeisiantis vietinių susisiekimo maršrutų geležinkeli</w:t>
            </w:r>
            <w:r w:rsidR="00533D05" w:rsidRPr="002C1F58">
              <w:rPr>
                <w:sz w:val="22"/>
                <w:szCs w:val="22"/>
              </w:rPr>
              <w:t>ų</w:t>
            </w:r>
            <w:r w:rsidR="00E14197" w:rsidRPr="002C1F58">
              <w:rPr>
                <w:sz w:val="22"/>
                <w:szCs w:val="22"/>
              </w:rPr>
              <w:t xml:space="preserve"> transportu sektorių – viešosios paslaugos bus teikiamos tik maršrutuose, kuriuose yra stiprus socialinis poreikis, sudaromos vienodos ir aiškios sąlygos visoms geležinkelio įmonėms (vežėjams) dalyvauti </w:t>
            </w:r>
            <w:r w:rsidR="00025589" w:rsidRPr="002C1F58">
              <w:rPr>
                <w:sz w:val="22"/>
                <w:szCs w:val="22"/>
              </w:rPr>
              <w:t xml:space="preserve">teikiant </w:t>
            </w:r>
            <w:r w:rsidR="00E14197" w:rsidRPr="002C1F58">
              <w:rPr>
                <w:sz w:val="22"/>
                <w:szCs w:val="22"/>
              </w:rPr>
              <w:t>vieš</w:t>
            </w:r>
            <w:r w:rsidR="00025589" w:rsidRPr="002C1F58">
              <w:rPr>
                <w:sz w:val="22"/>
                <w:szCs w:val="22"/>
              </w:rPr>
              <w:t>ąsias</w:t>
            </w:r>
            <w:r w:rsidR="00E14197" w:rsidRPr="002C1F58">
              <w:rPr>
                <w:sz w:val="22"/>
                <w:szCs w:val="22"/>
              </w:rPr>
              <w:t xml:space="preserve"> paslaug</w:t>
            </w:r>
            <w:r w:rsidR="00025589" w:rsidRPr="002C1F58">
              <w:rPr>
                <w:sz w:val="22"/>
                <w:szCs w:val="22"/>
              </w:rPr>
              <w:t>as</w:t>
            </w:r>
            <w:r w:rsidR="00E14197" w:rsidRPr="002C1F58">
              <w:rPr>
                <w:sz w:val="22"/>
                <w:szCs w:val="22"/>
              </w:rPr>
              <w:t>, išaugusi teikiamų viešųjų paslaugų kokybė.</w:t>
            </w:r>
            <w:r w:rsidR="00533D05" w:rsidRPr="002C1F58">
              <w:rPr>
                <w:sz w:val="22"/>
                <w:szCs w:val="22"/>
              </w:rPr>
              <w:t xml:space="preserve"> K</w:t>
            </w:r>
            <w:r w:rsidR="00B50B50" w:rsidRPr="002C1F58">
              <w:rPr>
                <w:sz w:val="22"/>
                <w:szCs w:val="22"/>
              </w:rPr>
              <w:t>iti k</w:t>
            </w:r>
            <w:r w:rsidR="00533D05" w:rsidRPr="002C1F58">
              <w:rPr>
                <w:sz w:val="22"/>
                <w:szCs w:val="22"/>
              </w:rPr>
              <w:t>omerciškai nauding</w:t>
            </w:r>
            <w:r w:rsidR="00B50B50" w:rsidRPr="002C1F58">
              <w:rPr>
                <w:sz w:val="22"/>
                <w:szCs w:val="22"/>
              </w:rPr>
              <w:t xml:space="preserve">i geležinkelio maršrutai bus atviri konkurencijai, </w:t>
            </w:r>
            <w:r w:rsidR="00025589" w:rsidRPr="002C1F58">
              <w:rPr>
                <w:sz w:val="22"/>
                <w:szCs w:val="22"/>
              </w:rPr>
              <w:t xml:space="preserve">o </w:t>
            </w:r>
            <w:r w:rsidR="00B50B50" w:rsidRPr="002C1F58">
              <w:rPr>
                <w:sz w:val="22"/>
                <w:szCs w:val="22"/>
              </w:rPr>
              <w:t xml:space="preserve">tai </w:t>
            </w:r>
            <w:r w:rsidR="00025589" w:rsidRPr="002C1F58">
              <w:rPr>
                <w:sz w:val="22"/>
                <w:szCs w:val="22"/>
              </w:rPr>
              <w:t>su</w:t>
            </w:r>
            <w:r w:rsidR="00B50B50" w:rsidRPr="002C1F58">
              <w:rPr>
                <w:sz w:val="22"/>
                <w:szCs w:val="22"/>
              </w:rPr>
              <w:t>mažin</w:t>
            </w:r>
            <w:r w:rsidR="00025589" w:rsidRPr="002C1F58">
              <w:rPr>
                <w:sz w:val="22"/>
                <w:szCs w:val="22"/>
              </w:rPr>
              <w:t>s</w:t>
            </w:r>
            <w:r w:rsidR="00B50B50" w:rsidRPr="002C1F58">
              <w:rPr>
                <w:sz w:val="22"/>
                <w:szCs w:val="22"/>
              </w:rPr>
              <w:t xml:space="preserve"> valstybės biudžeto išlaidas ir atver</w:t>
            </w:r>
            <w:r w:rsidR="00025589" w:rsidRPr="002C1F58">
              <w:rPr>
                <w:sz w:val="22"/>
                <w:szCs w:val="22"/>
              </w:rPr>
              <w:t>s</w:t>
            </w:r>
            <w:r w:rsidR="00B50B50" w:rsidRPr="002C1F58">
              <w:rPr>
                <w:sz w:val="22"/>
                <w:szCs w:val="22"/>
              </w:rPr>
              <w:t xml:space="preserve"> geležinkelių rinką konkurencijai.</w:t>
            </w:r>
          </w:p>
          <w:p w14:paraId="6EEA612A" w14:textId="73DCB34C" w:rsidR="00845F77" w:rsidRPr="002C1F58" w:rsidRDefault="00E14197" w:rsidP="00B50B50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Priėmus nutarimo projektą, tiesioginį teisinio reguliavimo poveikį pajus geležinkelio įmonės (vežėjai) ir Lietuvos transporto saugos administracija, taip </w:t>
            </w:r>
            <w:r w:rsidR="00845F77" w:rsidRPr="002C1F58">
              <w:rPr>
                <w:sz w:val="22"/>
                <w:szCs w:val="22"/>
              </w:rPr>
              <w:t>pat asmenys</w:t>
            </w:r>
            <w:r w:rsidRPr="002C1F58">
              <w:rPr>
                <w:sz w:val="22"/>
                <w:szCs w:val="22"/>
              </w:rPr>
              <w:t xml:space="preserve">, besinaudojantys geležinkelių transportu. Netiesioginį poveikį turėtų pajusti ir kelių transporto vežėjai, kadangi </w:t>
            </w:r>
            <w:r w:rsidR="00B50B50" w:rsidRPr="002C1F58">
              <w:rPr>
                <w:sz w:val="22"/>
                <w:szCs w:val="22"/>
              </w:rPr>
              <w:t xml:space="preserve">Lietuvos Respublikos geležinkelių transporto kodekso 12 straipsnio </w:t>
            </w:r>
            <w:r w:rsidR="00B50B50" w:rsidRPr="002C1F58">
              <w:rPr>
                <w:color w:val="000000"/>
                <w:sz w:val="22"/>
                <w:szCs w:val="22"/>
                <w:lang w:eastAsia="lt-LT"/>
              </w:rPr>
              <w:t xml:space="preserve">6 dalyje nustatyta, kad geležinkelio įmonė (vežėjas) pati keleivių vežimą kelių transporto priemonėmis gali vykdyti tik tais atvejais, kai paskelbus </w:t>
            </w:r>
            <w:r w:rsidR="00046CA1" w:rsidRPr="002C1F58">
              <w:rPr>
                <w:color w:val="000000"/>
                <w:sz w:val="22"/>
                <w:szCs w:val="22"/>
                <w:lang w:eastAsia="lt-LT"/>
              </w:rPr>
              <w:t>v</w:t>
            </w:r>
            <w:r w:rsidR="00B50B50" w:rsidRPr="002C1F58">
              <w:rPr>
                <w:color w:val="000000"/>
                <w:sz w:val="22"/>
                <w:szCs w:val="22"/>
                <w:lang w:eastAsia="lt-LT"/>
              </w:rPr>
              <w:t>iešuosius pirkimus keleivių vežimą kelių transporto priemonėmis vykdysiančio vežėjo parinkti nepavyksta</w:t>
            </w:r>
            <w:r w:rsidR="00046CA1" w:rsidRPr="002C1F58">
              <w:rPr>
                <w:color w:val="000000"/>
                <w:sz w:val="22"/>
                <w:szCs w:val="22"/>
                <w:lang w:eastAsia="lt-LT"/>
              </w:rPr>
              <w:t>.</w:t>
            </w:r>
          </w:p>
          <w:p w14:paraId="6EEA612B" w14:textId="4C0301A2" w:rsidR="003D12B4" w:rsidRPr="002C1F58" w:rsidRDefault="00E14197" w:rsidP="00D4279A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Nepriėmus siūlomo nutarimo projekto, toliau nebus užtikrinama</w:t>
            </w:r>
            <w:r w:rsidR="00B50B50" w:rsidRPr="002C1F58">
              <w:rPr>
                <w:sz w:val="22"/>
                <w:szCs w:val="22"/>
              </w:rPr>
              <w:t>s</w:t>
            </w:r>
            <w:r w:rsidRPr="002C1F58">
              <w:rPr>
                <w:sz w:val="22"/>
                <w:szCs w:val="22"/>
              </w:rPr>
              <w:t xml:space="preserve"> optimalus valstybės lėšų panaudojimas, </w:t>
            </w:r>
            <w:r w:rsidR="001D414C" w:rsidRPr="002C1F58">
              <w:rPr>
                <w:sz w:val="22"/>
                <w:szCs w:val="22"/>
              </w:rPr>
              <w:t>pavyzdžiui</w:t>
            </w:r>
            <w:r w:rsidR="00025589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geležinkelio įmonės (vežėjai) bus suinteresuot</w:t>
            </w:r>
            <w:r w:rsidR="00912E0F">
              <w:rPr>
                <w:sz w:val="22"/>
                <w:szCs w:val="22"/>
              </w:rPr>
              <w:t>os</w:t>
            </w:r>
            <w:r w:rsidRPr="002C1F58">
              <w:rPr>
                <w:sz w:val="22"/>
                <w:szCs w:val="22"/>
              </w:rPr>
              <w:t xml:space="preserve"> vykdyti veiklą su didesniu </w:t>
            </w:r>
            <w:r w:rsidR="0014396E" w:rsidRPr="002C1F58">
              <w:rPr>
                <w:sz w:val="22"/>
                <w:szCs w:val="22"/>
              </w:rPr>
              <w:t xml:space="preserve">skaičiumi </w:t>
            </w:r>
            <w:r w:rsidRPr="002C1F58">
              <w:rPr>
                <w:sz w:val="22"/>
                <w:szCs w:val="22"/>
              </w:rPr>
              <w:t xml:space="preserve">vagonų, neatsižvelgiant į faktinį jų užimtumą, taip pat nesant aiškių maršruto poreikių nustatymo kriterijų </w:t>
            </w:r>
            <w:r w:rsidR="00845F77" w:rsidRPr="002C1F58">
              <w:rPr>
                <w:sz w:val="22"/>
                <w:szCs w:val="22"/>
              </w:rPr>
              <w:t xml:space="preserve">viešosios paslaugos bus </w:t>
            </w:r>
            <w:r w:rsidR="00D4279A" w:rsidRPr="002C1F58">
              <w:rPr>
                <w:sz w:val="22"/>
                <w:szCs w:val="22"/>
              </w:rPr>
              <w:t>teikiamos maršrutuose, kuriuose nėra racionalu teikti viešąsias paslaugas.</w:t>
            </w:r>
          </w:p>
        </w:tc>
      </w:tr>
    </w:tbl>
    <w:p w14:paraId="6EEA612D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9212" w:type="dxa"/>
        <w:tblLook w:val="00A0" w:firstRow="1" w:lastRow="0" w:firstColumn="1" w:lastColumn="0" w:noHBand="0" w:noVBand="0"/>
      </w:tblPr>
      <w:tblGrid>
        <w:gridCol w:w="2208"/>
        <w:gridCol w:w="7004"/>
      </w:tblGrid>
      <w:tr w:rsidR="003D12B4" w:rsidRPr="00912E0F" w14:paraId="6EEA6134" w14:textId="77777777" w:rsidTr="004656CA">
        <w:trPr>
          <w:trHeight w:val="709"/>
        </w:trPr>
        <w:tc>
          <w:tcPr>
            <w:tcW w:w="2208" w:type="dxa"/>
            <w:shd w:val="clear" w:color="auto" w:fill="DBE5F1"/>
            <w:hideMark/>
          </w:tcPr>
          <w:p w14:paraId="6EEA612E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 xml:space="preserve">Poveikis </w:t>
            </w:r>
          </w:p>
          <w:p w14:paraId="6EEA612F" w14:textId="77777777" w:rsidR="003D12B4" w:rsidRPr="002C1F58" w:rsidRDefault="003D12B4" w:rsidP="00DF3675">
            <w:pPr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04" w:type="dxa"/>
            <w:hideMark/>
          </w:tcPr>
          <w:p w14:paraId="6EEA6130" w14:textId="3AA77E2F" w:rsidR="003D12B4" w:rsidRPr="00912E0F" w:rsidRDefault="000B1B87" w:rsidP="00DF3675">
            <w:pPr>
              <w:jc w:val="both"/>
              <w:rPr>
                <w:sz w:val="22"/>
                <w:szCs w:val="22"/>
              </w:rPr>
            </w:pPr>
            <w:r w:rsidRPr="00912E0F">
              <w:rPr>
                <w:sz w:val="22"/>
                <w:szCs w:val="22"/>
              </w:rPr>
              <w:t xml:space="preserve">Pirmiausia, atlikus </w:t>
            </w:r>
            <w:r w:rsidR="008859A2" w:rsidRPr="00912E0F">
              <w:rPr>
                <w:sz w:val="22"/>
                <w:szCs w:val="22"/>
              </w:rPr>
              <w:t xml:space="preserve">viešųjų paslaugų poreikio vertinimą, tikėtina, bus atsisakyta dalies </w:t>
            </w:r>
            <w:r w:rsidR="00812882" w:rsidRPr="009634A4">
              <w:rPr>
                <w:sz w:val="22"/>
                <w:szCs w:val="22"/>
              </w:rPr>
              <w:t xml:space="preserve">šiuo metu esančių </w:t>
            </w:r>
            <w:r w:rsidR="008859A2" w:rsidRPr="009634A4">
              <w:rPr>
                <w:sz w:val="22"/>
                <w:szCs w:val="22"/>
              </w:rPr>
              <w:t xml:space="preserve">maršrutų – pačios geležinkelio įmonės (vežėjo) vertinimu – iki 7 maršrutų. Atsisakius šių maršrutų </w:t>
            </w:r>
            <w:r w:rsidR="007859AD" w:rsidRPr="00912E0F">
              <w:rPr>
                <w:sz w:val="22"/>
                <w:szCs w:val="22"/>
              </w:rPr>
              <w:t>2021 metais būtų</w:t>
            </w:r>
            <w:r w:rsidR="008859A2" w:rsidRPr="00912E0F">
              <w:rPr>
                <w:sz w:val="22"/>
                <w:szCs w:val="22"/>
              </w:rPr>
              <w:t xml:space="preserve"> galima sutaupyti </w:t>
            </w:r>
            <w:r w:rsidR="007859AD" w:rsidRPr="00912E0F">
              <w:rPr>
                <w:sz w:val="22"/>
                <w:szCs w:val="22"/>
              </w:rPr>
              <w:t xml:space="preserve">iki 3,5 mln. eurų (geležinkelio įmonės (vežėjo) duomenys). </w:t>
            </w:r>
          </w:p>
          <w:p w14:paraId="6EEA6131" w14:textId="1AB6D1D3" w:rsidR="00293656" w:rsidRPr="00912E0F" w:rsidRDefault="00293656" w:rsidP="00DF3675">
            <w:pPr>
              <w:jc w:val="both"/>
              <w:rPr>
                <w:sz w:val="22"/>
                <w:szCs w:val="22"/>
              </w:rPr>
            </w:pPr>
            <w:r w:rsidRPr="00912E0F">
              <w:rPr>
                <w:sz w:val="22"/>
                <w:szCs w:val="22"/>
              </w:rPr>
              <w:t xml:space="preserve">Nuostolių, patirtų vykdant viešųjų paslaugų įsipareigojimą, kompensacijos sumos dydis artimiausiais (2021–2022) metais turėtų svyruoti tarp 28,5 ir </w:t>
            </w:r>
            <w:r w:rsidR="00912E0F">
              <w:rPr>
                <w:sz w:val="22"/>
                <w:szCs w:val="22"/>
              </w:rPr>
              <w:br/>
            </w:r>
            <w:r w:rsidRPr="00912E0F">
              <w:rPr>
                <w:sz w:val="22"/>
                <w:szCs w:val="22"/>
              </w:rPr>
              <w:t>30,3 mln. eurų (geležinkelio įmonės (vežėjo) duomenys</w:t>
            </w:r>
            <w:r w:rsidR="00AC5086" w:rsidRPr="009634A4">
              <w:rPr>
                <w:sz w:val="22"/>
                <w:szCs w:val="22"/>
              </w:rPr>
              <w:t>)</w:t>
            </w:r>
            <w:r w:rsidRPr="009634A4">
              <w:rPr>
                <w:sz w:val="22"/>
                <w:szCs w:val="22"/>
              </w:rPr>
              <w:t>, įskaičiuojant ir nuostolius maršrutuose, kurių galbūt bus atsisakoma po viešosios paslaugos poreikio vertinimo.</w:t>
            </w:r>
            <w:r w:rsidR="00812882" w:rsidRPr="00912E0F">
              <w:rPr>
                <w:sz w:val="22"/>
                <w:szCs w:val="22"/>
              </w:rPr>
              <w:t xml:space="preserve"> Todėl tikėtina, kad valstybės biudžeto lėšų poreikis trumpuoju laikotarpiu </w:t>
            </w:r>
            <w:r w:rsidR="00046CA1" w:rsidRPr="00912E0F">
              <w:rPr>
                <w:sz w:val="22"/>
                <w:szCs w:val="22"/>
              </w:rPr>
              <w:t>iš esmės nesikeis</w:t>
            </w:r>
            <w:r w:rsidR="00812882" w:rsidRPr="00912E0F">
              <w:rPr>
                <w:sz w:val="22"/>
                <w:szCs w:val="22"/>
              </w:rPr>
              <w:t xml:space="preserve">. </w:t>
            </w:r>
          </w:p>
          <w:p w14:paraId="6EEA6132" w14:textId="5FC4D1C1" w:rsidR="00596853" w:rsidRPr="00912E0F" w:rsidRDefault="00293656" w:rsidP="00DF3675">
            <w:pPr>
              <w:jc w:val="both"/>
              <w:rPr>
                <w:sz w:val="22"/>
                <w:szCs w:val="22"/>
              </w:rPr>
            </w:pPr>
            <w:r w:rsidRPr="00912E0F">
              <w:rPr>
                <w:sz w:val="22"/>
                <w:szCs w:val="22"/>
              </w:rPr>
              <w:t xml:space="preserve">Kita vertus, išaugsiantis kontrolės lygis reikalaus ir papildomų finansinių resursų </w:t>
            </w:r>
            <w:r w:rsidR="00596853" w:rsidRPr="00912E0F">
              <w:rPr>
                <w:sz w:val="22"/>
                <w:szCs w:val="22"/>
              </w:rPr>
              <w:t>– galimai Lietuvos transporto saugos admi</w:t>
            </w:r>
            <w:r w:rsidR="000E2C91" w:rsidRPr="00912E0F">
              <w:rPr>
                <w:sz w:val="22"/>
                <w:szCs w:val="22"/>
              </w:rPr>
              <w:t>ni</w:t>
            </w:r>
            <w:r w:rsidR="00596853" w:rsidRPr="00912E0F">
              <w:rPr>
                <w:sz w:val="22"/>
                <w:szCs w:val="22"/>
              </w:rPr>
              <w:t>stracijos žmogiškųjų resursų plėtrai, patikrų vietoje bei galimam trečiųjų šalių pasitelkimui</w:t>
            </w:r>
            <w:r w:rsidR="00812882" w:rsidRPr="00912E0F">
              <w:rPr>
                <w:sz w:val="22"/>
                <w:szCs w:val="22"/>
              </w:rPr>
              <w:t>, siekiant užtikrinti teikiamų paslaugų ir duomenų kokybę</w:t>
            </w:r>
            <w:r w:rsidR="00596853" w:rsidRPr="00912E0F">
              <w:rPr>
                <w:sz w:val="22"/>
                <w:szCs w:val="22"/>
              </w:rPr>
              <w:t>.</w:t>
            </w:r>
          </w:p>
          <w:p w14:paraId="6EEA6133" w14:textId="0218C883" w:rsidR="00293656" w:rsidRPr="00912E0F" w:rsidRDefault="00596853" w:rsidP="00776FE4">
            <w:pPr>
              <w:jc w:val="both"/>
              <w:rPr>
                <w:sz w:val="22"/>
                <w:szCs w:val="22"/>
              </w:rPr>
            </w:pPr>
            <w:r w:rsidRPr="00912E0F">
              <w:rPr>
                <w:sz w:val="22"/>
                <w:szCs w:val="22"/>
              </w:rPr>
              <w:t>Taip pat atkreiptinas dėmesys, kad potencialiam vežėjui atnaujinus turimą riedmenų parką dėl išaugusios r</w:t>
            </w:r>
            <w:r w:rsidR="00B50B50" w:rsidRPr="00912E0F">
              <w:rPr>
                <w:sz w:val="22"/>
                <w:szCs w:val="22"/>
              </w:rPr>
              <w:t>i</w:t>
            </w:r>
            <w:r w:rsidRPr="00912E0F">
              <w:rPr>
                <w:sz w:val="22"/>
                <w:szCs w:val="22"/>
              </w:rPr>
              <w:t>edmenų vertės išaugs ir riedmenų nusidėvėjim</w:t>
            </w:r>
            <w:r w:rsidR="00AC5086" w:rsidRPr="00912E0F">
              <w:rPr>
                <w:sz w:val="22"/>
                <w:szCs w:val="22"/>
              </w:rPr>
              <w:t>o sąnaudos</w:t>
            </w:r>
            <w:r w:rsidRPr="00912E0F">
              <w:rPr>
                <w:sz w:val="22"/>
                <w:szCs w:val="22"/>
              </w:rPr>
              <w:t>, o tai, be abejonės</w:t>
            </w:r>
            <w:r w:rsidR="000E2C91" w:rsidRPr="00912E0F">
              <w:rPr>
                <w:sz w:val="22"/>
                <w:szCs w:val="22"/>
              </w:rPr>
              <w:t>,</w:t>
            </w:r>
            <w:r w:rsidRPr="00912E0F">
              <w:rPr>
                <w:sz w:val="22"/>
                <w:szCs w:val="22"/>
              </w:rPr>
              <w:t xml:space="preserve"> </w:t>
            </w:r>
            <w:r w:rsidR="00812882" w:rsidRPr="00912E0F">
              <w:rPr>
                <w:sz w:val="22"/>
                <w:szCs w:val="22"/>
              </w:rPr>
              <w:t xml:space="preserve">neigiamai </w:t>
            </w:r>
            <w:r w:rsidR="000E2C91" w:rsidRPr="00912E0F">
              <w:rPr>
                <w:sz w:val="22"/>
                <w:szCs w:val="22"/>
              </w:rPr>
              <w:t xml:space="preserve">paveiks </w:t>
            </w:r>
            <w:r w:rsidRPr="00912E0F">
              <w:rPr>
                <w:sz w:val="22"/>
                <w:szCs w:val="22"/>
              </w:rPr>
              <w:t>ir galutinę nuostolių, patirtų vykdant viešųjų paslaugų įsipareigojimą, kompensacijos sumą.</w:t>
            </w:r>
            <w:r w:rsidR="008A6F7E" w:rsidRPr="00912E0F">
              <w:rPr>
                <w:sz w:val="22"/>
                <w:szCs w:val="22"/>
              </w:rPr>
              <w:t xml:space="preserve"> Susisiekimo ministerijos skaičiavimais</w:t>
            </w:r>
            <w:r w:rsidR="0014396E" w:rsidRPr="00912E0F">
              <w:rPr>
                <w:sz w:val="22"/>
                <w:szCs w:val="22"/>
              </w:rPr>
              <w:t>,</w:t>
            </w:r>
            <w:r w:rsidR="008A6F7E" w:rsidRPr="00912E0F">
              <w:rPr>
                <w:sz w:val="22"/>
                <w:szCs w:val="22"/>
              </w:rPr>
              <w:t xml:space="preserve"> 2021–2030 metų laikotarpiui lėšų, reikalingų nuostoli</w:t>
            </w:r>
            <w:r w:rsidR="001D414C" w:rsidRPr="00912E0F">
              <w:rPr>
                <w:sz w:val="22"/>
                <w:szCs w:val="22"/>
              </w:rPr>
              <w:t>ams</w:t>
            </w:r>
            <w:r w:rsidR="008A6F7E" w:rsidRPr="00912E0F">
              <w:rPr>
                <w:sz w:val="22"/>
                <w:szCs w:val="22"/>
              </w:rPr>
              <w:t>, patirt</w:t>
            </w:r>
            <w:r w:rsidR="001D414C" w:rsidRPr="00912E0F">
              <w:rPr>
                <w:sz w:val="22"/>
                <w:szCs w:val="22"/>
              </w:rPr>
              <w:t>iems</w:t>
            </w:r>
            <w:r w:rsidR="008A6F7E" w:rsidRPr="00912E0F">
              <w:rPr>
                <w:sz w:val="22"/>
                <w:szCs w:val="22"/>
              </w:rPr>
              <w:t xml:space="preserve"> vykdant viešųjų paslaugų </w:t>
            </w:r>
            <w:r w:rsidR="008A6F7E" w:rsidRPr="00912E0F">
              <w:rPr>
                <w:sz w:val="22"/>
                <w:szCs w:val="22"/>
              </w:rPr>
              <w:lastRenderedPageBreak/>
              <w:t>įsipareigojimą, kompens</w:t>
            </w:r>
            <w:r w:rsidR="001D414C" w:rsidRPr="00912E0F">
              <w:rPr>
                <w:sz w:val="22"/>
                <w:szCs w:val="22"/>
              </w:rPr>
              <w:t>uoti</w:t>
            </w:r>
            <w:r w:rsidR="008A6F7E" w:rsidRPr="00912E0F">
              <w:rPr>
                <w:sz w:val="22"/>
                <w:szCs w:val="22"/>
              </w:rPr>
              <w:t xml:space="preserve"> suma galėtų </w:t>
            </w:r>
            <w:bookmarkStart w:id="0" w:name="_GoBack"/>
            <w:r w:rsidR="008A6F7E" w:rsidRPr="00912E0F">
              <w:rPr>
                <w:sz w:val="22"/>
                <w:szCs w:val="22"/>
              </w:rPr>
              <w:t xml:space="preserve">siekti </w:t>
            </w:r>
            <w:r w:rsidR="00776FE4">
              <w:rPr>
                <w:sz w:val="22"/>
                <w:szCs w:val="22"/>
              </w:rPr>
              <w:t>395</w:t>
            </w:r>
            <w:r w:rsidR="00776FE4" w:rsidRPr="00912E0F">
              <w:rPr>
                <w:sz w:val="22"/>
                <w:szCs w:val="22"/>
              </w:rPr>
              <w:t xml:space="preserve"> </w:t>
            </w:r>
            <w:bookmarkEnd w:id="0"/>
            <w:r w:rsidR="008A6F7E" w:rsidRPr="00912E0F">
              <w:rPr>
                <w:sz w:val="22"/>
                <w:szCs w:val="22"/>
              </w:rPr>
              <w:t>mln. eurų (į skaičiavimus įtraukti ir nuostoliai, patirti maršrutuose, kurių galbūt bus atsisakyta po viešųjų paslaugų poreiki</w:t>
            </w:r>
            <w:r w:rsidR="00FE76D6" w:rsidRPr="00912E0F">
              <w:rPr>
                <w:sz w:val="22"/>
                <w:szCs w:val="22"/>
              </w:rPr>
              <w:t>o vertinimo).</w:t>
            </w:r>
          </w:p>
        </w:tc>
      </w:tr>
    </w:tbl>
    <w:p w14:paraId="6EEA6135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3D12B4" w:rsidRPr="002C1F58" w14:paraId="6EEA613B" w14:textId="77777777" w:rsidTr="00DF3675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EA6136" w14:textId="77777777" w:rsidR="003D12B4" w:rsidRPr="002C1F58" w:rsidRDefault="003D12B4" w:rsidP="00DF3675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Poveikis administracinei naštai</w:t>
            </w:r>
          </w:p>
          <w:p w14:paraId="6EEA6137" w14:textId="77777777" w:rsidR="003D12B4" w:rsidRPr="002C1F58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A6138" w14:textId="2BE66FB7" w:rsidR="003D12B4" w:rsidRPr="002C1F58" w:rsidRDefault="006A2EBD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Priėmus nutarimo projektą, </w:t>
            </w:r>
            <w:r w:rsidR="000B051E" w:rsidRPr="002C1F58">
              <w:rPr>
                <w:sz w:val="22"/>
                <w:szCs w:val="22"/>
              </w:rPr>
              <w:t xml:space="preserve">ūkio subjektai </w:t>
            </w:r>
            <w:r w:rsidRPr="002C1F58">
              <w:rPr>
                <w:sz w:val="22"/>
                <w:szCs w:val="22"/>
              </w:rPr>
              <w:t xml:space="preserve">išaugusios administracinės naštos nepajus. Tačiau, siekiant įvertinti viešosios paslaugos poreikį konkrečiame maršrute, vadovaujantis Apraše nurodyta formule, Susisiekimo ministerija turės gauti </w:t>
            </w:r>
            <w:r w:rsidR="009064DC" w:rsidRPr="002C1F58">
              <w:rPr>
                <w:sz w:val="22"/>
                <w:szCs w:val="22"/>
              </w:rPr>
              <w:t>duomenis</w:t>
            </w:r>
            <w:r w:rsidRPr="002C1F58">
              <w:rPr>
                <w:sz w:val="22"/>
                <w:szCs w:val="22"/>
              </w:rPr>
              <w:t xml:space="preserve"> </w:t>
            </w:r>
            <w:r w:rsidR="009064DC" w:rsidRPr="002C1F58">
              <w:rPr>
                <w:sz w:val="22"/>
                <w:szCs w:val="22"/>
              </w:rPr>
              <w:t>(</w:t>
            </w:r>
            <w:r w:rsidR="001D414C" w:rsidRPr="002C1F58">
              <w:rPr>
                <w:sz w:val="22"/>
                <w:szCs w:val="22"/>
              </w:rPr>
              <w:t xml:space="preserve">ir </w:t>
            </w:r>
            <w:r w:rsidR="009064DC" w:rsidRPr="002C1F58">
              <w:rPr>
                <w:sz w:val="22"/>
                <w:szCs w:val="22"/>
              </w:rPr>
              <w:t xml:space="preserve">juos įvertinti) </w:t>
            </w:r>
            <w:r w:rsidRPr="002C1F58">
              <w:rPr>
                <w:sz w:val="22"/>
                <w:szCs w:val="22"/>
              </w:rPr>
              <w:t xml:space="preserve">iš Lietuvos </w:t>
            </w:r>
            <w:r w:rsidR="001D414C" w:rsidRPr="002C1F58">
              <w:rPr>
                <w:sz w:val="22"/>
                <w:szCs w:val="22"/>
              </w:rPr>
              <w:t>s</w:t>
            </w:r>
            <w:r w:rsidRPr="002C1F58">
              <w:rPr>
                <w:sz w:val="22"/>
                <w:szCs w:val="22"/>
              </w:rPr>
              <w:t>tatistikos departamento,</w:t>
            </w:r>
            <w:r w:rsidR="001477F0" w:rsidRPr="002C1F58">
              <w:rPr>
                <w:sz w:val="22"/>
                <w:szCs w:val="22"/>
              </w:rPr>
              <w:t xml:space="preserve"> </w:t>
            </w:r>
            <w:r w:rsidRPr="002C1F58">
              <w:rPr>
                <w:sz w:val="22"/>
                <w:szCs w:val="22"/>
              </w:rPr>
              <w:t xml:space="preserve">Valstybinės akreditavimo sveikatos priežiūros veiklai tarnybos prie Sveikatos apsaugos ministerijos, Valstybinio socialinio draudimo fondo valdybos prie Lietuvos Respublikos socialinės apsaugos ir darbo ministerijos, </w:t>
            </w:r>
            <w:r w:rsidR="009064DC" w:rsidRPr="002C1F58">
              <w:rPr>
                <w:sz w:val="22"/>
                <w:szCs w:val="22"/>
              </w:rPr>
              <w:t xml:space="preserve">Lietuvos Respublikos kelių transporto priemonių registro ir geležinkelio įmonių (vežėjų). Dalis reikalingų duomenų (Lietuvos </w:t>
            </w:r>
            <w:r w:rsidR="001D414C" w:rsidRPr="002C1F58">
              <w:rPr>
                <w:sz w:val="22"/>
                <w:szCs w:val="22"/>
              </w:rPr>
              <w:t>s</w:t>
            </w:r>
            <w:r w:rsidR="009064DC" w:rsidRPr="002C1F58">
              <w:rPr>
                <w:sz w:val="22"/>
                <w:szCs w:val="22"/>
              </w:rPr>
              <w:t>tatistikos depa</w:t>
            </w:r>
            <w:r w:rsidR="001D414C" w:rsidRPr="002C1F58">
              <w:rPr>
                <w:sz w:val="22"/>
                <w:szCs w:val="22"/>
              </w:rPr>
              <w:t>r</w:t>
            </w:r>
            <w:r w:rsidR="009064DC" w:rsidRPr="002C1F58">
              <w:rPr>
                <w:sz w:val="22"/>
                <w:szCs w:val="22"/>
              </w:rPr>
              <w:t xml:space="preserve">tamento, Valstybinės akreditavimo sveikatos priežiūros veiklai tarnybos prie Sveikatos apsaugos ministerijos, Valstybinio socialinio draudimo fondo valdybos prie Lietuvos Respublikos socialinės apsaugos ir darbo ministerijos) yra viešai prieinami, todėl papildomų užklausų nereikės. </w:t>
            </w:r>
            <w:r w:rsidR="00C15A94" w:rsidRPr="002C1F58">
              <w:rPr>
                <w:sz w:val="22"/>
                <w:szCs w:val="22"/>
              </w:rPr>
              <w:t xml:space="preserve">Be to, įvertinant, kad viešųjų paslaugų poreikio nustatymas reikalingas </w:t>
            </w:r>
            <w:r w:rsidR="00B37BB1" w:rsidRPr="002C1F58">
              <w:rPr>
                <w:sz w:val="22"/>
                <w:szCs w:val="22"/>
              </w:rPr>
              <w:t xml:space="preserve">tik </w:t>
            </w:r>
            <w:r w:rsidR="00C15A94" w:rsidRPr="002C1F58">
              <w:rPr>
                <w:sz w:val="22"/>
                <w:szCs w:val="22"/>
              </w:rPr>
              <w:t xml:space="preserve">prieš pasirašant viešųjų paslaugų sutartis ir kad tokios sutartys bus pasirašomos ilgajam laikotarpiui,  tikėtina, kad ir užklausų dėl duomenų gavimo </w:t>
            </w:r>
            <w:r w:rsidR="001D414C" w:rsidRPr="002C1F58">
              <w:rPr>
                <w:sz w:val="22"/>
                <w:szCs w:val="22"/>
              </w:rPr>
              <w:t xml:space="preserve">skaičius </w:t>
            </w:r>
            <w:r w:rsidR="00C15A94" w:rsidRPr="002C1F58">
              <w:rPr>
                <w:sz w:val="22"/>
                <w:szCs w:val="22"/>
              </w:rPr>
              <w:t>bus labai mažas (tikėtina, ne daugiau kaip 1</w:t>
            </w:r>
            <w:r w:rsidR="001D414C" w:rsidRPr="002C1F58">
              <w:rPr>
                <w:sz w:val="22"/>
                <w:szCs w:val="22"/>
              </w:rPr>
              <w:t>–</w:t>
            </w:r>
            <w:r w:rsidR="00C15A94" w:rsidRPr="002C1F58">
              <w:rPr>
                <w:sz w:val="22"/>
                <w:szCs w:val="22"/>
              </w:rPr>
              <w:t>2 kartus per 5 metus). Todėl, atsižvelgiant į tai, kas išdėstyta, poveikis institucijų, kurios y</w:t>
            </w:r>
            <w:r w:rsidR="001D414C" w:rsidRPr="002C1F58">
              <w:rPr>
                <w:sz w:val="22"/>
                <w:szCs w:val="22"/>
              </w:rPr>
              <w:t>r</w:t>
            </w:r>
            <w:r w:rsidR="00C15A94" w:rsidRPr="002C1F58">
              <w:rPr>
                <w:sz w:val="22"/>
                <w:szCs w:val="22"/>
              </w:rPr>
              <w:t>a duomenų, reikalingų v</w:t>
            </w:r>
            <w:r w:rsidR="001D414C" w:rsidRPr="002C1F58">
              <w:rPr>
                <w:sz w:val="22"/>
                <w:szCs w:val="22"/>
              </w:rPr>
              <w:t>i</w:t>
            </w:r>
            <w:r w:rsidR="00C15A94" w:rsidRPr="002C1F58">
              <w:rPr>
                <w:sz w:val="22"/>
                <w:szCs w:val="22"/>
              </w:rPr>
              <w:t>ešosios paslaugos poreik</w:t>
            </w:r>
            <w:r w:rsidR="001D414C" w:rsidRPr="002C1F58">
              <w:rPr>
                <w:sz w:val="22"/>
                <w:szCs w:val="22"/>
              </w:rPr>
              <w:t>iui nustatyti</w:t>
            </w:r>
            <w:r w:rsidR="00C15A94" w:rsidRPr="002C1F58">
              <w:rPr>
                <w:sz w:val="22"/>
                <w:szCs w:val="22"/>
              </w:rPr>
              <w:t xml:space="preserve">, tvarkytojos </w:t>
            </w:r>
            <w:r w:rsidR="00540A34" w:rsidRPr="002C1F58">
              <w:rPr>
                <w:sz w:val="22"/>
                <w:szCs w:val="22"/>
              </w:rPr>
              <w:t>ar valdytojos,</w:t>
            </w:r>
            <w:r w:rsidR="00C15A94" w:rsidRPr="002C1F58">
              <w:rPr>
                <w:sz w:val="22"/>
                <w:szCs w:val="22"/>
              </w:rPr>
              <w:t xml:space="preserve"> administracinei </w:t>
            </w:r>
            <w:r w:rsidR="00540A34" w:rsidRPr="002C1F58">
              <w:rPr>
                <w:sz w:val="22"/>
                <w:szCs w:val="22"/>
              </w:rPr>
              <w:t>naštai bus minimalus.</w:t>
            </w:r>
          </w:p>
          <w:p w14:paraId="6EEA6139" w14:textId="7EA72E5E" w:rsidR="008A6A91" w:rsidRPr="002C1F58" w:rsidRDefault="00143995" w:rsidP="00DF3675">
            <w:pPr>
              <w:jc w:val="both"/>
              <w:rPr>
                <w:color w:val="000000"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Didžiausią poveikį administracinei naštai turėtų pajusti Lietuvos transporto saugos administracija</w:t>
            </w:r>
            <w:r w:rsidR="00FC4631" w:rsidRPr="002C1F58">
              <w:rPr>
                <w:sz w:val="22"/>
                <w:szCs w:val="22"/>
              </w:rPr>
              <w:t>, kuri atliks patikrinimus traukiniuose, taip pat duomenų, gautų iš geležinkelio įmonių (vežėjų)</w:t>
            </w:r>
            <w:r w:rsidR="006B7A00" w:rsidRPr="002C1F58">
              <w:rPr>
                <w:sz w:val="22"/>
                <w:szCs w:val="22"/>
              </w:rPr>
              <w:t xml:space="preserve"> patikrą. </w:t>
            </w:r>
            <w:r w:rsidR="009933BE" w:rsidRPr="002C1F58">
              <w:rPr>
                <w:sz w:val="22"/>
                <w:szCs w:val="22"/>
              </w:rPr>
              <w:t xml:space="preserve">Tačiau ši institucija panašias funkcijas vykdo ir dabar. </w:t>
            </w:r>
            <w:r w:rsidR="00332246" w:rsidRPr="002C1F58">
              <w:rPr>
                <w:sz w:val="22"/>
                <w:szCs w:val="22"/>
              </w:rPr>
              <w:t>Pavyzdžiui, v</w:t>
            </w:r>
            <w:r w:rsidR="009933BE" w:rsidRPr="002C1F58">
              <w:rPr>
                <w:sz w:val="22"/>
                <w:szCs w:val="22"/>
              </w:rPr>
              <w:t>adovau</w:t>
            </w:r>
            <w:r w:rsidR="002F3735" w:rsidRPr="002C1F58">
              <w:rPr>
                <w:sz w:val="22"/>
                <w:szCs w:val="22"/>
              </w:rPr>
              <w:t>damasi</w:t>
            </w:r>
            <w:r w:rsidR="009933BE" w:rsidRPr="002C1F58">
              <w:rPr>
                <w:sz w:val="22"/>
                <w:szCs w:val="22"/>
              </w:rPr>
              <w:t xml:space="preserve"> Lietuvos trans</w:t>
            </w:r>
            <w:r w:rsidR="00332246" w:rsidRPr="002C1F58">
              <w:rPr>
                <w:sz w:val="22"/>
                <w:szCs w:val="22"/>
              </w:rPr>
              <w:t>porto saugos administracijos nuostatų, patvirtintų Lietuvos Respublikos susisiekimo ministro 2017 m. lapkričio 30 d. įsakym</w:t>
            </w:r>
            <w:r w:rsidR="002F3735" w:rsidRPr="002C1F58">
              <w:rPr>
                <w:sz w:val="22"/>
                <w:szCs w:val="22"/>
              </w:rPr>
              <w:t>u</w:t>
            </w:r>
            <w:r w:rsidR="00332246" w:rsidRPr="002C1F58">
              <w:rPr>
                <w:sz w:val="22"/>
                <w:szCs w:val="22"/>
              </w:rPr>
              <w:t xml:space="preserve"> Nr. 3-574 „Dėl Lietuvos transporto saugos administracijos nuostatų patvirtinimo“</w:t>
            </w:r>
            <w:r w:rsidR="002F3735" w:rsidRPr="002C1F58">
              <w:rPr>
                <w:sz w:val="22"/>
                <w:szCs w:val="22"/>
              </w:rPr>
              <w:t>,</w:t>
            </w:r>
            <w:r w:rsidR="00332246" w:rsidRPr="002C1F58">
              <w:rPr>
                <w:sz w:val="22"/>
                <w:szCs w:val="22"/>
              </w:rPr>
              <w:t xml:space="preserve"> </w:t>
            </w:r>
            <w:r w:rsidR="002F3735" w:rsidRPr="002C1F58">
              <w:rPr>
                <w:sz w:val="22"/>
                <w:szCs w:val="22"/>
              </w:rPr>
              <w:br/>
            </w:r>
            <w:r w:rsidR="00332246" w:rsidRPr="002C1F58">
              <w:rPr>
                <w:color w:val="000000"/>
                <w:sz w:val="22"/>
                <w:szCs w:val="22"/>
              </w:rPr>
              <w:t>13.7.11 papunkčiu</w:t>
            </w:r>
            <w:r w:rsidR="002F3735" w:rsidRPr="002C1F58">
              <w:rPr>
                <w:color w:val="000000"/>
                <w:sz w:val="22"/>
                <w:szCs w:val="22"/>
              </w:rPr>
              <w:t>,</w:t>
            </w:r>
            <w:r w:rsidR="00332246" w:rsidRPr="002C1F58">
              <w:rPr>
                <w:color w:val="000000"/>
                <w:sz w:val="22"/>
                <w:szCs w:val="22"/>
              </w:rPr>
              <w:t xml:space="preserve"> nustato, keičia ir panaikina tolimojo reguliaraus susisiekimo autobusų maršrutus,  išduoda ir panaikina leidimus vežti keleivius šiais maršrutais, o </w:t>
            </w:r>
            <w:r w:rsidR="008A6A91" w:rsidRPr="002C1F58">
              <w:rPr>
                <w:color w:val="000000"/>
                <w:sz w:val="22"/>
                <w:szCs w:val="22"/>
              </w:rPr>
              <w:t xml:space="preserve">13.7.7 papunkčiu </w:t>
            </w:r>
            <w:r w:rsidR="002F3735" w:rsidRPr="002C1F58">
              <w:rPr>
                <w:color w:val="000000"/>
                <w:sz w:val="22"/>
                <w:szCs w:val="22"/>
              </w:rPr>
              <w:t>–</w:t>
            </w:r>
            <w:r w:rsidR="008A6A91" w:rsidRPr="002C1F58">
              <w:rPr>
                <w:color w:val="000000"/>
                <w:sz w:val="22"/>
                <w:szCs w:val="22"/>
              </w:rPr>
              <w:t xml:space="preserve"> vykdo ūkio subjektų, vykdančių keleivių ir (ar) krovinių vežimo veiklą, kontrolę, analizuoja nustatytus įstatymų ir kitų teisės aktų reikalavimų pažeidimus ir įgyvendina pažeidimų prevencijos priemones.</w:t>
            </w:r>
          </w:p>
          <w:p w14:paraId="6EEA613A" w14:textId="6EAAD8DC" w:rsidR="00540A34" w:rsidRPr="002C1F58" w:rsidRDefault="006B7A00" w:rsidP="00DF3675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Dėl išaugusios administracinės naštos ir padidėjusio resursų poreikio bus per</w:t>
            </w:r>
            <w:r w:rsidR="002F3735" w:rsidRPr="002C1F58">
              <w:rPr>
                <w:sz w:val="22"/>
                <w:szCs w:val="22"/>
              </w:rPr>
              <w:t>svarsto</w:t>
            </w:r>
            <w:r w:rsidRPr="002C1F58">
              <w:rPr>
                <w:sz w:val="22"/>
                <w:szCs w:val="22"/>
              </w:rPr>
              <w:t>ma</w:t>
            </w:r>
            <w:r w:rsidR="000B051E" w:rsidRPr="002C1F58">
              <w:rPr>
                <w:sz w:val="22"/>
                <w:szCs w:val="22"/>
              </w:rPr>
              <w:t>s</w:t>
            </w:r>
            <w:r w:rsidRPr="002C1F58">
              <w:rPr>
                <w:sz w:val="22"/>
                <w:szCs w:val="22"/>
              </w:rPr>
              <w:t xml:space="preserve"> Lietuvos transporto saugos administracijos darbuotojų</w:t>
            </w:r>
            <w:r w:rsidR="00B37BB1" w:rsidRPr="002C1F58">
              <w:rPr>
                <w:sz w:val="22"/>
                <w:szCs w:val="22"/>
              </w:rPr>
              <w:t xml:space="preserve"> ir lėšų</w:t>
            </w:r>
            <w:r w:rsidRPr="002C1F58">
              <w:rPr>
                <w:sz w:val="22"/>
                <w:szCs w:val="22"/>
              </w:rPr>
              <w:t xml:space="preserve"> poreikis.</w:t>
            </w:r>
          </w:p>
        </w:tc>
      </w:tr>
    </w:tbl>
    <w:p w14:paraId="6EEA613C" w14:textId="77777777" w:rsidR="003D12B4" w:rsidRPr="002C1F58" w:rsidRDefault="003D12B4" w:rsidP="003D12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850C30" w:rsidRPr="002C1F58" w14:paraId="6EEA6141" w14:textId="77777777" w:rsidTr="00D62D9F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EA613D" w14:textId="77777777" w:rsidR="00850C30" w:rsidRPr="002C1F58" w:rsidRDefault="00850C30" w:rsidP="00D62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Poveikis socialinei aplinkai</w:t>
            </w:r>
          </w:p>
          <w:p w14:paraId="6EEA613E" w14:textId="77777777" w:rsidR="00850C30" w:rsidRPr="002C1F58" w:rsidRDefault="00850C30" w:rsidP="00D62D9F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A613F" w14:textId="60B44229" w:rsidR="00850C30" w:rsidRPr="002C1F58" w:rsidRDefault="004160EB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Nutarimo projektas įtakos darbo rinkai ir užimtumui neturės. Nutarimo projektas nereglame</w:t>
            </w:r>
            <w:r w:rsidR="002F3735" w:rsidRPr="002C1F58">
              <w:rPr>
                <w:sz w:val="22"/>
                <w:szCs w:val="22"/>
              </w:rPr>
              <w:t>n</w:t>
            </w:r>
            <w:r w:rsidRPr="002C1F58">
              <w:rPr>
                <w:sz w:val="22"/>
                <w:szCs w:val="22"/>
              </w:rPr>
              <w:t xml:space="preserve">tuoja lygių galimybių užtikrinimo. Nutarimo projektas nereglamentuoja darbo santykių ir darbo sąlygų. Nutarimo projektas nepaveiks socialinės partnerystės, gyventojų pajamų ir išlaidų, skurdo lygio ar socialinės paramos sistemos. Nutarimo projektas neturės </w:t>
            </w:r>
            <w:r w:rsidR="006F748C" w:rsidRPr="002C1F58">
              <w:rPr>
                <w:sz w:val="22"/>
                <w:szCs w:val="22"/>
              </w:rPr>
              <w:t xml:space="preserve">įtakos socialinei atskirčiai ir socialinei diferenciacijai. </w:t>
            </w:r>
          </w:p>
          <w:p w14:paraId="6EEA6140" w14:textId="7BE84517" w:rsidR="006F748C" w:rsidRPr="002C1F58" w:rsidRDefault="006F748C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Visgi, įvertinus tai, kad atlikus viešų</w:t>
            </w:r>
            <w:r w:rsidR="00200E2D" w:rsidRPr="002C1F58">
              <w:rPr>
                <w:sz w:val="22"/>
                <w:szCs w:val="22"/>
              </w:rPr>
              <w:t>jų</w:t>
            </w:r>
            <w:r w:rsidRPr="002C1F58">
              <w:rPr>
                <w:sz w:val="22"/>
                <w:szCs w:val="22"/>
              </w:rPr>
              <w:t xml:space="preserve"> paslaugų poreikio vertinimą maršrutuose kai kurių maršrutų bus atsisakyta, tikėtina, kad kai kurie gyventojai gali susidurti su nepatogumais keliaujant</w:t>
            </w:r>
            <w:r w:rsidR="008A6A91" w:rsidRPr="002C1F58">
              <w:rPr>
                <w:sz w:val="22"/>
                <w:szCs w:val="22"/>
              </w:rPr>
              <w:t xml:space="preserve"> jiems įprastu būdu, tačiau visais atvejais bus vertinama</w:t>
            </w:r>
            <w:r w:rsidR="002F3735" w:rsidRPr="002C1F58">
              <w:rPr>
                <w:sz w:val="22"/>
                <w:szCs w:val="22"/>
              </w:rPr>
              <w:t>,</w:t>
            </w:r>
            <w:r w:rsidR="008A6A91" w:rsidRPr="002C1F58">
              <w:rPr>
                <w:sz w:val="22"/>
                <w:szCs w:val="22"/>
              </w:rPr>
              <w:t xml:space="preserve"> ar jiems yra užtikrintos kitos </w:t>
            </w:r>
            <w:r w:rsidRPr="002C1F58">
              <w:rPr>
                <w:sz w:val="22"/>
                <w:szCs w:val="22"/>
              </w:rPr>
              <w:t>judumo alternatyv</w:t>
            </w:r>
            <w:r w:rsidR="008A6A91" w:rsidRPr="002C1F58">
              <w:rPr>
                <w:sz w:val="22"/>
                <w:szCs w:val="22"/>
              </w:rPr>
              <w:t>o</w:t>
            </w:r>
            <w:r w:rsidRPr="002C1F58">
              <w:rPr>
                <w:sz w:val="22"/>
                <w:szCs w:val="22"/>
              </w:rPr>
              <w:t>s, todėl manome, kad nutarimo projekto poveikis socialinei aplinkai bus minimalus.</w:t>
            </w:r>
          </w:p>
        </w:tc>
      </w:tr>
    </w:tbl>
    <w:p w14:paraId="6EEA6142" w14:textId="77777777" w:rsidR="00850C30" w:rsidRPr="002C1F58" w:rsidRDefault="00850C30" w:rsidP="003D12B4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0B4694" w:rsidRPr="002C1F58" w14:paraId="6EEA6147" w14:textId="77777777" w:rsidTr="00D62D9F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EA6143" w14:textId="77777777" w:rsidR="000B4694" w:rsidRPr="002C1F58" w:rsidRDefault="000B4694" w:rsidP="00D62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Poveikis konkurencijos sąlygoms</w:t>
            </w:r>
          </w:p>
          <w:p w14:paraId="6EEA6144" w14:textId="77777777" w:rsidR="000B4694" w:rsidRPr="002C1F58" w:rsidRDefault="000B4694" w:rsidP="00D62D9F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A6145" w14:textId="18AF8EE0" w:rsidR="000B4694" w:rsidRPr="002C1F58" w:rsidRDefault="009E4460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lastRenderedPageBreak/>
              <w:t xml:space="preserve">Nutarimo </w:t>
            </w:r>
            <w:r w:rsidR="00A72601" w:rsidRPr="002C1F58">
              <w:rPr>
                <w:sz w:val="22"/>
                <w:szCs w:val="22"/>
              </w:rPr>
              <w:t>projektu siekiama sudaryti aiškias ir vienodas konkurencines sąlygas visiems rinkos dalyviams, todėl</w:t>
            </w:r>
            <w:r w:rsidR="00A93C55" w:rsidRPr="002C1F58">
              <w:rPr>
                <w:sz w:val="22"/>
                <w:szCs w:val="22"/>
              </w:rPr>
              <w:t xml:space="preserve"> </w:t>
            </w:r>
            <w:r w:rsidR="00A72601" w:rsidRPr="002C1F58">
              <w:rPr>
                <w:sz w:val="22"/>
                <w:szCs w:val="22"/>
              </w:rPr>
              <w:t>nutarimo proj</w:t>
            </w:r>
            <w:r w:rsidR="00A93C55" w:rsidRPr="002C1F58">
              <w:rPr>
                <w:sz w:val="22"/>
                <w:szCs w:val="22"/>
              </w:rPr>
              <w:t>e</w:t>
            </w:r>
            <w:r w:rsidR="00A72601" w:rsidRPr="002C1F58">
              <w:rPr>
                <w:sz w:val="22"/>
                <w:szCs w:val="22"/>
              </w:rPr>
              <w:t xml:space="preserve">ktu teikiamame Apraše yra įvardijami aiškūs kriterijai, kuriais remiantis bus nustatomas </w:t>
            </w:r>
            <w:r w:rsidR="00A72601" w:rsidRPr="002C1F58">
              <w:rPr>
                <w:sz w:val="22"/>
                <w:szCs w:val="22"/>
              </w:rPr>
              <w:lastRenderedPageBreak/>
              <w:t xml:space="preserve">viešųjų paslaugų poreikis maršrutuose, taip pat pateikiama formulė, kuria vadovaujantis </w:t>
            </w:r>
            <w:r w:rsidR="008A6A91" w:rsidRPr="002C1F58">
              <w:rPr>
                <w:sz w:val="22"/>
                <w:szCs w:val="22"/>
              </w:rPr>
              <w:t xml:space="preserve">bus </w:t>
            </w:r>
            <w:r w:rsidR="00A72601" w:rsidRPr="002C1F58">
              <w:rPr>
                <w:sz w:val="22"/>
                <w:szCs w:val="22"/>
              </w:rPr>
              <w:t>išmokamos kompensacijos už nuostolius, patirtus teikiant viešąsias paslaugas.</w:t>
            </w:r>
          </w:p>
          <w:p w14:paraId="6EEA6146" w14:textId="044FA911" w:rsidR="00A72601" w:rsidRPr="002C1F58" w:rsidRDefault="00A72601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Susisiekimo ministerijos vertinimu</w:t>
            </w:r>
            <w:r w:rsidR="00A93C55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nutarimo projektu teikiamame apraše nuostatų</w:t>
            </w:r>
            <w:r w:rsidR="005068A7" w:rsidRPr="002C1F58">
              <w:rPr>
                <w:sz w:val="22"/>
                <w:szCs w:val="22"/>
              </w:rPr>
              <w:t>,</w:t>
            </w:r>
            <w:r w:rsidRPr="002C1F58">
              <w:rPr>
                <w:sz w:val="22"/>
                <w:szCs w:val="22"/>
              </w:rPr>
              <w:t xml:space="preserve"> ribojančių konkurencines sąlygas, nėra.</w:t>
            </w:r>
          </w:p>
        </w:tc>
      </w:tr>
    </w:tbl>
    <w:p w14:paraId="6EEA6148" w14:textId="77777777" w:rsidR="000B4694" w:rsidRPr="002C1F58" w:rsidRDefault="000B4694" w:rsidP="003D12B4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A72601" w:rsidRPr="002C1F58" w14:paraId="6EEA614C" w14:textId="77777777" w:rsidTr="00D62D9F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EA6149" w14:textId="77777777" w:rsidR="00A72601" w:rsidRPr="002C1F58" w:rsidRDefault="00A72601" w:rsidP="00D62D9F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2C1F58">
              <w:rPr>
                <w:b/>
                <w:sz w:val="22"/>
                <w:szCs w:val="22"/>
              </w:rPr>
              <w:t>Poveikis aplinkai</w:t>
            </w:r>
          </w:p>
          <w:p w14:paraId="6EEA614A" w14:textId="77777777" w:rsidR="00A72601" w:rsidRPr="002C1F58" w:rsidRDefault="00A72601" w:rsidP="00D62D9F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A614B" w14:textId="61CFA7CA" w:rsidR="00A72601" w:rsidRPr="002C1F58" w:rsidRDefault="00701170" w:rsidP="00D62D9F">
            <w:pPr>
              <w:jc w:val="both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 xml:space="preserve">Tikėtina, kad priėmus nutarimo projektą </w:t>
            </w:r>
            <w:r w:rsidR="008A6A91" w:rsidRPr="002C1F58">
              <w:rPr>
                <w:sz w:val="22"/>
                <w:szCs w:val="22"/>
              </w:rPr>
              <w:t xml:space="preserve">poveikis aplinkai bus teigiamas, kadangi gyventojai bus skatinami rinktis švariausią aplinkai alternatyvą </w:t>
            </w:r>
            <w:r w:rsidR="00200E2D" w:rsidRPr="002C1F58">
              <w:rPr>
                <w:sz w:val="22"/>
                <w:szCs w:val="22"/>
              </w:rPr>
              <w:t>–</w:t>
            </w:r>
            <w:r w:rsidR="008A6A91" w:rsidRPr="002C1F58">
              <w:rPr>
                <w:sz w:val="22"/>
                <w:szCs w:val="22"/>
              </w:rPr>
              <w:t>geležinkelių transportą, bus per</w:t>
            </w:r>
            <w:r w:rsidR="005068A7" w:rsidRPr="002C1F58">
              <w:rPr>
                <w:sz w:val="22"/>
                <w:szCs w:val="22"/>
              </w:rPr>
              <w:t>svarstyti</w:t>
            </w:r>
            <w:r w:rsidR="00200E2D" w:rsidRPr="002C1F58">
              <w:rPr>
                <w:sz w:val="22"/>
                <w:szCs w:val="22"/>
              </w:rPr>
              <w:t xml:space="preserve"> </w:t>
            </w:r>
            <w:r w:rsidRPr="002C1F58">
              <w:rPr>
                <w:sz w:val="22"/>
                <w:szCs w:val="22"/>
              </w:rPr>
              <w:t xml:space="preserve">vietinio susisiekimo </w:t>
            </w:r>
            <w:r w:rsidR="008A6A91" w:rsidRPr="002C1F58">
              <w:rPr>
                <w:sz w:val="22"/>
                <w:szCs w:val="22"/>
              </w:rPr>
              <w:t>maršrutai</w:t>
            </w:r>
            <w:r w:rsidRPr="002C1F58">
              <w:rPr>
                <w:sz w:val="22"/>
                <w:szCs w:val="22"/>
              </w:rPr>
              <w:t>, taip pat jų dažnis,</w:t>
            </w:r>
            <w:r w:rsidR="008A6A91" w:rsidRPr="002C1F58">
              <w:rPr>
                <w:sz w:val="22"/>
                <w:szCs w:val="22"/>
              </w:rPr>
              <w:t xml:space="preserve"> įvedami kombinuoti</w:t>
            </w:r>
            <w:r w:rsidR="005068A7" w:rsidRPr="002C1F58">
              <w:rPr>
                <w:sz w:val="22"/>
                <w:szCs w:val="22"/>
              </w:rPr>
              <w:t>eji</w:t>
            </w:r>
            <w:r w:rsidR="008A6A91" w:rsidRPr="002C1F58">
              <w:rPr>
                <w:sz w:val="22"/>
                <w:szCs w:val="22"/>
              </w:rPr>
              <w:t xml:space="preserve"> traukinių ir autobusų maršrutai.</w:t>
            </w:r>
          </w:p>
        </w:tc>
      </w:tr>
    </w:tbl>
    <w:p w14:paraId="6EEA614D" w14:textId="77777777" w:rsidR="004160EB" w:rsidRPr="002C1F58" w:rsidRDefault="004160EB" w:rsidP="003D12B4">
      <w:pPr>
        <w:rPr>
          <w:i/>
          <w:sz w:val="22"/>
          <w:szCs w:val="22"/>
        </w:rPr>
      </w:pPr>
    </w:p>
    <w:p w14:paraId="6EEA614E" w14:textId="77777777" w:rsidR="004160EB" w:rsidRPr="002C1F58" w:rsidRDefault="004160EB" w:rsidP="003D12B4">
      <w:pPr>
        <w:rPr>
          <w:i/>
          <w:sz w:val="22"/>
          <w:szCs w:val="22"/>
        </w:rPr>
      </w:pPr>
    </w:p>
    <w:p w14:paraId="6EEA614F" w14:textId="77777777" w:rsidR="003D12B4" w:rsidRPr="002C1F58" w:rsidRDefault="003D12B4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2C1F58">
        <w:rPr>
          <w:b/>
          <w:sz w:val="22"/>
          <w:szCs w:val="22"/>
        </w:rPr>
        <w:t>Informacija apie asmenį ir instituciją, atsakingą už poveikio vertinimą</w:t>
      </w:r>
    </w:p>
    <w:p w14:paraId="6EEA6150" w14:textId="77777777" w:rsidR="003D12B4" w:rsidRPr="002C1F58" w:rsidRDefault="003D12B4" w:rsidP="003D12B4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3D12B4" w:rsidRPr="002C1F58" w14:paraId="6EEA6153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EEA6151" w14:textId="77777777" w:rsidR="003D12B4" w:rsidRPr="002C1F58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EA6152" w14:textId="77777777" w:rsidR="003D12B4" w:rsidRPr="002C1F58" w:rsidRDefault="006E5696" w:rsidP="009E4460">
            <w:pPr>
              <w:pStyle w:val="ListParagraph1"/>
              <w:ind w:left="0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Marius Marčiulaitis</w:t>
            </w:r>
          </w:p>
        </w:tc>
      </w:tr>
      <w:tr w:rsidR="003D12B4" w:rsidRPr="002C1F58" w14:paraId="6EEA6156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EEA6154" w14:textId="77777777" w:rsidR="003D12B4" w:rsidRPr="002C1F58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EA6155" w14:textId="77777777" w:rsidR="003D12B4" w:rsidRPr="002C1F58" w:rsidRDefault="006E5696" w:rsidP="00DF3675">
            <w:pPr>
              <w:pStyle w:val="ListParagraph1"/>
              <w:ind w:left="0"/>
              <w:jc w:val="both"/>
              <w:rPr>
                <w:bCs/>
                <w:sz w:val="22"/>
                <w:szCs w:val="22"/>
              </w:rPr>
            </w:pPr>
            <w:r w:rsidRPr="002C1F58">
              <w:rPr>
                <w:bCs/>
                <w:sz w:val="22"/>
                <w:szCs w:val="22"/>
              </w:rPr>
              <w:t>Vandens ir geležinkelių transporto politikos grupės vyriausias specialistas</w:t>
            </w:r>
          </w:p>
        </w:tc>
      </w:tr>
      <w:tr w:rsidR="003D12B4" w:rsidRPr="002C1F58" w14:paraId="6EEA6159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EEA6157" w14:textId="77777777" w:rsidR="003D12B4" w:rsidRPr="002C1F58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EA6158" w14:textId="77777777" w:rsidR="003D12B4" w:rsidRPr="002C1F58" w:rsidRDefault="006E5696" w:rsidP="00DF3675">
            <w:pPr>
              <w:pStyle w:val="ListParagraph1"/>
              <w:ind w:left="0"/>
              <w:jc w:val="both"/>
              <w:rPr>
                <w:bCs/>
                <w:sz w:val="22"/>
                <w:szCs w:val="22"/>
              </w:rPr>
            </w:pPr>
            <w:r w:rsidRPr="002C1F58">
              <w:rPr>
                <w:bCs/>
                <w:sz w:val="22"/>
                <w:szCs w:val="22"/>
              </w:rPr>
              <w:t>Susisiekimo ministerija</w:t>
            </w:r>
          </w:p>
        </w:tc>
      </w:tr>
      <w:tr w:rsidR="003D12B4" w:rsidRPr="002C1F58" w14:paraId="6EEA615C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EEA615A" w14:textId="77777777" w:rsidR="003D12B4" w:rsidRPr="002C1F58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2C1F58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EA615B" w14:textId="77777777" w:rsidR="003D12B4" w:rsidRPr="002C1F58" w:rsidRDefault="006E5696" w:rsidP="00DF3675">
            <w:pPr>
              <w:pStyle w:val="ListParagraph1"/>
              <w:ind w:left="0"/>
              <w:jc w:val="both"/>
              <w:rPr>
                <w:bCs/>
                <w:sz w:val="22"/>
                <w:szCs w:val="22"/>
              </w:rPr>
            </w:pPr>
            <w:r w:rsidRPr="002C1F58">
              <w:rPr>
                <w:bCs/>
                <w:sz w:val="22"/>
                <w:szCs w:val="22"/>
              </w:rPr>
              <w:t>8 (5) 239 3868, marius.marciulaitis@sumin.lt</w:t>
            </w:r>
          </w:p>
        </w:tc>
      </w:tr>
    </w:tbl>
    <w:p w14:paraId="6EEA615D" w14:textId="77777777" w:rsidR="003D12B4" w:rsidRPr="002C1F58" w:rsidRDefault="003D12B4" w:rsidP="003D12B4">
      <w:pPr>
        <w:jc w:val="both"/>
        <w:rPr>
          <w:sz w:val="22"/>
          <w:szCs w:val="22"/>
        </w:rPr>
      </w:pPr>
    </w:p>
    <w:p w14:paraId="6EEA615E" w14:textId="77777777" w:rsidR="003D12B4" w:rsidRPr="002C1F58" w:rsidRDefault="003D12B4" w:rsidP="003D12B4">
      <w:pPr>
        <w:jc w:val="both"/>
        <w:rPr>
          <w:sz w:val="22"/>
          <w:szCs w:val="22"/>
        </w:rPr>
      </w:pPr>
    </w:p>
    <w:p w14:paraId="6EEA615F" w14:textId="77777777" w:rsidR="003D12B4" w:rsidRPr="002C1F58" w:rsidRDefault="003D12B4" w:rsidP="003D12B4">
      <w:pPr>
        <w:jc w:val="both"/>
        <w:rPr>
          <w:sz w:val="22"/>
          <w:szCs w:val="22"/>
        </w:rPr>
      </w:pPr>
    </w:p>
    <w:p w14:paraId="6EEA6160" w14:textId="77777777" w:rsidR="003D12B4" w:rsidRPr="002C1F58" w:rsidRDefault="003D12B4" w:rsidP="003D12B4">
      <w:pPr>
        <w:jc w:val="both"/>
        <w:rPr>
          <w:sz w:val="22"/>
          <w:szCs w:val="22"/>
        </w:rPr>
      </w:pPr>
    </w:p>
    <w:p w14:paraId="6EEA6161" w14:textId="77777777" w:rsidR="003D12B4" w:rsidRPr="002C1F58" w:rsidRDefault="003D12B4" w:rsidP="003D12B4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2C1F58">
        <w:rPr>
          <w:sz w:val="22"/>
          <w:szCs w:val="22"/>
        </w:rPr>
        <w:t>__________________</w:t>
      </w:r>
    </w:p>
    <w:p w14:paraId="6EEA6162" w14:textId="77777777" w:rsidR="00867D0A" w:rsidRPr="002C1F58" w:rsidRDefault="00867D0A" w:rsidP="00867D0A">
      <w:pPr>
        <w:pStyle w:val="Paprastasistekstas"/>
        <w:rPr>
          <w:rFonts w:ascii="Times New Roman" w:hAnsi="Times New Roman" w:cs="Times New Roman"/>
          <w:lang w:val="lt-LT"/>
        </w:rPr>
      </w:pPr>
    </w:p>
    <w:sectPr w:rsidR="00867D0A" w:rsidRPr="002C1F58" w:rsidSect="004744B9">
      <w:headerReference w:type="default" r:id="rId9"/>
      <w:headerReference w:type="first" r:id="rId10"/>
      <w:pgSz w:w="11906" w:h="16838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074DF" w14:textId="77777777" w:rsidR="00225124" w:rsidRDefault="00225124">
      <w:r>
        <w:separator/>
      </w:r>
    </w:p>
  </w:endnote>
  <w:endnote w:type="continuationSeparator" w:id="0">
    <w:p w14:paraId="457E1C76" w14:textId="77777777" w:rsidR="00225124" w:rsidRDefault="0022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9D911" w14:textId="77777777" w:rsidR="00225124" w:rsidRDefault="00225124">
      <w:r>
        <w:separator/>
      </w:r>
    </w:p>
  </w:footnote>
  <w:footnote w:type="continuationSeparator" w:id="0">
    <w:p w14:paraId="31C34D23" w14:textId="77777777" w:rsidR="00225124" w:rsidRDefault="00225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621812"/>
      <w:docPartObj>
        <w:docPartGallery w:val="Page Numbers (Top of Page)"/>
        <w:docPartUnique/>
      </w:docPartObj>
    </w:sdtPr>
    <w:sdtEndPr/>
    <w:sdtContent>
      <w:p w14:paraId="5F58C829" w14:textId="657910F0" w:rsidR="009634A4" w:rsidRDefault="009634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FE4">
          <w:rPr>
            <w:noProof/>
          </w:rPr>
          <w:t>4</w:t>
        </w:r>
        <w:r>
          <w:fldChar w:fldCharType="end"/>
        </w:r>
      </w:p>
    </w:sdtContent>
  </w:sdt>
  <w:p w14:paraId="5CFD8561" w14:textId="77777777" w:rsidR="0000047B" w:rsidRDefault="0000047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EF0DA" w14:textId="30A6D4E5" w:rsidR="0000047B" w:rsidRDefault="0000047B">
    <w:pPr>
      <w:pStyle w:val="Antrats"/>
      <w:jc w:val="center"/>
    </w:pPr>
  </w:p>
  <w:p w14:paraId="2F982ED3" w14:textId="77777777" w:rsidR="0000047B" w:rsidRDefault="0000047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123"/>
    <w:multiLevelType w:val="hybridMultilevel"/>
    <w:tmpl w:val="F25679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C245E4"/>
    <w:multiLevelType w:val="multilevel"/>
    <w:tmpl w:val="2ACEA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D6260D"/>
    <w:multiLevelType w:val="hybridMultilevel"/>
    <w:tmpl w:val="E0DCF6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605"/>
    <w:multiLevelType w:val="hybridMultilevel"/>
    <w:tmpl w:val="D220D0A2"/>
    <w:lvl w:ilvl="0" w:tplc="083C4EB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90D0697"/>
    <w:multiLevelType w:val="multilevel"/>
    <w:tmpl w:val="106681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1800"/>
      </w:pPr>
      <w:rPr>
        <w:rFonts w:hint="default"/>
      </w:rPr>
    </w:lvl>
  </w:abstractNum>
  <w:abstractNum w:abstractNumId="5">
    <w:nsid w:val="2F0917B5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952CF"/>
    <w:multiLevelType w:val="multilevel"/>
    <w:tmpl w:val="1B6E8D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7">
    <w:nsid w:val="468C2EF8"/>
    <w:multiLevelType w:val="multilevel"/>
    <w:tmpl w:val="40F6A16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8">
    <w:nsid w:val="4B00116D"/>
    <w:multiLevelType w:val="multilevel"/>
    <w:tmpl w:val="A7749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%2.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FF8205B"/>
    <w:multiLevelType w:val="multilevel"/>
    <w:tmpl w:val="16065C02"/>
    <w:lvl w:ilvl="0">
      <w:start w:val="11"/>
      <w:numFmt w:val="decimal"/>
      <w:lvlText w:val="%1."/>
      <w:lvlJc w:val="left"/>
      <w:pPr>
        <w:ind w:left="13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0">
    <w:nsid w:val="5B08139D"/>
    <w:multiLevelType w:val="hybridMultilevel"/>
    <w:tmpl w:val="AAA623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F4EA8"/>
    <w:multiLevelType w:val="hybridMultilevel"/>
    <w:tmpl w:val="7944A960"/>
    <w:lvl w:ilvl="0" w:tplc="EF7023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E540437"/>
    <w:multiLevelType w:val="hybridMultilevel"/>
    <w:tmpl w:val="E006DD24"/>
    <w:lvl w:ilvl="0" w:tplc="E0D6F8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90D45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62A824BB"/>
    <w:multiLevelType w:val="multilevel"/>
    <w:tmpl w:val="CE286B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5">
    <w:nsid w:val="662F62BD"/>
    <w:multiLevelType w:val="multilevel"/>
    <w:tmpl w:val="887A4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7D9A4E0B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629B9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4"/>
  </w:num>
  <w:num w:numId="15">
    <w:abstractNumId w:val="7"/>
  </w:num>
  <w:num w:numId="16">
    <w:abstractNumId w:val="3"/>
  </w:num>
  <w:num w:numId="17">
    <w:abstractNumId w:val="13"/>
  </w:num>
  <w:num w:numId="18">
    <w:abstractNumId w:val="2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FA"/>
    <w:rsid w:val="0000047B"/>
    <w:rsid w:val="00002EF6"/>
    <w:rsid w:val="00004BF7"/>
    <w:rsid w:val="00006AEA"/>
    <w:rsid w:val="00020DCE"/>
    <w:rsid w:val="00022F7A"/>
    <w:rsid w:val="00025589"/>
    <w:rsid w:val="00030E3D"/>
    <w:rsid w:val="00046CA1"/>
    <w:rsid w:val="000721A2"/>
    <w:rsid w:val="00080905"/>
    <w:rsid w:val="000942D4"/>
    <w:rsid w:val="000B051E"/>
    <w:rsid w:val="000B1B87"/>
    <w:rsid w:val="000B4694"/>
    <w:rsid w:val="000C3104"/>
    <w:rsid w:val="000E2C91"/>
    <w:rsid w:val="000F3B45"/>
    <w:rsid w:val="000F5820"/>
    <w:rsid w:val="00102E1C"/>
    <w:rsid w:val="001056EB"/>
    <w:rsid w:val="00121C2F"/>
    <w:rsid w:val="001304AB"/>
    <w:rsid w:val="0014396E"/>
    <w:rsid w:val="00143995"/>
    <w:rsid w:val="00143AB5"/>
    <w:rsid w:val="001477F0"/>
    <w:rsid w:val="001516CB"/>
    <w:rsid w:val="0015216D"/>
    <w:rsid w:val="001814FA"/>
    <w:rsid w:val="00193FDE"/>
    <w:rsid w:val="001A3B3D"/>
    <w:rsid w:val="001C6270"/>
    <w:rsid w:val="001D414C"/>
    <w:rsid w:val="001E0758"/>
    <w:rsid w:val="001E77C2"/>
    <w:rsid w:val="00200E2D"/>
    <w:rsid w:val="002010D4"/>
    <w:rsid w:val="002147FF"/>
    <w:rsid w:val="00225124"/>
    <w:rsid w:val="00233726"/>
    <w:rsid w:val="0023572D"/>
    <w:rsid w:val="0024594C"/>
    <w:rsid w:val="00293656"/>
    <w:rsid w:val="002A4908"/>
    <w:rsid w:val="002C1F58"/>
    <w:rsid w:val="002D1A3E"/>
    <w:rsid w:val="002F3735"/>
    <w:rsid w:val="00332246"/>
    <w:rsid w:val="00333DBE"/>
    <w:rsid w:val="00345B4C"/>
    <w:rsid w:val="00373C8C"/>
    <w:rsid w:val="003927C2"/>
    <w:rsid w:val="003C1ABF"/>
    <w:rsid w:val="003C4316"/>
    <w:rsid w:val="003D12B4"/>
    <w:rsid w:val="003E0DCB"/>
    <w:rsid w:val="003F512D"/>
    <w:rsid w:val="00414678"/>
    <w:rsid w:val="004160EB"/>
    <w:rsid w:val="004656CA"/>
    <w:rsid w:val="0047186E"/>
    <w:rsid w:val="00472D3C"/>
    <w:rsid w:val="004744B9"/>
    <w:rsid w:val="004853A0"/>
    <w:rsid w:val="00485E9E"/>
    <w:rsid w:val="0048692F"/>
    <w:rsid w:val="004A089F"/>
    <w:rsid w:val="004A61FB"/>
    <w:rsid w:val="004B5862"/>
    <w:rsid w:val="004C49DA"/>
    <w:rsid w:val="004D6445"/>
    <w:rsid w:val="005068A7"/>
    <w:rsid w:val="00533D05"/>
    <w:rsid w:val="00540A34"/>
    <w:rsid w:val="00551509"/>
    <w:rsid w:val="00551DA7"/>
    <w:rsid w:val="00553294"/>
    <w:rsid w:val="0058400E"/>
    <w:rsid w:val="00596853"/>
    <w:rsid w:val="005C5D32"/>
    <w:rsid w:val="005E4FEB"/>
    <w:rsid w:val="005E553B"/>
    <w:rsid w:val="005E7089"/>
    <w:rsid w:val="00662DD0"/>
    <w:rsid w:val="00663DF2"/>
    <w:rsid w:val="006728F2"/>
    <w:rsid w:val="006A2EBD"/>
    <w:rsid w:val="006B7A00"/>
    <w:rsid w:val="006D1CF2"/>
    <w:rsid w:val="006D2EB7"/>
    <w:rsid w:val="006D6293"/>
    <w:rsid w:val="006E4A13"/>
    <w:rsid w:val="006E5696"/>
    <w:rsid w:val="006F4105"/>
    <w:rsid w:val="006F748C"/>
    <w:rsid w:val="00701170"/>
    <w:rsid w:val="007165D0"/>
    <w:rsid w:val="00727D53"/>
    <w:rsid w:val="00730EBF"/>
    <w:rsid w:val="00735B99"/>
    <w:rsid w:val="0075719D"/>
    <w:rsid w:val="0077658B"/>
    <w:rsid w:val="00776FE4"/>
    <w:rsid w:val="007859AD"/>
    <w:rsid w:val="00800EE2"/>
    <w:rsid w:val="008102F4"/>
    <w:rsid w:val="00810F7C"/>
    <w:rsid w:val="00812882"/>
    <w:rsid w:val="0083298A"/>
    <w:rsid w:val="00840E6A"/>
    <w:rsid w:val="00845F77"/>
    <w:rsid w:val="00850C30"/>
    <w:rsid w:val="008601A2"/>
    <w:rsid w:val="00867D0A"/>
    <w:rsid w:val="008859A2"/>
    <w:rsid w:val="00892F0F"/>
    <w:rsid w:val="008A6A91"/>
    <w:rsid w:val="008A6F7E"/>
    <w:rsid w:val="009064DC"/>
    <w:rsid w:val="00910D14"/>
    <w:rsid w:val="00912E0F"/>
    <w:rsid w:val="00917405"/>
    <w:rsid w:val="00930700"/>
    <w:rsid w:val="00935D76"/>
    <w:rsid w:val="0093651A"/>
    <w:rsid w:val="0094107B"/>
    <w:rsid w:val="0095184F"/>
    <w:rsid w:val="009634A4"/>
    <w:rsid w:val="00963AA7"/>
    <w:rsid w:val="00981B72"/>
    <w:rsid w:val="009933BE"/>
    <w:rsid w:val="009A55CC"/>
    <w:rsid w:val="009B5CEF"/>
    <w:rsid w:val="009E4460"/>
    <w:rsid w:val="009E481E"/>
    <w:rsid w:val="00A117A0"/>
    <w:rsid w:val="00A675D5"/>
    <w:rsid w:val="00A72601"/>
    <w:rsid w:val="00A93C55"/>
    <w:rsid w:val="00A941D0"/>
    <w:rsid w:val="00AC5086"/>
    <w:rsid w:val="00AD7872"/>
    <w:rsid w:val="00AE3FC5"/>
    <w:rsid w:val="00AF243F"/>
    <w:rsid w:val="00AF4E3E"/>
    <w:rsid w:val="00B37BB1"/>
    <w:rsid w:val="00B50B50"/>
    <w:rsid w:val="00B54FF8"/>
    <w:rsid w:val="00BC6FA6"/>
    <w:rsid w:val="00C15A94"/>
    <w:rsid w:val="00C23C52"/>
    <w:rsid w:val="00C4451D"/>
    <w:rsid w:val="00C64390"/>
    <w:rsid w:val="00C71E2C"/>
    <w:rsid w:val="00CA44CB"/>
    <w:rsid w:val="00D346E4"/>
    <w:rsid w:val="00D41813"/>
    <w:rsid w:val="00D4279A"/>
    <w:rsid w:val="00D60330"/>
    <w:rsid w:val="00D62D9F"/>
    <w:rsid w:val="00D75255"/>
    <w:rsid w:val="00DA1C5C"/>
    <w:rsid w:val="00DD3FA1"/>
    <w:rsid w:val="00DD5A7D"/>
    <w:rsid w:val="00DF3675"/>
    <w:rsid w:val="00E14197"/>
    <w:rsid w:val="00E216BF"/>
    <w:rsid w:val="00E21F77"/>
    <w:rsid w:val="00E302EE"/>
    <w:rsid w:val="00E5271D"/>
    <w:rsid w:val="00EC1376"/>
    <w:rsid w:val="00F069DB"/>
    <w:rsid w:val="00F67732"/>
    <w:rsid w:val="00FC4631"/>
    <w:rsid w:val="00FE6305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A6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pPr>
      <w:ind w:firstLine="1080"/>
      <w:jc w:val="both"/>
    </w:p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Pagrindiniotekstotrauka2">
    <w:name w:val="Body Text Indent 2"/>
    <w:basedOn w:val="prastasis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Antrat">
    <w:name w:val="caption"/>
    <w:basedOn w:val="prastasis"/>
    <w:next w:val="prastasis"/>
    <w:qFormat/>
    <w:rPr>
      <w:b/>
      <w:sz w:val="22"/>
      <w:lang w:val="en-GB"/>
    </w:rPr>
  </w:style>
  <w:style w:type="character" w:styleId="Grietas">
    <w:name w:val="Strong"/>
    <w:qFormat/>
    <w:rPr>
      <w:b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rPr>
      <w:sz w:val="20"/>
    </w:rPr>
  </w:style>
  <w:style w:type="paragraph" w:customStyle="1" w:styleId="Debesliotekstas1">
    <w:name w:val="Debesėlio tekstas1"/>
    <w:basedOn w:val="prastasis"/>
    <w:semiHidden/>
    <w:rPr>
      <w:rFonts w:ascii="Tahoma" w:hAnsi="Tahoma"/>
      <w:sz w:val="16"/>
    </w:rPr>
  </w:style>
  <w:style w:type="paragraph" w:styleId="Pagrindinistekstas3">
    <w:name w:val="Body Text 3"/>
    <w:basedOn w:val="prastasis"/>
    <w:rPr>
      <w:b/>
      <w:sz w:val="20"/>
    </w:rPr>
  </w:style>
  <w:style w:type="paragraph" w:styleId="Paprastasistekstas">
    <w:name w:val="Plain Text"/>
    <w:aliases w:val="Hyperlink"/>
    <w:basedOn w:val="prastasis"/>
    <w:link w:val="PaprastasistekstasDiagrama"/>
    <w:rPr>
      <w:rFonts w:ascii="Courier New" w:hAnsi="Courier New" w:cs="Courier New"/>
      <w:sz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prastasis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erirtashipersaitas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Numatytasispastraiposriftas"/>
    <w:rsid w:val="00551509"/>
  </w:style>
  <w:style w:type="character" w:customStyle="1" w:styleId="Antrat1Diagrama">
    <w:name w:val="Antraštė 1 Diagrama"/>
    <w:link w:val="Antrat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Antrat2Diagrama">
    <w:name w:val="Antraštė 2 Diagrama"/>
    <w:link w:val="Antrat2"/>
    <w:locked/>
    <w:rsid w:val="003D12B4"/>
    <w:rPr>
      <w:b/>
      <w:caps/>
      <w:sz w:val="24"/>
      <w:lang w:eastAsia="en-US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3D12B4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3D12B4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prastasis"/>
    <w:qFormat/>
    <w:rsid w:val="003D12B4"/>
    <w:pPr>
      <w:ind w:left="1296"/>
    </w:p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3D12B4"/>
    <w:rPr>
      <w:lang w:eastAsia="en-US"/>
    </w:rPr>
  </w:style>
  <w:style w:type="character" w:styleId="Puslapioinaosnuoroda">
    <w:name w:val="footnote reference"/>
    <w:uiPriority w:val="99"/>
    <w:unhideWhenUsed/>
    <w:rsid w:val="003D12B4"/>
    <w:rPr>
      <w:vertAlign w:val="superscript"/>
    </w:rPr>
  </w:style>
  <w:style w:type="character" w:customStyle="1" w:styleId="PagrindinistekstasDiagrama">
    <w:name w:val="Pagrindinis tekstas Diagrama"/>
    <w:link w:val="Pagrindinistekstas"/>
    <w:rsid w:val="002010D4"/>
    <w:rPr>
      <w:sz w:val="24"/>
      <w:lang w:eastAsia="en-US"/>
    </w:rPr>
  </w:style>
  <w:style w:type="character" w:customStyle="1" w:styleId="PaprastasistekstasDiagrama">
    <w:name w:val="Paprastasis tekstas Diagrama"/>
    <w:aliases w:val="Hyperlink Diagrama"/>
    <w:link w:val="Paprastasistekstas"/>
    <w:rsid w:val="002010D4"/>
    <w:rPr>
      <w:rFonts w:ascii="Courier New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rsid w:val="00E141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14197"/>
    <w:rPr>
      <w:rFonts w:ascii="Segoe UI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B051E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0B051E"/>
    <w:rPr>
      <w:lang w:eastAsia="en-US"/>
    </w:rPr>
  </w:style>
  <w:style w:type="character" w:customStyle="1" w:styleId="KomentarotemaDiagrama">
    <w:name w:val="Komentaro tema Diagrama"/>
    <w:link w:val="Komentarotema"/>
    <w:rsid w:val="000B051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pPr>
      <w:ind w:firstLine="1080"/>
      <w:jc w:val="both"/>
    </w:p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Pagrindiniotekstotrauka2">
    <w:name w:val="Body Text Indent 2"/>
    <w:basedOn w:val="prastasis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Antrat">
    <w:name w:val="caption"/>
    <w:basedOn w:val="prastasis"/>
    <w:next w:val="prastasis"/>
    <w:qFormat/>
    <w:rPr>
      <w:b/>
      <w:sz w:val="22"/>
      <w:lang w:val="en-GB"/>
    </w:rPr>
  </w:style>
  <w:style w:type="character" w:styleId="Grietas">
    <w:name w:val="Strong"/>
    <w:qFormat/>
    <w:rPr>
      <w:b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rPr>
      <w:sz w:val="20"/>
    </w:rPr>
  </w:style>
  <w:style w:type="paragraph" w:customStyle="1" w:styleId="Debesliotekstas1">
    <w:name w:val="Debesėlio tekstas1"/>
    <w:basedOn w:val="prastasis"/>
    <w:semiHidden/>
    <w:rPr>
      <w:rFonts w:ascii="Tahoma" w:hAnsi="Tahoma"/>
      <w:sz w:val="16"/>
    </w:rPr>
  </w:style>
  <w:style w:type="paragraph" w:styleId="Pagrindinistekstas3">
    <w:name w:val="Body Text 3"/>
    <w:basedOn w:val="prastasis"/>
    <w:rPr>
      <w:b/>
      <w:sz w:val="20"/>
    </w:rPr>
  </w:style>
  <w:style w:type="paragraph" w:styleId="Paprastasistekstas">
    <w:name w:val="Plain Text"/>
    <w:aliases w:val="Hyperlink"/>
    <w:basedOn w:val="prastasis"/>
    <w:link w:val="PaprastasistekstasDiagrama"/>
    <w:rPr>
      <w:rFonts w:ascii="Courier New" w:hAnsi="Courier New" w:cs="Courier New"/>
      <w:sz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prastasis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erirtashipersaitas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Numatytasispastraiposriftas"/>
    <w:rsid w:val="00551509"/>
  </w:style>
  <w:style w:type="character" w:customStyle="1" w:styleId="Antrat1Diagrama">
    <w:name w:val="Antraštė 1 Diagrama"/>
    <w:link w:val="Antrat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Antrat2Diagrama">
    <w:name w:val="Antraštė 2 Diagrama"/>
    <w:link w:val="Antrat2"/>
    <w:locked/>
    <w:rsid w:val="003D12B4"/>
    <w:rPr>
      <w:b/>
      <w:caps/>
      <w:sz w:val="24"/>
      <w:lang w:eastAsia="en-US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3D12B4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3D12B4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prastasis"/>
    <w:qFormat/>
    <w:rsid w:val="003D12B4"/>
    <w:pPr>
      <w:ind w:left="1296"/>
    </w:p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3D12B4"/>
    <w:rPr>
      <w:lang w:eastAsia="en-US"/>
    </w:rPr>
  </w:style>
  <w:style w:type="character" w:styleId="Puslapioinaosnuoroda">
    <w:name w:val="footnote reference"/>
    <w:uiPriority w:val="99"/>
    <w:unhideWhenUsed/>
    <w:rsid w:val="003D12B4"/>
    <w:rPr>
      <w:vertAlign w:val="superscript"/>
    </w:rPr>
  </w:style>
  <w:style w:type="character" w:customStyle="1" w:styleId="PagrindinistekstasDiagrama">
    <w:name w:val="Pagrindinis tekstas Diagrama"/>
    <w:link w:val="Pagrindinistekstas"/>
    <w:rsid w:val="002010D4"/>
    <w:rPr>
      <w:sz w:val="24"/>
      <w:lang w:eastAsia="en-US"/>
    </w:rPr>
  </w:style>
  <w:style w:type="character" w:customStyle="1" w:styleId="PaprastasistekstasDiagrama">
    <w:name w:val="Paprastasis tekstas Diagrama"/>
    <w:aliases w:val="Hyperlink Diagrama"/>
    <w:link w:val="Paprastasistekstas"/>
    <w:rsid w:val="002010D4"/>
    <w:rPr>
      <w:rFonts w:ascii="Courier New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rsid w:val="00E141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14197"/>
    <w:rPr>
      <w:rFonts w:ascii="Segoe UI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B051E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0B051E"/>
    <w:rPr>
      <w:lang w:eastAsia="en-US"/>
    </w:rPr>
  </w:style>
  <w:style w:type="character" w:customStyle="1" w:styleId="KomentarotemaDiagrama">
    <w:name w:val="Komentaro tema Diagrama"/>
    <w:link w:val="Komentarotema"/>
    <w:rsid w:val="000B051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A3DF-A62A-4A6A-81C6-66FD507D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9833</Words>
  <Characters>5606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2020-08-20T09:24:00Z</dcterms:created>
  <dc:creator>lrvk</dc:creator>
  <cp:lastModifiedBy>Bendras GTS2</cp:lastModifiedBy>
  <cp:lastPrinted>2003-02-28T06:49:00Z</cp:lastPrinted>
  <dcterms:modified xsi:type="dcterms:W3CDTF">2020-08-20T17:59:00Z</dcterms:modified>
  <cp:revision>3</cp:revision>
</cp:coreProperties>
</file>