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3517" w:rsidRPr="004B1CF0" w:rsidRDefault="004B1CF0" w:rsidP="00AE3517">
      <w:pPr>
        <w:jc w:val="center"/>
        <w:rPr>
          <w:b/>
          <w:lang w:val="lt-LT"/>
        </w:rPr>
      </w:pPr>
      <w:r w:rsidRPr="004B1CF0">
        <w:rPr>
          <w:b/>
        </w:rPr>
        <w:t>2009 M. SPALIO 21 D. EUROPOS PARLAMENTO IR TARYBOS REGLAMENTO (EB) NR. 1072/2009 DĖL BENDRŲJŲ PATEKIMO Į TARPTAUTINIO KROVINIŲ VEŽIMO KELIŲ TRANSPORTU RINKĄ TAISYKLIŲ IR LIETUVOS RESPUBLIKOS VYRIAUSYBĖS 2011 M. GRUODŽIO 7 D. NUTARIMO NR. 1434 „DĖL KELIŲ TRANSPORTO VEIKLOS LICENCIJAVIMO TAISYKLIŲ PATVIRTINIMO“ PAKEITIMO“ PROJEKTO ATITIKTIES LENTELĖ</w:t>
      </w:r>
    </w:p>
    <w:tbl>
      <w:tblPr>
        <w:tblW w:w="15735"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8223"/>
        <w:gridCol w:w="5953"/>
        <w:gridCol w:w="1559"/>
      </w:tblGrid>
      <w:tr w:rsidR="00AE3517" w:rsidRPr="001A5437" w:rsidTr="00252C70">
        <w:tc>
          <w:tcPr>
            <w:tcW w:w="8223" w:type="dxa"/>
            <w:tcBorders>
              <w:bottom w:val="single" w:sz="4" w:space="0" w:color="auto"/>
            </w:tcBorders>
            <w:vAlign w:val="center"/>
          </w:tcPr>
          <w:p w:rsidR="00AE3517" w:rsidRPr="00862769" w:rsidRDefault="00AE3517" w:rsidP="00252C70">
            <w:pPr>
              <w:jc w:val="center"/>
              <w:rPr>
                <w:b/>
                <w:lang w:val="lt-LT"/>
              </w:rPr>
            </w:pPr>
            <w:r w:rsidRPr="00862769">
              <w:rPr>
                <w:b/>
                <w:lang w:val="lt-LT"/>
              </w:rPr>
              <w:t>ES teisės akto pavadinimas</w:t>
            </w:r>
          </w:p>
        </w:tc>
        <w:tc>
          <w:tcPr>
            <w:tcW w:w="5953" w:type="dxa"/>
            <w:vAlign w:val="center"/>
          </w:tcPr>
          <w:p w:rsidR="00AE3517" w:rsidRPr="00862769" w:rsidRDefault="00AE3517" w:rsidP="00252C70">
            <w:pPr>
              <w:pStyle w:val="EntEmet"/>
              <w:spacing w:before="0"/>
              <w:jc w:val="center"/>
              <w:rPr>
                <w:b/>
                <w:szCs w:val="24"/>
              </w:rPr>
            </w:pPr>
            <w:r w:rsidRPr="00862769">
              <w:rPr>
                <w:b/>
                <w:szCs w:val="24"/>
              </w:rPr>
              <w:t>Lietuvos Respublikos nacionalinio teisės akto ar jo projekto pavadinimas</w:t>
            </w:r>
          </w:p>
        </w:tc>
        <w:tc>
          <w:tcPr>
            <w:tcW w:w="1559" w:type="dxa"/>
            <w:vAlign w:val="center"/>
          </w:tcPr>
          <w:p w:rsidR="00AE3517" w:rsidRPr="00862769" w:rsidRDefault="00AE3517" w:rsidP="00252C70">
            <w:pPr>
              <w:jc w:val="center"/>
              <w:rPr>
                <w:b/>
                <w:lang w:val="lt-LT"/>
              </w:rPr>
            </w:pPr>
            <w:r w:rsidRPr="00862769">
              <w:rPr>
                <w:b/>
                <w:lang w:val="lt-LT"/>
              </w:rPr>
              <w:t>ES teisės akto įgyvendinimo lygis</w:t>
            </w:r>
          </w:p>
        </w:tc>
      </w:tr>
      <w:tr w:rsidR="00AE3517" w:rsidRPr="00F1757A" w:rsidTr="00252C70">
        <w:trPr>
          <w:trHeight w:val="1439"/>
        </w:trPr>
        <w:tc>
          <w:tcPr>
            <w:tcW w:w="8223" w:type="dxa"/>
            <w:tcBorders>
              <w:bottom w:val="single" w:sz="4" w:space="0" w:color="auto"/>
            </w:tcBorders>
          </w:tcPr>
          <w:p w:rsidR="00AE3517" w:rsidRPr="005B2468" w:rsidRDefault="00AE3517" w:rsidP="00252C70">
            <w:pPr>
              <w:jc w:val="both"/>
              <w:rPr>
                <w:lang w:val="lt-LT"/>
              </w:rPr>
            </w:pPr>
            <w:smartTag w:uri="urn:schemas-microsoft-com:office:smarttags" w:element="metricconverter">
              <w:smartTagPr>
                <w:attr w:name="ProductID" w:val="2009 m"/>
              </w:smartTagPr>
              <w:r w:rsidRPr="00862769">
                <w:rPr>
                  <w:lang w:val="lt-LT"/>
                </w:rPr>
                <w:t>2009 m</w:t>
              </w:r>
            </w:smartTag>
            <w:r w:rsidRPr="00862769">
              <w:rPr>
                <w:lang w:val="lt-LT"/>
              </w:rPr>
              <w:t>. spalio 21 d. Europos Parlamento ir T</w:t>
            </w:r>
            <w:r>
              <w:rPr>
                <w:lang w:val="lt-LT"/>
              </w:rPr>
              <w:t xml:space="preserve">arybos reglamentas (EB) Nr. 1072/2009 </w:t>
            </w:r>
            <w:r w:rsidRPr="005B2468">
              <w:rPr>
                <w:rFonts w:eastAsia="Arial Unicode MS"/>
                <w:bCs/>
                <w:color w:val="444444"/>
                <w:lang w:val="lt-LT"/>
              </w:rPr>
              <w:t>dėl bendrųjų patekimo į tarptautinio krovinių vežimo kelių transportu rinką taisyklių</w:t>
            </w:r>
          </w:p>
        </w:tc>
        <w:tc>
          <w:tcPr>
            <w:tcW w:w="5953" w:type="dxa"/>
          </w:tcPr>
          <w:p w:rsidR="00AE3517" w:rsidRPr="004F2010" w:rsidRDefault="00AE3517" w:rsidP="00252C70">
            <w:pPr>
              <w:jc w:val="both"/>
              <w:rPr>
                <w:b/>
                <w:lang w:val="lt-LT"/>
              </w:rPr>
            </w:pPr>
            <w:r>
              <w:rPr>
                <w:rFonts w:eastAsia="Calibri"/>
                <w:b/>
                <w:szCs w:val="22"/>
                <w:lang w:val="lt-LT"/>
              </w:rPr>
              <w:t>Lietuvos Respublikos V</w:t>
            </w:r>
            <w:r w:rsidRPr="004F2010">
              <w:rPr>
                <w:rFonts w:eastAsia="Calibri"/>
                <w:b/>
                <w:szCs w:val="22"/>
                <w:lang w:val="lt-LT"/>
              </w:rPr>
              <w:t>yriausybė</w:t>
            </w:r>
            <w:r>
              <w:rPr>
                <w:rFonts w:eastAsia="Calibri"/>
                <w:b/>
                <w:szCs w:val="22"/>
                <w:lang w:val="lt-LT"/>
              </w:rPr>
              <w:t>s nutarimo „Dėl L</w:t>
            </w:r>
            <w:r w:rsidRPr="004F2010">
              <w:rPr>
                <w:rFonts w:eastAsia="Calibri"/>
                <w:b/>
                <w:szCs w:val="22"/>
                <w:lang w:val="lt-LT"/>
              </w:rPr>
              <w:t xml:space="preserve">ietuvos </w:t>
            </w:r>
            <w:r>
              <w:rPr>
                <w:rFonts w:eastAsia="Calibri"/>
                <w:b/>
                <w:szCs w:val="22"/>
                <w:lang w:val="lt-LT"/>
              </w:rPr>
              <w:t>Respublikos V</w:t>
            </w:r>
            <w:r w:rsidRPr="004F2010">
              <w:rPr>
                <w:rFonts w:eastAsia="Calibri"/>
                <w:b/>
                <w:szCs w:val="22"/>
                <w:lang w:val="lt-LT"/>
              </w:rPr>
              <w:t xml:space="preserve">yriausybės </w:t>
            </w:r>
            <w:r>
              <w:rPr>
                <w:rFonts w:eastAsia="Calibri"/>
                <w:b/>
                <w:szCs w:val="22"/>
                <w:lang w:val="lt-LT"/>
              </w:rPr>
              <w:t>2011 m. gruodžio 7 d. nutarimo Nr. 1434 „Dėl K</w:t>
            </w:r>
            <w:r w:rsidRPr="004F2010">
              <w:rPr>
                <w:rFonts w:eastAsia="Calibri"/>
                <w:b/>
                <w:szCs w:val="22"/>
                <w:lang w:val="lt-LT"/>
              </w:rPr>
              <w:t>elių transporto veiklos licencijavimo taisyklių patvirtinimo“ pakeitimo</w:t>
            </w:r>
            <w:r>
              <w:rPr>
                <w:rFonts w:eastAsia="Calibri"/>
                <w:b/>
                <w:szCs w:val="22"/>
                <w:lang w:val="lt-LT"/>
              </w:rPr>
              <w:t xml:space="preserve">“ </w:t>
            </w:r>
            <w:r w:rsidRPr="004F2010">
              <w:rPr>
                <w:b/>
                <w:lang w:val="lt-LT"/>
              </w:rPr>
              <w:t xml:space="preserve">(toliau – </w:t>
            </w:r>
            <w:r>
              <w:rPr>
                <w:b/>
                <w:lang w:val="lt-LT"/>
              </w:rPr>
              <w:t>Nutarimo</w:t>
            </w:r>
            <w:r w:rsidRPr="004F2010">
              <w:rPr>
                <w:b/>
                <w:lang w:val="lt-LT"/>
              </w:rPr>
              <w:t xml:space="preserve"> projektas)</w:t>
            </w:r>
          </w:p>
        </w:tc>
        <w:tc>
          <w:tcPr>
            <w:tcW w:w="1559" w:type="dxa"/>
          </w:tcPr>
          <w:p w:rsidR="00AE3517" w:rsidRPr="00862769" w:rsidRDefault="00AE3517" w:rsidP="00252C70">
            <w:pPr>
              <w:jc w:val="center"/>
              <w:rPr>
                <w:lang w:val="lt-LT"/>
              </w:rPr>
            </w:pPr>
          </w:p>
        </w:tc>
      </w:tr>
      <w:tr w:rsidR="00AE3517" w:rsidRPr="00862769" w:rsidTr="00252C70">
        <w:tc>
          <w:tcPr>
            <w:tcW w:w="8223" w:type="dxa"/>
            <w:tcBorders>
              <w:top w:val="single" w:sz="4" w:space="0" w:color="auto"/>
            </w:tcBorders>
          </w:tcPr>
          <w:p w:rsidR="00AE3517" w:rsidRPr="00862769" w:rsidRDefault="00AE3517" w:rsidP="00252C70">
            <w:pPr>
              <w:jc w:val="both"/>
              <w:rPr>
                <w:lang w:val="lt-LT"/>
              </w:rPr>
            </w:pPr>
            <w:r>
              <w:rPr>
                <w:lang w:val="lt-LT"/>
              </w:rPr>
              <w:t>4</w:t>
            </w:r>
            <w:r w:rsidRPr="00862769">
              <w:rPr>
                <w:lang w:val="lt-LT"/>
              </w:rPr>
              <w:t xml:space="preserve"> straipsnis. </w:t>
            </w:r>
            <w:r>
              <w:rPr>
                <w:lang w:val="lt-LT"/>
              </w:rPr>
              <w:t>Bendrijos licencija</w:t>
            </w:r>
          </w:p>
          <w:p w:rsidR="00AE3517" w:rsidRPr="005B2468" w:rsidRDefault="00AE3517" w:rsidP="00252C70">
            <w:pPr>
              <w:jc w:val="both"/>
              <w:rPr>
                <w:lang w:val="lt-LT"/>
              </w:rPr>
            </w:pPr>
            <w:r w:rsidRPr="005B2468">
              <w:rPr>
                <w:lang w:val="lt-LT"/>
              </w:rPr>
              <w:t xml:space="preserve">4. </w:t>
            </w:r>
            <w:r w:rsidRPr="005B2468">
              <w:rPr>
                <w:rFonts w:eastAsia="Arial Unicode MS"/>
                <w:color w:val="444444"/>
                <w:lang w:val="lt-LT"/>
              </w:rPr>
              <w:t>Bendrijos licencija ir patvirtintos jos kopijos atitinka II priede nustatytą modelį, kuriame taip pat yra išdėstytos jų naudojimo sąlygos. Jose turi būti bent du iš I priede išvardytų apsaugos požymių.</w:t>
            </w:r>
          </w:p>
        </w:tc>
        <w:tc>
          <w:tcPr>
            <w:tcW w:w="5953" w:type="dxa"/>
          </w:tcPr>
          <w:p w:rsidR="00560B27" w:rsidRDefault="00560B27" w:rsidP="00252C70">
            <w:pPr>
              <w:tabs>
                <w:tab w:val="left" w:pos="731"/>
                <w:tab w:val="left" w:pos="1276"/>
              </w:tabs>
              <w:ind w:firstLine="306"/>
              <w:jc w:val="both"/>
              <w:rPr>
                <w:rFonts w:eastAsia="Calibri"/>
                <w:b/>
                <w:szCs w:val="22"/>
                <w:lang w:val="lt-LT"/>
              </w:rPr>
            </w:pPr>
            <w:r>
              <w:rPr>
                <w:rFonts w:eastAsia="Calibri"/>
                <w:b/>
                <w:szCs w:val="22"/>
                <w:lang w:val="lt-LT"/>
              </w:rPr>
              <w:t>Nutarimo</w:t>
            </w:r>
            <w:r w:rsidRPr="00C52A75">
              <w:rPr>
                <w:rFonts w:eastAsia="Calibri"/>
                <w:b/>
                <w:szCs w:val="22"/>
                <w:lang w:val="lt-LT"/>
              </w:rPr>
              <w:t xml:space="preserve"> projekt</w:t>
            </w:r>
            <w:r>
              <w:rPr>
                <w:rFonts w:eastAsia="Calibri"/>
                <w:b/>
                <w:szCs w:val="22"/>
                <w:lang w:val="lt-LT"/>
              </w:rPr>
              <w:t>u keičiamų K</w:t>
            </w:r>
            <w:r w:rsidRPr="004F2010">
              <w:rPr>
                <w:rFonts w:eastAsia="Calibri"/>
                <w:b/>
                <w:szCs w:val="22"/>
                <w:lang w:val="lt-LT"/>
              </w:rPr>
              <w:t>elių transporto veiklos licencijavimo taisyklių</w:t>
            </w:r>
            <w:r>
              <w:rPr>
                <w:rFonts w:eastAsia="Calibri"/>
                <w:b/>
                <w:szCs w:val="22"/>
                <w:lang w:val="lt-LT"/>
              </w:rPr>
              <w:t xml:space="preserve"> </w:t>
            </w:r>
            <w:r w:rsidR="002706D7">
              <w:rPr>
                <w:rFonts w:eastAsia="Calibri"/>
                <w:b/>
                <w:szCs w:val="22"/>
                <w:lang w:val="lt-LT"/>
              </w:rPr>
              <w:t>1</w:t>
            </w:r>
            <w:r w:rsidR="001A5437">
              <w:rPr>
                <w:rFonts w:eastAsia="Calibri"/>
                <w:b/>
                <w:szCs w:val="22"/>
                <w:lang w:val="lt-LT"/>
              </w:rPr>
              <w:t>5</w:t>
            </w:r>
            <w:r>
              <w:rPr>
                <w:rFonts w:eastAsia="Calibri"/>
                <w:b/>
                <w:szCs w:val="22"/>
                <w:lang w:val="lt-LT"/>
              </w:rPr>
              <w:t xml:space="preserve"> punktas</w:t>
            </w:r>
          </w:p>
          <w:p w:rsidR="00AE3517" w:rsidRPr="002706D7" w:rsidRDefault="00560B27" w:rsidP="002706D7">
            <w:pPr>
              <w:ind w:firstLine="567"/>
              <w:jc w:val="both"/>
              <w:rPr>
                <w:b/>
                <w:color w:val="000000" w:themeColor="text1"/>
                <w:lang w:val="lt-LT"/>
              </w:rPr>
            </w:pPr>
            <w:r w:rsidRPr="002706D7">
              <w:rPr>
                <w:b/>
                <w:color w:val="000000" w:themeColor="text1"/>
                <w:lang w:val="lt-LT"/>
              </w:rPr>
              <w:t xml:space="preserve"> </w:t>
            </w:r>
            <w:r w:rsidR="002706D7" w:rsidRPr="002706D7">
              <w:rPr>
                <w:b/>
                <w:color w:val="000000" w:themeColor="text1"/>
                <w:lang w:val="lt-LT"/>
              </w:rPr>
              <w:t>„</w:t>
            </w:r>
            <w:r w:rsidR="002706D7" w:rsidRPr="002706D7">
              <w:rPr>
                <w:b/>
                <w:caps/>
                <w:lang w:val="lt-LT"/>
              </w:rPr>
              <w:t>1</w:t>
            </w:r>
            <w:r w:rsidR="001A5437">
              <w:rPr>
                <w:b/>
                <w:caps/>
                <w:lang w:val="lt-LT"/>
              </w:rPr>
              <w:t>5</w:t>
            </w:r>
            <w:r w:rsidR="002706D7" w:rsidRPr="002706D7">
              <w:rPr>
                <w:b/>
                <w:caps/>
                <w:lang w:val="lt-LT"/>
              </w:rPr>
              <w:t xml:space="preserve">. </w:t>
            </w:r>
            <w:bookmarkStart w:id="0" w:name="_Hlk9587513"/>
            <w:r w:rsidR="00F1757A" w:rsidRPr="00F1757A">
              <w:rPr>
                <w:b/>
                <w:lang w:val="lt-LT"/>
              </w:rPr>
              <w:t xml:space="preserve">Vežėjui išduotoje </w:t>
            </w:r>
            <w:r w:rsidR="00F1757A" w:rsidRPr="00F1757A">
              <w:rPr>
                <w:b/>
                <w:color w:val="000000" w:themeColor="text1"/>
                <w:lang w:val="lt-LT"/>
              </w:rPr>
              <w:t xml:space="preserve">licencijos kopijoje konkreti kelių transporto priemonė nenurodoma, tačiau vežėjas, </w:t>
            </w:r>
            <w:bookmarkStart w:id="1" w:name="_Hlk16148111"/>
            <w:r w:rsidR="00F1757A" w:rsidRPr="00F1757A">
              <w:rPr>
                <w:b/>
                <w:color w:val="000000" w:themeColor="text1"/>
                <w:lang w:val="lt-LT"/>
              </w:rPr>
              <w:t>prisijungęs per Administracijos interneto svetainę (</w:t>
            </w:r>
            <w:r w:rsidR="00F1757A" w:rsidRPr="00F1757A">
              <w:rPr>
                <w:b/>
                <w:lang w:val="lt-LT"/>
              </w:rPr>
              <w:t>https://ltsa.lrv.lt/lt/paslaugos/e-paslaugos</w:t>
            </w:r>
            <w:r w:rsidR="00F1757A" w:rsidRPr="00F1757A">
              <w:rPr>
                <w:b/>
                <w:color w:val="000000" w:themeColor="text1"/>
                <w:lang w:val="lt-LT"/>
              </w:rPr>
              <w:t xml:space="preserve">) prie paslaugų svetainės, licencijos kopiją susieja su konkrečia kelių transporto priemone – įrašo kelių transporto priemonės </w:t>
            </w:r>
            <w:r w:rsidR="00F1757A" w:rsidRPr="00F1757A">
              <w:rPr>
                <w:b/>
                <w:color w:val="000000"/>
                <w:lang w:val="lt-LT"/>
              </w:rPr>
              <w:t>valstybinį registracijos numerį</w:t>
            </w:r>
            <w:bookmarkEnd w:id="1"/>
            <w:r w:rsidR="00F1757A" w:rsidRPr="00F1757A">
              <w:rPr>
                <w:b/>
                <w:color w:val="000000"/>
                <w:lang w:val="lt-LT"/>
              </w:rPr>
              <w:t>.</w:t>
            </w:r>
            <w:r w:rsidR="00F1757A" w:rsidRPr="00F1757A">
              <w:rPr>
                <w:b/>
                <w:color w:val="000000" w:themeColor="text1"/>
                <w:lang w:val="lt-LT"/>
              </w:rPr>
              <w:t xml:space="preserve"> Vežėjas atsako už tai, kad licencijos kopija būtų laiku, prieš pradedant kelionę, ir tinkamai, laikantis Kelių transporto kodekso 8 straipsnio 4 dalyje nustatytų sąlygų, susieta su konkrečia kelių transporto priemone</w:t>
            </w:r>
            <w:r w:rsidR="00F1757A" w:rsidRPr="00F1757A">
              <w:rPr>
                <w:color w:val="000000" w:themeColor="text1"/>
                <w:lang w:val="lt-LT"/>
              </w:rPr>
              <w:t>.</w:t>
            </w:r>
            <w:r w:rsidR="002706D7" w:rsidRPr="002706D7">
              <w:rPr>
                <w:b/>
                <w:color w:val="000000" w:themeColor="text1"/>
                <w:lang w:val="lt-LT"/>
              </w:rPr>
              <w:t xml:space="preserve">“ </w:t>
            </w:r>
            <w:bookmarkEnd w:id="0"/>
          </w:p>
        </w:tc>
        <w:tc>
          <w:tcPr>
            <w:tcW w:w="1559" w:type="dxa"/>
          </w:tcPr>
          <w:p w:rsidR="00AE3517" w:rsidRPr="00862769" w:rsidRDefault="00AE3517" w:rsidP="00252C70">
            <w:pPr>
              <w:jc w:val="center"/>
              <w:rPr>
                <w:lang w:val="lt-LT"/>
              </w:rPr>
            </w:pPr>
            <w:r w:rsidRPr="00862769">
              <w:rPr>
                <w:lang w:val="lt-LT"/>
              </w:rPr>
              <w:t>Visiškas</w:t>
            </w:r>
          </w:p>
        </w:tc>
      </w:tr>
      <w:tr w:rsidR="00AE3517" w:rsidRPr="00862769" w:rsidTr="00252C70">
        <w:tc>
          <w:tcPr>
            <w:tcW w:w="8223" w:type="dxa"/>
            <w:tcBorders>
              <w:top w:val="single" w:sz="4" w:space="0" w:color="auto"/>
            </w:tcBorders>
          </w:tcPr>
          <w:p w:rsidR="00AE3517" w:rsidRPr="00862769" w:rsidRDefault="00AE3517" w:rsidP="00252C70">
            <w:pPr>
              <w:jc w:val="both"/>
              <w:rPr>
                <w:lang w:val="lt-LT"/>
              </w:rPr>
            </w:pPr>
            <w:r>
              <w:rPr>
                <w:lang w:val="lt-LT"/>
              </w:rPr>
              <w:t>4</w:t>
            </w:r>
            <w:r w:rsidRPr="00862769">
              <w:rPr>
                <w:lang w:val="lt-LT"/>
              </w:rPr>
              <w:t xml:space="preserve"> straipsnis. </w:t>
            </w:r>
            <w:r>
              <w:rPr>
                <w:lang w:val="lt-LT"/>
              </w:rPr>
              <w:t>Bendrijos licencija.</w:t>
            </w:r>
          </w:p>
          <w:p w:rsidR="00AE3517" w:rsidRPr="00862769" w:rsidRDefault="00AE3517" w:rsidP="00252C70">
            <w:pPr>
              <w:jc w:val="both"/>
              <w:rPr>
                <w:lang w:val="lt-LT"/>
              </w:rPr>
            </w:pPr>
            <w:r w:rsidRPr="005B2468">
              <w:rPr>
                <w:rFonts w:hint="eastAsia"/>
                <w:lang w:val="lt-LT"/>
              </w:rPr>
              <w:t>6.  Bendrijos licencija išduodama vežėjo vardu ir negali būti perleidžiama. Patvirtinta Bendrijos licencijos kopija laikoma kiekvienoje vežėjo transporto priemonėje ir yra pateikiama bet kuriam įgaliotam tikrinančiam pareigūnui pareikalavus.</w:t>
            </w:r>
          </w:p>
        </w:tc>
        <w:tc>
          <w:tcPr>
            <w:tcW w:w="5953" w:type="dxa"/>
          </w:tcPr>
          <w:p w:rsidR="00560B27" w:rsidRDefault="00560B27" w:rsidP="00560B27">
            <w:pPr>
              <w:tabs>
                <w:tab w:val="left" w:pos="731"/>
                <w:tab w:val="left" w:pos="1276"/>
              </w:tabs>
              <w:ind w:firstLine="306"/>
              <w:jc w:val="both"/>
              <w:rPr>
                <w:rFonts w:eastAsia="Calibri"/>
                <w:b/>
                <w:szCs w:val="22"/>
                <w:lang w:val="lt-LT"/>
              </w:rPr>
            </w:pPr>
            <w:r>
              <w:rPr>
                <w:rFonts w:eastAsia="Calibri"/>
                <w:b/>
                <w:szCs w:val="22"/>
                <w:lang w:val="lt-LT"/>
              </w:rPr>
              <w:t>Nutarimo</w:t>
            </w:r>
            <w:r w:rsidRPr="00C52A75">
              <w:rPr>
                <w:rFonts w:eastAsia="Calibri"/>
                <w:b/>
                <w:szCs w:val="22"/>
                <w:lang w:val="lt-LT"/>
              </w:rPr>
              <w:t xml:space="preserve"> projekt</w:t>
            </w:r>
            <w:r>
              <w:rPr>
                <w:rFonts w:eastAsia="Calibri"/>
                <w:b/>
                <w:szCs w:val="22"/>
                <w:lang w:val="lt-LT"/>
              </w:rPr>
              <w:t>u keičiamų K</w:t>
            </w:r>
            <w:r w:rsidRPr="004F2010">
              <w:rPr>
                <w:rFonts w:eastAsia="Calibri"/>
                <w:b/>
                <w:szCs w:val="22"/>
                <w:lang w:val="lt-LT"/>
              </w:rPr>
              <w:t>elių transporto veiklos licencijavimo taisyklių</w:t>
            </w:r>
            <w:r>
              <w:rPr>
                <w:rFonts w:eastAsia="Calibri"/>
                <w:b/>
                <w:szCs w:val="22"/>
                <w:lang w:val="lt-LT"/>
              </w:rPr>
              <w:t xml:space="preserve"> </w:t>
            </w:r>
            <w:r w:rsidR="002706D7">
              <w:rPr>
                <w:rFonts w:eastAsia="Calibri"/>
                <w:b/>
                <w:szCs w:val="22"/>
                <w:lang w:val="lt-LT"/>
              </w:rPr>
              <w:t>1</w:t>
            </w:r>
            <w:r w:rsidR="001A5437">
              <w:rPr>
                <w:rFonts w:eastAsia="Calibri"/>
                <w:b/>
                <w:szCs w:val="22"/>
                <w:lang w:val="lt-LT"/>
              </w:rPr>
              <w:t>6</w:t>
            </w:r>
            <w:r>
              <w:rPr>
                <w:rFonts w:eastAsia="Calibri"/>
                <w:b/>
                <w:szCs w:val="22"/>
                <w:lang w:val="lt-LT"/>
              </w:rPr>
              <w:t xml:space="preserve"> punktas</w:t>
            </w:r>
          </w:p>
          <w:p w:rsidR="00F1757A" w:rsidRPr="00F1757A" w:rsidRDefault="00560B27" w:rsidP="00F1757A">
            <w:pPr>
              <w:ind w:firstLine="567"/>
              <w:jc w:val="both"/>
              <w:rPr>
                <w:bCs/>
                <w:caps/>
                <w:lang w:val="lt-LT"/>
              </w:rPr>
            </w:pPr>
            <w:r w:rsidRPr="00AE3517">
              <w:rPr>
                <w:b/>
                <w:bCs/>
                <w:color w:val="000000" w:themeColor="text1"/>
                <w:lang w:val="lt-LT" w:eastAsia="lt-LT"/>
              </w:rPr>
              <w:t xml:space="preserve"> </w:t>
            </w:r>
            <w:r w:rsidR="002706D7" w:rsidRPr="002706D7">
              <w:rPr>
                <w:b/>
                <w:bCs/>
                <w:color w:val="000000" w:themeColor="text1"/>
                <w:lang w:val="lt-LT" w:eastAsia="lt-LT"/>
              </w:rPr>
              <w:t>„</w:t>
            </w:r>
            <w:r w:rsidR="002706D7" w:rsidRPr="002706D7">
              <w:rPr>
                <w:b/>
                <w:bCs/>
                <w:lang w:val="lt-LT"/>
              </w:rPr>
              <w:t>1</w:t>
            </w:r>
            <w:r w:rsidR="001A5437">
              <w:rPr>
                <w:b/>
                <w:bCs/>
                <w:lang w:val="lt-LT"/>
              </w:rPr>
              <w:t>6</w:t>
            </w:r>
            <w:r w:rsidR="002706D7" w:rsidRPr="002706D7">
              <w:rPr>
                <w:b/>
                <w:bCs/>
                <w:lang w:val="lt-LT"/>
              </w:rPr>
              <w:t>. </w:t>
            </w:r>
            <w:bookmarkStart w:id="2" w:name="_Hlk10179263"/>
            <w:r w:rsidR="00F1757A" w:rsidRPr="00F1757A">
              <w:rPr>
                <w:b/>
                <w:lang w:val="lt-LT"/>
              </w:rPr>
              <w:t>Vežėjas licencijos kopiją gali susieti su kelių transporto priemone pagal poreikį (keisti su licencijos kopija susietas kelių transporto priemones, susieti naujas kelių transporto priemones, nesusieti kelių transporto priemonių, jeigu jų nenaudoja</w:t>
            </w:r>
            <w:bookmarkEnd w:id="2"/>
            <w:r w:rsidR="00F1757A" w:rsidRPr="00F1757A">
              <w:rPr>
                <w:b/>
                <w:lang w:val="lt-LT"/>
              </w:rPr>
              <w:t>).</w:t>
            </w:r>
            <w:r w:rsidR="00F1757A" w:rsidRPr="00F1757A">
              <w:rPr>
                <w:b/>
                <w:lang w:val="lt-LT"/>
              </w:rPr>
              <w:t>“</w:t>
            </w:r>
          </w:p>
          <w:p w:rsidR="00AE3517" w:rsidRPr="00AE3517" w:rsidRDefault="00AE3517" w:rsidP="00560B27">
            <w:pPr>
              <w:tabs>
                <w:tab w:val="left" w:pos="614"/>
              </w:tabs>
              <w:ind w:firstLine="306"/>
              <w:jc w:val="both"/>
              <w:rPr>
                <w:b/>
                <w:bCs/>
                <w:color w:val="000000" w:themeColor="text1"/>
                <w:lang w:val="lt-LT" w:eastAsia="lt-LT"/>
              </w:rPr>
            </w:pPr>
            <w:bookmarkStart w:id="3" w:name="_GoBack"/>
            <w:bookmarkEnd w:id="3"/>
          </w:p>
        </w:tc>
        <w:tc>
          <w:tcPr>
            <w:tcW w:w="1559" w:type="dxa"/>
          </w:tcPr>
          <w:p w:rsidR="00AE3517" w:rsidRPr="00862769" w:rsidRDefault="00AE3517" w:rsidP="00252C70">
            <w:pPr>
              <w:jc w:val="center"/>
              <w:rPr>
                <w:lang w:val="lt-LT"/>
              </w:rPr>
            </w:pPr>
            <w:r w:rsidRPr="00862769">
              <w:rPr>
                <w:lang w:val="lt-LT"/>
              </w:rPr>
              <w:t>Visiškas</w:t>
            </w:r>
          </w:p>
        </w:tc>
      </w:tr>
    </w:tbl>
    <w:p w:rsidR="00AE3517" w:rsidRDefault="00AE3517" w:rsidP="00AE3517">
      <w:pPr>
        <w:jc w:val="center"/>
        <w:rPr>
          <w:lang w:val="lt-LT"/>
        </w:rPr>
      </w:pPr>
    </w:p>
    <w:p w:rsidR="00AE3517" w:rsidRPr="005B2468" w:rsidRDefault="00AE3517" w:rsidP="00AE3517">
      <w:pPr>
        <w:jc w:val="center"/>
      </w:pPr>
      <w:r>
        <w:rPr>
          <w:lang w:val="lt-LT"/>
        </w:rPr>
        <w:t xml:space="preserve">__________________________ </w:t>
      </w:r>
    </w:p>
    <w:p w:rsidR="00AE3517" w:rsidRDefault="00AE3517"/>
    <w:sectPr w:rsidR="00AE3517" w:rsidSect="001F2E34">
      <w:footerReference w:type="even" r:id="rId6"/>
      <w:footerReference w:type="default" r:id="rId7"/>
      <w:pgSz w:w="16838" w:h="11906" w:orient="landscape"/>
      <w:pgMar w:top="851" w:right="851" w:bottom="567" w:left="85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2A44" w:rsidRDefault="004B1CF0">
      <w:r>
        <w:separator/>
      </w:r>
    </w:p>
  </w:endnote>
  <w:endnote w:type="continuationSeparator" w:id="0">
    <w:p w:rsidR="00162A44" w:rsidRDefault="004B1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EA5" w:rsidRDefault="00AE3517" w:rsidP="00E6006F">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E11EA5" w:rsidRDefault="00F1757A" w:rsidP="00E11EA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EA5" w:rsidRDefault="00AE3517" w:rsidP="00E6006F">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rsidR="00E11EA5" w:rsidRDefault="00F1757A" w:rsidP="00E11EA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2A44" w:rsidRDefault="004B1CF0">
      <w:r>
        <w:separator/>
      </w:r>
    </w:p>
  </w:footnote>
  <w:footnote w:type="continuationSeparator" w:id="0">
    <w:p w:rsidR="00162A44" w:rsidRDefault="004B1C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517"/>
    <w:rsid w:val="00162A44"/>
    <w:rsid w:val="001A5437"/>
    <w:rsid w:val="002706D7"/>
    <w:rsid w:val="004B1CF0"/>
    <w:rsid w:val="00560B27"/>
    <w:rsid w:val="007F7034"/>
    <w:rsid w:val="00AE3517"/>
    <w:rsid w:val="00F175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5C5F0AA"/>
  <w15:chartTrackingRefBased/>
  <w15:docId w15:val="{CF42F1DC-2B0F-48C6-BE70-F8BF31B9D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3517"/>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qFormat/>
    <w:rsid w:val="00AE3517"/>
    <w:rPr>
      <w:b/>
      <w:bCs/>
    </w:rPr>
  </w:style>
  <w:style w:type="paragraph" w:styleId="Porat">
    <w:name w:val="footer"/>
    <w:basedOn w:val="prastasis"/>
    <w:link w:val="PoratDiagrama"/>
    <w:rsid w:val="00AE3517"/>
    <w:pPr>
      <w:tabs>
        <w:tab w:val="center" w:pos="4819"/>
        <w:tab w:val="right" w:pos="9638"/>
      </w:tabs>
    </w:pPr>
  </w:style>
  <w:style w:type="character" w:customStyle="1" w:styleId="PoratDiagrama">
    <w:name w:val="Poraštė Diagrama"/>
    <w:basedOn w:val="Numatytasispastraiposriftas"/>
    <w:link w:val="Porat"/>
    <w:rsid w:val="00AE3517"/>
    <w:rPr>
      <w:rFonts w:ascii="Times New Roman" w:eastAsia="Times New Roman" w:hAnsi="Times New Roman" w:cs="Times New Roman"/>
      <w:sz w:val="24"/>
      <w:szCs w:val="24"/>
      <w:lang w:val="en-US"/>
    </w:rPr>
  </w:style>
  <w:style w:type="paragraph" w:customStyle="1" w:styleId="EntEmet">
    <w:name w:val="EntEmet"/>
    <w:basedOn w:val="prastasis"/>
    <w:rsid w:val="00AE3517"/>
    <w:pPr>
      <w:spacing w:before="40"/>
    </w:pPr>
    <w:rPr>
      <w:szCs w:val="20"/>
      <w:lang w:val="lt-LT"/>
    </w:rPr>
  </w:style>
  <w:style w:type="character" w:styleId="Puslapionumeris">
    <w:name w:val="page number"/>
    <w:basedOn w:val="Numatytasispastraiposriftas"/>
    <w:rsid w:val="00AE3517"/>
  </w:style>
  <w:style w:type="character" w:styleId="Komentaronuoroda">
    <w:name w:val="annotation reference"/>
    <w:basedOn w:val="Numatytasispastraiposriftas"/>
    <w:semiHidden/>
    <w:unhideWhenUsed/>
    <w:rsid w:val="007F703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oter1.xml" Type="http://schemas.openxmlformats.org/officeDocument/2006/relationships/footer"/>
<Relationship Id="rId7" Target="footer2.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367</Words>
  <Characters>2098</Characters>
  <Application>Microsoft Office Word</Application>
  <DocSecurity>0</DocSecurity>
  <Lines>17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2019-05-31T04:23:00Z</dcterms:created>
  <dc:creator>Aleksandras Stupenko</dc:creator>
  <cp:lastModifiedBy>Aleksandras Stupenko</cp:lastModifiedBy>
  <dcterms:modified xsi:type="dcterms:W3CDTF">2019-11-28T05:27:00Z</dcterms:modified>
  <cp:revision>7</cp:revision>
</cp:coreProperties>
</file>