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8dcc404cd9d4f929374654c78fa0adf"/>
        <w:lock w:val="sdtLocked"/>
        <w:richText/>
      </w:sdtPr>
      <w:sdtContent>
        <w:p>
          <w:pPr>
            <w:keepNext/>
            <w:ind w:left="6946" w:hanging="567"/>
            <w:jc w:val="right"/>
            <w:outlineLvl w:val="1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rPr>
              <w:szCs w:val="24"/>
            </w:rPr>
          </w:pPr>
        </w:p>
        <w:p>
          <w:pPr>
            <w:jc w:val="center"/>
            <w:rPr>
              <w:b/>
              <w:caps/>
              <w:spacing w:val="40"/>
              <w:szCs w:val="24"/>
            </w:rPr>
          </w:pPr>
        </w:p>
        <w:p>
          <w:pPr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>LIETUVOS RESPUBLIKOS VYRIAUSYBĖ</w:t>
          </w:r>
        </w:p>
        <w:p>
          <w:pPr>
            <w:jc w:val="center"/>
            <w:rPr>
              <w:b/>
              <w:caps/>
              <w:szCs w:val="24"/>
            </w:rPr>
          </w:pPr>
        </w:p>
        <w:p>
          <w:pPr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>NUTARIMAS</w:t>
          </w:r>
        </w:p>
        <w:p>
          <w:pPr>
            <w:jc w:val="center"/>
            <w:rPr>
              <w:szCs w:val="24"/>
            </w:rPr>
          </w:pPr>
          <w:r>
            <w:rPr>
              <w:b/>
              <w:caps/>
              <w:szCs w:val="24"/>
            </w:rPr>
            <w:t>DĖL PATALPŲ KAUNE, STUDENTŲ G. 54, PERDAVIMO PAGAL PANAUDOS SUTARTĮ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             d.  Nr. 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rPr>
              <w:szCs w:val="24"/>
            </w:rPr>
          </w:pPr>
        </w:p>
        <w:p>
          <w:pPr>
            <w:rPr>
              <w:szCs w:val="24"/>
            </w:rPr>
          </w:pPr>
        </w:p>
        <w:sdt>
          <w:sdtPr>
            <w:alias w:val="preambule"/>
            <w:tag w:val="part_af2efed1d2c14a619a65be2eb7a45744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pacing w:val="60"/>
                  <w:szCs w:val="24"/>
                </w:rPr>
              </w:pPr>
              <w:r>
                <w:rPr>
                  <w:szCs w:val="24"/>
                </w:rPr>
                <w:t xml:space="preserve">Vadovaudamasi Lietuvos Respublikos valstybės ir savivaldybių turto valdymo, naudojimo ir disponavimo juo įstatymo 14 straipsnio 2 dalies 1, 3, 4 ir 6 punktais bei 3 ir 4 dalimi ir įgyvendindama Valstybės turto perdavimo panaudos pagrindais laikinai neatlygintinai valdyti ir naudotis tvarkos aprašą, patvirtintą Lietuvos Respublikos Vyriausybės </w:t>
              </w:r>
              <w:smartTag w:uri="schemas-tilde-lv/tildestengine" w:element="metric2">
                <w:smartTagPr>
                  <w:attr w:name="metric_value" w:val="2002"/>
                  <w:attr w:name="metric_text" w:val="m"/>
                </w:smartTagPr>
                <w:r>
                  <w:rPr>
                    <w:szCs w:val="24"/>
                  </w:rPr>
                  <w:t>2002 m</w:t>
                </w:r>
              </w:smartTag>
              <w:r>
                <w:rPr>
                  <w:szCs w:val="24"/>
                </w:rPr>
                <w:t>. gruodžio 3 d. nutarimu Nr. 1890 „Dėl Valstybės turto perdavimo panaudos pagrindais laikinai neatlygintinai valdyti ir naudotis tvarkos aprašo patvirtinimo“, Lietuvos Respublikos Vyriausybė</w:t>
              </w:r>
              <w:r>
                <w:rPr>
                  <w:spacing w:val="60"/>
                  <w:szCs w:val="24"/>
                </w:rPr>
                <w:t xml:space="preserve"> nutaria:</w:t>
              </w:r>
            </w:p>
          </w:sdtContent>
        </w:sdt>
        <w:sdt>
          <w:sdtPr>
            <w:alias w:val="pastraipa"/>
            <w:tag w:val="part_dcc8824be7294eab88aa2e135b6d41f6"/>
            <w:lock w:val="sdtLocked"/>
            <w:richText/>
          </w:sdtPr>
          <w:sdtContent>
            <w:p>
              <w:pPr>
                <w:ind w:firstLine="420"/>
                <w:jc w:val="both"/>
                <w:rPr>
                  <w:szCs w:val="24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Perduoti </w:t>
              </w:r>
              <w:r>
                <w:rPr>
                  <w:szCs w:val="24"/>
                </w:rPr>
                <w:t xml:space="preserve">Lietuvos aukštųjų mokyklų asociacijai bendrajam priėmimui organizuoti jos įstatuose numatytai veiklai (išskyrus ūkinę ir komercinę veiklą) vykdyti </w:t>
              </w:r>
              <w:r>
                <w:rPr>
                  <w:color w:val="000000"/>
                  <w:szCs w:val="24"/>
                  <w:lang w:eastAsia="lt-LT"/>
                </w:rPr>
                <w:t xml:space="preserve">pagal panaudos sutartį 5 metų laikotarpiui laikinai neatlygintinai valdyti ir naudotis valstybei nuosavybės teise priklausančias ir šiuo metu viešosios įstaigos Kauno technologijos universiteto pagal turto patikėjimo sutartį valdomas patalpas (nekilnojamojo turto – Pastato – Dirbtuvių dalį, esančią Kaune, Studentų g. 54, unikalus numeris – </w:t>
              </w:r>
              <w:r>
                <w:rPr>
                  <w:bCs/>
                  <w:iCs/>
                  <w:color w:val="000000"/>
                  <w:szCs w:val="24"/>
                  <w:lang w:eastAsia="lt-LT"/>
                </w:rPr>
                <w:t>1997-5006-8014</w:t>
              </w:r>
              <w:r>
                <w:rPr>
                  <w:color w:val="000000"/>
                  <w:szCs w:val="24"/>
                  <w:lang w:eastAsia="lt-LT"/>
                </w:rPr>
                <w:t xml:space="preserve">, </w:t>
              </w:r>
              <w:r>
                <w:rPr>
                  <w:szCs w:val="24"/>
                  <w:lang w:eastAsia="lt-LT"/>
                </w:rPr>
                <w:t xml:space="preserve">bendras pastato plotas – 3630,72 </w:t>
              </w:r>
              <w:r>
                <w:rPr>
                  <w:rFonts w:ascii="TimesLT" w:hAnsi="TimesLT"/>
                  <w:sz w:val="22"/>
                </w:rPr>
                <w:t xml:space="preserve">m²). </w:t>
              </w:r>
              <w:r>
                <w:rPr>
                  <w:color w:val="000000"/>
                  <w:szCs w:val="24"/>
                  <w:lang w:eastAsia="lt-LT"/>
                </w:rPr>
                <w:t>Perduodamų</w:t>
              </w:r>
              <w:r>
                <w:rPr>
                  <w:rFonts w:ascii="TimesLT" w:hAnsi="TimesLT"/>
                  <w:sz w:val="22"/>
                </w:rPr>
                <w:t xml:space="preserve"> patalpų </w:t>
              </w:r>
              <w:r>
                <w:rPr>
                  <w:szCs w:val="24"/>
                  <w:lang w:eastAsia="lt-LT"/>
                </w:rPr>
                <w:t xml:space="preserve">indeksai: nuo </w:t>
              </w:r>
              <w:r>
                <w:rPr>
                  <w:bCs/>
                  <w:iCs/>
                  <w:szCs w:val="24"/>
                  <w:lang w:eastAsia="lt-LT"/>
                </w:rPr>
                <w:t>2-14 iki 2-17, nuo 2-25 iki 2-28,</w:t>
              </w:r>
              <w:r>
                <w:rPr>
                  <w:rFonts w:ascii="TimesLT" w:hAnsi="TimesLT"/>
                  <w:sz w:val="22"/>
                </w:rPr>
                <w:t xml:space="preserve"> </w:t>
              </w:r>
              <w:r>
                <w:rPr>
                  <w:szCs w:val="24"/>
                  <w:lang w:eastAsia="lt-LT"/>
                </w:rPr>
                <w:t>perduodamų patalpų bendras plotas – 211,10</w:t>
              </w:r>
              <w:r>
                <w:rPr>
                  <w:color w:val="FF0000"/>
                  <w:szCs w:val="24"/>
                  <w:lang w:eastAsia="lt-LT"/>
                </w:rPr>
                <w:t xml:space="preserve"> </w:t>
              </w:r>
              <w:r>
                <w:rPr>
                  <w:rFonts w:ascii="TimesLT" w:hAnsi="TimesLT"/>
                  <w:sz w:val="22"/>
                </w:rPr>
                <w:t>m²</w:t>
              </w:r>
              <w:r>
                <w:rPr>
                  <w:szCs w:val="24"/>
                  <w:lang w:eastAsia="lt-LT"/>
                </w:rPr>
                <w:t>, su dalimi bendro naudojimo patalpų, kurių</w:t>
              </w:r>
              <w:r>
                <w:rPr>
                  <w:color w:val="FF0000"/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>indeksai:</w:t>
              </w:r>
              <w:r>
                <w:rPr>
                  <w:color w:val="FF0000"/>
                  <w:szCs w:val="24"/>
                  <w:lang w:eastAsia="lt-LT"/>
                </w:rPr>
                <w:t xml:space="preserve"> </w:t>
              </w:r>
              <w:r>
                <w:rPr>
                  <w:bCs/>
                  <w:iCs/>
                  <w:szCs w:val="24"/>
                  <w:lang w:eastAsia="lt-LT"/>
                </w:rPr>
                <w:t xml:space="preserve">2-1, nuo 2-10 iki 2-12, 2-19, nuo 2-22 iki 2-24, </w:t>
              </w:r>
              <w:r>
                <w:rPr>
                  <w:szCs w:val="24"/>
                  <w:lang w:eastAsia="lt-LT"/>
                </w:rPr>
                <w:t>per</w:t>
              </w:r>
              <w:r>
                <w:rPr>
                  <w:szCs w:val="24"/>
                </w:rPr>
                <w:t xml:space="preserve">duodamų bendro naudojimo patalpų dalių bendras plotas – 61,22 </w:t>
              </w:r>
              <w:r>
                <w:rPr>
                  <w:rFonts w:ascii="TimesLT" w:hAnsi="TimesLT"/>
                  <w:sz w:val="22"/>
                </w:rPr>
                <w:t>m²</w:t>
              </w:r>
              <w:r>
                <w:rPr>
                  <w:szCs w:val="24"/>
                </w:rPr>
                <w:t>,</w:t>
              </w:r>
              <w:r>
                <w:rPr>
                  <w:rFonts w:ascii="TimesLT" w:hAnsi="TimesLT"/>
                  <w:sz w:val="22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>visų</w:t>
              </w:r>
              <w:r>
                <w:rPr>
                  <w:rFonts w:ascii="TimesLT" w:hAnsi="TimesLT"/>
                  <w:sz w:val="22"/>
                  <w:szCs w:val="24"/>
                </w:rPr>
                <w:t xml:space="preserve"> </w:t>
              </w:r>
              <w:r>
                <w:rPr>
                  <w:color w:val="000000"/>
                  <w:szCs w:val="24"/>
                  <w:lang w:eastAsia="lt-LT"/>
                </w:rPr>
                <w:t>perduodamų patalpų bendras plotas – 272,32</w:t>
              </w:r>
              <w:r>
                <w:rPr>
                  <w:bCs/>
                  <w:iCs/>
                  <w:color w:val="000000"/>
                  <w:szCs w:val="24"/>
                  <w:lang w:eastAsia="lt-LT"/>
                </w:rPr>
                <w:t xml:space="preserve"> </w:t>
              </w:r>
              <w:r>
                <w:rPr>
                  <w:rFonts w:ascii="TimesLT" w:hAnsi="TimesLT"/>
                  <w:sz w:val="22"/>
                </w:rPr>
                <w:t>m²</w:t>
              </w:r>
              <w:r>
                <w:rPr>
                  <w:color w:val="000000"/>
                  <w:szCs w:val="24"/>
                  <w:lang w:eastAsia="lt-LT"/>
                </w:rPr>
                <w:t xml:space="preserve">. </w:t>
              </w:r>
              <w:r>
                <w:rPr>
                  <w:bCs/>
                  <w:iCs/>
                  <w:szCs w:val="24"/>
                </w:rPr>
                <w:t xml:space="preserve"> </w:t>
              </w:r>
            </w:p>
            <w:p>
              <w:pPr>
                <w:tabs>
                  <w:tab w:val="center" w:pos="4153"/>
                  <w:tab w:val="right" w:pos="8306"/>
                </w:tabs>
                <w:jc w:val="both"/>
                <w:rPr>
                  <w:szCs w:val="24"/>
                </w:rPr>
              </w:pPr>
            </w:p>
            <w:p>
              <w:pPr>
                <w:ind w:firstLine="709"/>
                <w:jc w:val="both"/>
                <w:rPr>
                  <w:szCs w:val="24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5bf74962fa644b3489e02bda2e5980b6"/>
            <w:lock w:val="sdtLocked"/>
            <w:richText/>
          </w:sdtPr>
          <w:sdtContent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Švietimo, mokslo ir sporto ministras </w:t>
              </w:r>
            </w:p>
            <w:p>
              <w:pPr>
                <w:jc w:val="both"/>
                <w:rPr>
                  <w:szCs w:val="24"/>
                </w:rPr>
              </w:pPr>
            </w:p>
            <w:p>
              <w:pPr>
                <w:jc w:val="both"/>
                <w:rPr>
                  <w:szCs w:val="24"/>
                </w:rPr>
              </w:pPr>
            </w:p>
          </w:sdtContent>
        </w:sdt>
      </w:sdtContent>
    </w:sdt>
    <w:sectPr>
      <w:pgSz w:w="11907" w:h="16840"/>
      <w:pgMar w:top="851" w:right="992" w:bottom="1135" w:left="1560" w:header="567" w:footer="567" w:gutter="0"/>
      <w:cols w:space="12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TimesLT" w:hAnsi="TimesLT"/>
          <w:sz w:val="22"/>
        </w:rPr>
      </w:pPr>
      <w:r>
        <w:rPr>
          <w:rFonts w:ascii="TimesLT" w:hAnsi="TimesLT"/>
          <w:sz w:val="22"/>
        </w:rPr>
        <w:separator/>
      </w:r>
    </w:p>
  </w:endnote>
  <w:endnote w:type="continuationSeparator" w:id="0">
    <w:p>
      <w:pPr>
        <w:rPr>
          <w:rFonts w:ascii="TimesLT" w:hAnsi="TimesLT"/>
          <w:sz w:val="22"/>
        </w:rPr>
      </w:pPr>
      <w:r>
        <w:rPr>
          <w:rFonts w:ascii="TimesLT" w:hAnsi="TimesLT"/>
          <w:sz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TimesLT" w:hAnsi="TimesLT"/>
          <w:sz w:val="22"/>
        </w:rPr>
      </w:pPr>
      <w:r>
        <w:rPr>
          <w:rFonts w:ascii="TimesLT" w:hAnsi="TimesLT"/>
          <w:sz w:val="22"/>
        </w:rPr>
        <w:separator/>
      </w:r>
    </w:p>
  </w:footnote>
  <w:footnote w:type="continuationSeparator" w:id="0">
    <w:p>
      <w:pPr>
        <w:rPr>
          <w:rFonts w:ascii="TimesLT" w:hAnsi="TimesLT"/>
          <w:sz w:val="22"/>
        </w:rPr>
      </w:pPr>
      <w:r>
        <w:rPr>
          <w:rFonts w:ascii="TimesLT" w:hAnsi="TimesLT"/>
          <w:sz w:val="22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8589342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5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arts xmlns="http://lrs.lt/TAIS/DocParts">
  <Part Type="pagrindine" DocPartId="dac5ab84a31447119db2b0371d44f07f" PartId="28dcc404cd9d4f929374654c78fa0adf">
    <Part Type="preambule" DocPartId="eec589b5029b47f8905aa9ee220c2b8d" PartId="af2efed1d2c14a619a65be2eb7a45744"/>
    <Part Type="pastraipa" DocPartId="19ee429c9b364653b6e19e0edcf12225" PartId="dcc8824be7294eab88aa2e135b6d41f6"/>
    <Part Type="signatura" DocPartId="d5f3c5cecd2b42f6a3dbfb3b6b683eb5" PartId="5bf74962fa644b3489e02bda2e5980b6"/>
  </Part>
</Parts>
</file>

<file path=customXml/itemProps1.xml><?xml version="1.0" encoding="utf-8"?>
<ds:datastoreItem xmlns:ds="http://schemas.openxmlformats.org/officeDocument/2006/customXml" ds:itemID="{E8813470-5244-4049-B757-512BD323F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26047-B6F7-4BB4-A2BA-D268A7536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98C8A-1EC1-4FF2-A53E-8B97F3A5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8F249-887F-4C20-8E98-2CBE3706DB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B3F3F4-0666-4AE6-8D4B-A4349AE6A0F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1472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A&amp;R</Company>
  <LinksUpToDate>false</LinksUpToDate>
  <CharactersWithSpaces>1683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2019-10-08T06:30:00Z</dcterms:created>
  <dc:creator>Unknown</dc:creator>
  <cp:lastModifiedBy>Asseco</cp:lastModifiedBy>
  <cp:lastPrinted>2019-10-04T06:29:00Z</cp:lastPrinted>
  <dcterms:modified xsi:type="dcterms:W3CDTF">2019-10-08T06:30:00Z</dcterms:modified>
  <cp:revision>2</cp:revision>
  <dc:title>6e257b7b-b255-42cb-bce7-813195d83739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