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F1" w:rsidRDefault="005E5EF1" w:rsidP="002238F0">
      <w:pPr>
        <w:jc w:val="center"/>
        <w:rPr>
          <w:b/>
        </w:rPr>
      </w:pPr>
      <w:r w:rsidRPr="005E5EF1">
        <w:rPr>
          <w:b/>
        </w:rPr>
        <w:t>LIETUVOS RESPUBLIKOS VYRIAUSYBĖS NUTARIMO „DĖL LIETUVOS RESPUBLIKOS VYRIAUSYBĖS 2001 M. RUGSĖJO 25 D. NUTARIMO NR. 1156 „DĖL ĮGALIOJIMŲ VALSTYBINEI DUOMENŲ APSAUGOS INSPEKCIJAI SUTEIKIMO IR VALSTYBINĖS DUOMENŲ APSAUGOS INSPEKCIJOS NUOSTATŲ PATVIRTINIMO“ PAKEITIMO“ PROJEKT</w:t>
      </w:r>
      <w:r>
        <w:rPr>
          <w:b/>
        </w:rPr>
        <w:t>O</w:t>
      </w:r>
      <w:r w:rsidRPr="005E5EF1">
        <w:rPr>
          <w:b/>
        </w:rPr>
        <w:t xml:space="preserve"> </w:t>
      </w:r>
    </w:p>
    <w:p w:rsidR="00A318D4" w:rsidRDefault="00A318D4" w:rsidP="002238F0">
      <w:pPr>
        <w:jc w:val="center"/>
      </w:pPr>
      <w:r w:rsidRPr="00A31CEF">
        <w:rPr>
          <w:b/>
        </w:rPr>
        <w:t>DERINIMO PAŽYMA</w:t>
      </w:r>
    </w:p>
    <w:p w:rsidR="00A318D4" w:rsidRDefault="00A318D4" w:rsidP="002238F0"/>
    <w:p w:rsidR="00A31CEF" w:rsidRDefault="00A31CEF" w:rsidP="002238F0"/>
    <w:tbl>
      <w:tblPr>
        <w:tblStyle w:val="Lentelstinklelis"/>
        <w:tblW w:w="0" w:type="auto"/>
        <w:tblLook w:val="04A0" w:firstRow="1" w:lastRow="0" w:firstColumn="1" w:lastColumn="0" w:noHBand="0" w:noVBand="1"/>
      </w:tblPr>
      <w:tblGrid>
        <w:gridCol w:w="2903"/>
        <w:gridCol w:w="6130"/>
        <w:gridCol w:w="5421"/>
      </w:tblGrid>
      <w:tr w:rsidR="00A318D4" w:rsidTr="008F1B64">
        <w:tc>
          <w:tcPr>
            <w:tcW w:w="2903" w:type="dxa"/>
          </w:tcPr>
          <w:p w:rsidR="00A318D4" w:rsidRPr="007B2667" w:rsidRDefault="00A318D4" w:rsidP="002238F0">
            <w:pPr>
              <w:rPr>
                <w:sz w:val="24"/>
                <w:szCs w:val="24"/>
              </w:rPr>
            </w:pPr>
            <w:r w:rsidRPr="007B2667">
              <w:rPr>
                <w:sz w:val="24"/>
                <w:szCs w:val="24"/>
              </w:rPr>
              <w:t>Institucija</w:t>
            </w:r>
          </w:p>
        </w:tc>
        <w:tc>
          <w:tcPr>
            <w:tcW w:w="6130" w:type="dxa"/>
          </w:tcPr>
          <w:p w:rsidR="00A318D4" w:rsidRPr="007B2667" w:rsidRDefault="00A318D4" w:rsidP="002238F0">
            <w:pPr>
              <w:rPr>
                <w:sz w:val="24"/>
                <w:szCs w:val="24"/>
              </w:rPr>
            </w:pPr>
            <w:r w:rsidRPr="007B2667">
              <w:rPr>
                <w:sz w:val="24"/>
                <w:szCs w:val="24"/>
              </w:rPr>
              <w:t>Pastabos</w:t>
            </w:r>
          </w:p>
        </w:tc>
        <w:tc>
          <w:tcPr>
            <w:tcW w:w="5421" w:type="dxa"/>
          </w:tcPr>
          <w:p w:rsidR="00A318D4" w:rsidRPr="007B2667" w:rsidRDefault="00A318D4" w:rsidP="002238F0">
            <w:pPr>
              <w:rPr>
                <w:sz w:val="24"/>
                <w:szCs w:val="24"/>
              </w:rPr>
            </w:pPr>
            <w:r w:rsidRPr="007B2667">
              <w:rPr>
                <w:sz w:val="24"/>
                <w:szCs w:val="24"/>
              </w:rPr>
              <w:t>Įvertinimas</w:t>
            </w:r>
          </w:p>
        </w:tc>
      </w:tr>
      <w:tr w:rsidR="00864AD0" w:rsidTr="008F1B64">
        <w:trPr>
          <w:trHeight w:val="1607"/>
        </w:trPr>
        <w:tc>
          <w:tcPr>
            <w:tcW w:w="2903" w:type="dxa"/>
            <w:vMerge w:val="restart"/>
          </w:tcPr>
          <w:p w:rsidR="00864AD0" w:rsidRPr="007B2667" w:rsidRDefault="00864AD0" w:rsidP="002238F0">
            <w:pPr>
              <w:rPr>
                <w:sz w:val="24"/>
                <w:szCs w:val="24"/>
              </w:rPr>
            </w:pPr>
            <w:r w:rsidRPr="007B2667">
              <w:rPr>
                <w:sz w:val="24"/>
                <w:szCs w:val="24"/>
              </w:rPr>
              <w:t xml:space="preserve">Lietuvos Respublikos </w:t>
            </w:r>
            <w:r w:rsidR="005E5EF1" w:rsidRPr="007B2667">
              <w:rPr>
                <w:sz w:val="24"/>
                <w:szCs w:val="24"/>
              </w:rPr>
              <w:t xml:space="preserve">vidaus reikalų </w:t>
            </w:r>
            <w:r w:rsidRPr="007B2667">
              <w:rPr>
                <w:sz w:val="24"/>
                <w:szCs w:val="24"/>
              </w:rPr>
              <w:t xml:space="preserve">ministerija </w:t>
            </w:r>
          </w:p>
          <w:p w:rsidR="00864AD0" w:rsidRPr="007B2667" w:rsidRDefault="00864AD0" w:rsidP="002238F0">
            <w:pPr>
              <w:rPr>
                <w:sz w:val="24"/>
                <w:szCs w:val="24"/>
              </w:rPr>
            </w:pPr>
            <w:r w:rsidRPr="007B2667">
              <w:rPr>
                <w:sz w:val="24"/>
                <w:szCs w:val="24"/>
              </w:rPr>
              <w:t>2019-0</w:t>
            </w:r>
            <w:r w:rsidR="008F1B64" w:rsidRPr="007B2667">
              <w:rPr>
                <w:sz w:val="24"/>
                <w:szCs w:val="24"/>
              </w:rPr>
              <w:t>6-</w:t>
            </w:r>
            <w:r w:rsidR="007B2667" w:rsidRPr="007B2667">
              <w:rPr>
                <w:sz w:val="24"/>
                <w:szCs w:val="24"/>
              </w:rPr>
              <w:t>03</w:t>
            </w:r>
            <w:r w:rsidRPr="007B2667">
              <w:rPr>
                <w:sz w:val="24"/>
                <w:szCs w:val="24"/>
              </w:rPr>
              <w:t xml:space="preserve"> raštas Nr.</w:t>
            </w:r>
            <w:r w:rsidR="007B2667" w:rsidRPr="007B2667">
              <w:rPr>
                <w:sz w:val="24"/>
                <w:szCs w:val="24"/>
              </w:rPr>
              <w:t>1D-2842</w:t>
            </w:r>
          </w:p>
        </w:tc>
        <w:tc>
          <w:tcPr>
            <w:tcW w:w="6130" w:type="dxa"/>
          </w:tcPr>
          <w:p w:rsidR="00864AD0" w:rsidRPr="007B2667" w:rsidRDefault="00864AD0" w:rsidP="002238F0">
            <w:pPr>
              <w:jc w:val="both"/>
              <w:rPr>
                <w:sz w:val="24"/>
                <w:szCs w:val="24"/>
              </w:rPr>
            </w:pPr>
            <w:r w:rsidRPr="007B2667">
              <w:rPr>
                <w:sz w:val="24"/>
                <w:szCs w:val="24"/>
              </w:rPr>
              <w:t xml:space="preserve">1. </w:t>
            </w:r>
            <w:r w:rsidR="005E5EF1" w:rsidRPr="007B2667">
              <w:rPr>
                <w:sz w:val="24"/>
                <w:szCs w:val="24"/>
              </w:rPr>
              <w:t>Atsižvelgdami į Vyriausybės įstatymo 29</w:t>
            </w:r>
            <w:r w:rsidR="005E5EF1" w:rsidRPr="007B2667">
              <w:rPr>
                <w:sz w:val="24"/>
                <w:szCs w:val="24"/>
                <w:vertAlign w:val="superscript"/>
              </w:rPr>
              <w:t>1</w:t>
            </w:r>
            <w:r w:rsidR="005E5EF1" w:rsidRPr="007B2667">
              <w:rPr>
                <w:sz w:val="24"/>
                <w:szCs w:val="24"/>
              </w:rPr>
              <w:t xml:space="preserve"> straipsnio 1 dalyje apibrėžtą Vyriausybės įstaigos paskirtį ir į Valstybės tarnybos įstatymo 2 priede pateiktus valstybės politikos formavimo bei dalyvavimo formuojant valstybės politiką </w:t>
            </w:r>
            <w:proofErr w:type="spellStart"/>
            <w:r w:rsidR="005E5EF1" w:rsidRPr="007B2667">
              <w:rPr>
                <w:sz w:val="24"/>
                <w:szCs w:val="24"/>
              </w:rPr>
              <w:t>apibūdinimus</w:t>
            </w:r>
            <w:proofErr w:type="spellEnd"/>
            <w:r w:rsidR="005E5EF1" w:rsidRPr="007B2667">
              <w:rPr>
                <w:sz w:val="24"/>
                <w:szCs w:val="24"/>
              </w:rPr>
              <w:t>, manome, kad Vyriausybės įstaigai negali būti pavedama tiesiogiai teikti pasiūlymus Seimui ir Vyriausybei dėl įstatymų ir kitų teisės aktų rengimo, keitimo ar pripažinimo netekusiais galios. Siūlome atitinkamai tikslinti 11.2 papunkčio nuostatas.</w:t>
            </w:r>
            <w:bookmarkStart w:id="0" w:name="_GoBack"/>
            <w:bookmarkEnd w:id="0"/>
          </w:p>
          <w:p w:rsidR="00864AD0" w:rsidRPr="007B2667" w:rsidRDefault="00864AD0" w:rsidP="002238F0">
            <w:pPr>
              <w:rPr>
                <w:sz w:val="24"/>
                <w:szCs w:val="24"/>
              </w:rPr>
            </w:pPr>
          </w:p>
        </w:tc>
        <w:tc>
          <w:tcPr>
            <w:tcW w:w="5421" w:type="dxa"/>
          </w:tcPr>
          <w:p w:rsidR="00864AD0" w:rsidRPr="007B2667" w:rsidRDefault="00864AD0" w:rsidP="002238F0">
            <w:pPr>
              <w:jc w:val="both"/>
              <w:rPr>
                <w:b/>
                <w:sz w:val="24"/>
                <w:szCs w:val="24"/>
              </w:rPr>
            </w:pPr>
            <w:r w:rsidRPr="007B2667">
              <w:rPr>
                <w:b/>
                <w:sz w:val="24"/>
                <w:szCs w:val="24"/>
              </w:rPr>
              <w:t>Neatsižvelgta.</w:t>
            </w:r>
          </w:p>
          <w:p w:rsidR="008F5A3A" w:rsidRPr="007B2667" w:rsidRDefault="005E5EF1">
            <w:pPr>
              <w:jc w:val="both"/>
              <w:rPr>
                <w:vanish/>
                <w:color w:val="000000"/>
                <w:sz w:val="24"/>
                <w:szCs w:val="24"/>
              </w:rPr>
            </w:pPr>
            <w:r w:rsidRPr="007B2667">
              <w:rPr>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57</w:t>
            </w:r>
            <w:r w:rsidR="008F5A3A" w:rsidRPr="007B2667">
              <w:rPr>
                <w:sz w:val="24"/>
                <w:szCs w:val="24"/>
              </w:rPr>
              <w:t xml:space="preserve"> straipsnio 1 dalies c) punkte nurodyta, kad </w:t>
            </w:r>
            <w:r w:rsidR="008F5A3A" w:rsidRPr="007B2667">
              <w:rPr>
                <w:color w:val="000000"/>
                <w:sz w:val="24"/>
                <w:szCs w:val="24"/>
              </w:rPr>
              <w:t>kiekviena priežiūros institucija savo teritorijoje laikydamasi valstybės narės teisės, pataria nacionaliniam parlamentui, vyriausybei ir kitoms institucijoms bei įstaigoms teisėkūros ir administracinių priemonių, susijusių su fizinių asmenų teisių ir laisvių apsauga tvarkant duomenis, klausimais.</w:t>
            </w:r>
          </w:p>
          <w:p w:rsidR="008F5A3A" w:rsidRPr="007B2667" w:rsidRDefault="008F5A3A">
            <w:pPr>
              <w:jc w:val="both"/>
              <w:rPr>
                <w:sz w:val="24"/>
                <w:szCs w:val="24"/>
              </w:rPr>
            </w:pPr>
          </w:p>
          <w:p w:rsidR="00864AD0" w:rsidRPr="007B2667" w:rsidRDefault="00864AD0">
            <w:pPr>
              <w:jc w:val="both"/>
              <w:rPr>
                <w:sz w:val="24"/>
                <w:szCs w:val="24"/>
              </w:rPr>
            </w:pPr>
          </w:p>
        </w:tc>
      </w:tr>
      <w:tr w:rsidR="008F5A3A" w:rsidTr="008F1B64">
        <w:trPr>
          <w:trHeight w:val="1607"/>
        </w:trPr>
        <w:tc>
          <w:tcPr>
            <w:tcW w:w="2903" w:type="dxa"/>
            <w:vMerge/>
          </w:tcPr>
          <w:p w:rsidR="008F5A3A" w:rsidRPr="007B2667" w:rsidRDefault="008F5A3A">
            <w:pPr>
              <w:rPr>
                <w:sz w:val="24"/>
                <w:szCs w:val="24"/>
              </w:rPr>
            </w:pPr>
          </w:p>
        </w:tc>
        <w:tc>
          <w:tcPr>
            <w:tcW w:w="6130" w:type="dxa"/>
          </w:tcPr>
          <w:p w:rsidR="001B2413" w:rsidRPr="007B2667" w:rsidRDefault="00C41330" w:rsidP="00B70C4A">
            <w:pPr>
              <w:widowControl w:val="0"/>
              <w:tabs>
                <w:tab w:val="left" w:pos="1134"/>
              </w:tabs>
              <w:jc w:val="both"/>
              <w:rPr>
                <w:sz w:val="24"/>
                <w:szCs w:val="24"/>
              </w:rPr>
            </w:pPr>
            <w:r w:rsidRPr="007B2667">
              <w:rPr>
                <w:sz w:val="24"/>
                <w:szCs w:val="24"/>
              </w:rPr>
              <w:t>2</w:t>
            </w:r>
            <w:r w:rsidR="008F5A3A" w:rsidRPr="007B2667">
              <w:rPr>
                <w:sz w:val="24"/>
                <w:szCs w:val="24"/>
              </w:rPr>
              <w:t xml:space="preserve">. Viešojo sektoriaus įstaigų sistemos tobulinimo gairių, patvirtintų Lietuvos Respublikos Vyriausybės 2018 m. gegužės 16 d. nutarimu Nr. 495, 12 punkte nustatytas siekis viešojo sektoriaus įstaigų kompetenciją (funkcijas) nustatančiuose teisės aktuose jų funkcijas dėstyti kaip konkrečią priskirtą veiklą. Atsižvelgdami į tai, siūlytume apibrėžiant Inspekcijos funkcijas vartojamas formuluotes „padeda“, „užtikrina“, pakeisti formuluotėmis, kurios šias funkcijas apibūdintų kaip veiksmus, nurodančius į konkretų rezultatą. Siūlome atitinkamai tikslinti 12.6 ir 13.4 papunkčių nuostatas. </w:t>
            </w:r>
          </w:p>
          <w:p w:rsidR="008F5A3A" w:rsidRPr="007B2667" w:rsidRDefault="008F5A3A" w:rsidP="00B70C4A">
            <w:pPr>
              <w:widowControl w:val="0"/>
              <w:tabs>
                <w:tab w:val="left" w:pos="1134"/>
              </w:tabs>
              <w:jc w:val="both"/>
              <w:rPr>
                <w:sz w:val="24"/>
                <w:szCs w:val="24"/>
              </w:rPr>
            </w:pPr>
          </w:p>
        </w:tc>
        <w:tc>
          <w:tcPr>
            <w:tcW w:w="5421" w:type="dxa"/>
          </w:tcPr>
          <w:p w:rsidR="008F5A3A" w:rsidRPr="007B2667" w:rsidRDefault="001B2413" w:rsidP="002238F0">
            <w:pPr>
              <w:jc w:val="both"/>
              <w:rPr>
                <w:sz w:val="24"/>
                <w:szCs w:val="24"/>
              </w:rPr>
            </w:pPr>
            <w:r w:rsidRPr="007B2667">
              <w:rPr>
                <w:b/>
                <w:sz w:val="24"/>
                <w:szCs w:val="24"/>
              </w:rPr>
              <w:t>Iš dalies atsižvelgta.</w:t>
            </w:r>
            <w:r w:rsidRPr="007B2667">
              <w:rPr>
                <w:sz w:val="24"/>
                <w:szCs w:val="24"/>
              </w:rPr>
              <w:t xml:space="preserve"> </w:t>
            </w:r>
          </w:p>
          <w:p w:rsidR="00252134" w:rsidRPr="007B2667" w:rsidRDefault="00252134" w:rsidP="002238F0">
            <w:pPr>
              <w:jc w:val="both"/>
              <w:rPr>
                <w:sz w:val="24"/>
                <w:szCs w:val="24"/>
              </w:rPr>
            </w:pPr>
            <w:r w:rsidRPr="007B2667">
              <w:rPr>
                <w:sz w:val="24"/>
                <w:szCs w:val="24"/>
              </w:rPr>
              <w:t xml:space="preserve">2012 m. spalio 25 d. Europos Parlamento ir Tarybos reglamento (ES) Nr. 1024/2012 dėl administracinio bendradarbiavimo per Vidaus rinkos informacinę sistemą, kuriuo panaikinamas Komisijos sprendimas 2008/49/EB (VRI reglamentas) (OL 2012 L 316, p. 1) 21 straipsnio 1 dalyje įtvirtinta, kad kiekvienoje valstybėje narėje paskirta nacionalinė priežiūros institucija arba institucijos, kurioms suteikti Direktyvos 95/46/EB 28 straipsnyje nurodyti įgaliojimai (toliau – nacionalinė priežiūros institucija), nepriklausomai stebi, ar jų valstybės narės VRI subjektai teisėtai tvarko asmens duomenis </w:t>
            </w:r>
            <w:r w:rsidRPr="007B2667">
              <w:rPr>
                <w:sz w:val="24"/>
                <w:szCs w:val="24"/>
              </w:rPr>
              <w:lastRenderedPageBreak/>
              <w:t>ir, visų pirma, užtikrina, kad šiame skyriuje išdėstytos duomenų subjektų teisės būtų saugomos laikantis šio reglamento.</w:t>
            </w:r>
          </w:p>
          <w:p w:rsidR="001B2413" w:rsidRPr="007B2667" w:rsidRDefault="00252134">
            <w:pPr>
              <w:jc w:val="both"/>
              <w:rPr>
                <w:sz w:val="24"/>
                <w:szCs w:val="24"/>
              </w:rPr>
            </w:pPr>
            <w:r w:rsidRPr="007B2667">
              <w:rPr>
                <w:sz w:val="24"/>
                <w:szCs w:val="24"/>
              </w:rPr>
              <w:t xml:space="preserve">Atsižvelgiant į šią nuostatą, nuostatų 13.4 papunktis </w:t>
            </w:r>
            <w:r w:rsidR="00116F8B" w:rsidRPr="007B2667">
              <w:rPr>
                <w:sz w:val="24"/>
                <w:szCs w:val="24"/>
              </w:rPr>
              <w:t>nėra t</w:t>
            </w:r>
            <w:r w:rsidR="00C41330" w:rsidRPr="007B2667">
              <w:rPr>
                <w:sz w:val="24"/>
                <w:szCs w:val="24"/>
              </w:rPr>
              <w:t xml:space="preserve">ikslinamas. </w:t>
            </w:r>
          </w:p>
        </w:tc>
      </w:tr>
      <w:tr w:rsidR="008F5A3A" w:rsidTr="008F1B64">
        <w:trPr>
          <w:trHeight w:val="1607"/>
        </w:trPr>
        <w:tc>
          <w:tcPr>
            <w:tcW w:w="2903" w:type="dxa"/>
            <w:vMerge/>
          </w:tcPr>
          <w:p w:rsidR="008F5A3A" w:rsidRPr="007B2667" w:rsidRDefault="008F5A3A">
            <w:pPr>
              <w:rPr>
                <w:sz w:val="24"/>
                <w:szCs w:val="24"/>
              </w:rPr>
            </w:pPr>
          </w:p>
        </w:tc>
        <w:tc>
          <w:tcPr>
            <w:tcW w:w="6130" w:type="dxa"/>
          </w:tcPr>
          <w:p w:rsidR="008F5A3A" w:rsidRPr="007B2667" w:rsidRDefault="00C41330" w:rsidP="00B70C4A">
            <w:pPr>
              <w:widowControl w:val="0"/>
              <w:tabs>
                <w:tab w:val="left" w:pos="1134"/>
              </w:tabs>
              <w:jc w:val="both"/>
              <w:rPr>
                <w:sz w:val="24"/>
                <w:szCs w:val="24"/>
              </w:rPr>
            </w:pPr>
            <w:r w:rsidRPr="007B2667">
              <w:rPr>
                <w:sz w:val="24"/>
                <w:szCs w:val="24"/>
              </w:rPr>
              <w:t xml:space="preserve">3. </w:t>
            </w:r>
            <w:r w:rsidR="008F5A3A" w:rsidRPr="007B2667">
              <w:rPr>
                <w:sz w:val="24"/>
                <w:szCs w:val="24"/>
              </w:rPr>
              <w:t>Atsižvelgdami į Seimo statuto, Vyriausybės įstatymo ir Vyriausybės darbo reglamento nuostatas, reglamentuojančias dalyvavimą šių institucijų posėdžiuose, abejojame, ar pagrįstai Inspekcijai yra suteikta Seimo ir Vyriausybės posėdžiuose, nepaisant to, kad ten gali būti svarstomi klausimai, susiję su asmens duomenų ir (ar) privatumo apsauga. Manome, kad egzistuojanti teisėkūros sistema suteikia pakankamai galimybių Inspekcijai dalyvauti teisėkūros procese, kai yra svarstomi su jos kompetencija susiję teisės aktų projektai. Siūlome atsisakyti 17.8 papunkčio nuostatų dalies, kurioje minimas Inspekcijos dalyvavimas Seimo ir Vyriausybės posėdžiuose.</w:t>
            </w:r>
          </w:p>
          <w:p w:rsidR="008F5A3A" w:rsidRPr="007B2667" w:rsidRDefault="008F5A3A" w:rsidP="002238F0">
            <w:pPr>
              <w:jc w:val="both"/>
              <w:rPr>
                <w:sz w:val="24"/>
                <w:szCs w:val="24"/>
              </w:rPr>
            </w:pPr>
          </w:p>
        </w:tc>
        <w:tc>
          <w:tcPr>
            <w:tcW w:w="5421" w:type="dxa"/>
          </w:tcPr>
          <w:p w:rsidR="008F5A3A" w:rsidRPr="007B2667" w:rsidRDefault="008F5A3A" w:rsidP="002238F0">
            <w:pPr>
              <w:jc w:val="both"/>
              <w:rPr>
                <w:b/>
                <w:sz w:val="24"/>
                <w:szCs w:val="24"/>
              </w:rPr>
            </w:pPr>
            <w:r w:rsidRPr="007B2667">
              <w:rPr>
                <w:b/>
                <w:sz w:val="24"/>
                <w:szCs w:val="24"/>
              </w:rPr>
              <w:t>Neatsižvelgta.</w:t>
            </w:r>
          </w:p>
          <w:p w:rsidR="008F5A3A" w:rsidRPr="007B2667" w:rsidRDefault="008F5A3A">
            <w:pPr>
              <w:jc w:val="both"/>
              <w:rPr>
                <w:sz w:val="24"/>
                <w:szCs w:val="24"/>
              </w:rPr>
            </w:pPr>
            <w:r w:rsidRPr="007B2667">
              <w:rPr>
                <w:sz w:val="24"/>
                <w:szCs w:val="24"/>
              </w:rPr>
              <w:t xml:space="preserve">Ši nuostata perkelta iš Lietuvos Respublikos asmens duomenų teisinės apsaugos įstatymo 12 straipsnio 2 dalies 3 punkto, kuriame numatyta, kad Valstybinė duomenų apsaugos inspekcija turi teisę dalyvauti Seimo, Vyriausybės, kitų valstybės institucijų posėdžiuose, kai svarstomi klausimai, susiję su asmens duomenų ir (ar) privatumo apsauga. </w:t>
            </w:r>
          </w:p>
        </w:tc>
      </w:tr>
      <w:tr w:rsidR="008F5A3A" w:rsidTr="008F1B64">
        <w:trPr>
          <w:trHeight w:val="1607"/>
        </w:trPr>
        <w:tc>
          <w:tcPr>
            <w:tcW w:w="2903" w:type="dxa"/>
            <w:vMerge/>
          </w:tcPr>
          <w:p w:rsidR="008F5A3A" w:rsidRPr="007B2667" w:rsidRDefault="008F5A3A">
            <w:pPr>
              <w:rPr>
                <w:sz w:val="24"/>
                <w:szCs w:val="24"/>
              </w:rPr>
            </w:pPr>
          </w:p>
        </w:tc>
        <w:tc>
          <w:tcPr>
            <w:tcW w:w="6130" w:type="dxa"/>
          </w:tcPr>
          <w:p w:rsidR="00216473" w:rsidRPr="007B2667" w:rsidRDefault="008F1B64" w:rsidP="00B70C4A">
            <w:pPr>
              <w:widowControl w:val="0"/>
              <w:tabs>
                <w:tab w:val="left" w:pos="1134"/>
              </w:tabs>
              <w:jc w:val="both"/>
              <w:rPr>
                <w:sz w:val="24"/>
                <w:szCs w:val="24"/>
              </w:rPr>
            </w:pPr>
            <w:r w:rsidRPr="007B2667">
              <w:rPr>
                <w:sz w:val="24"/>
                <w:szCs w:val="24"/>
              </w:rPr>
              <w:t xml:space="preserve">4. Abejojame, ar 22 punkte pagrįstai yra nurodoma, kad Inspekcijos direktorius gali turėti </w:t>
            </w:r>
            <w:r w:rsidRPr="007B2667">
              <w:rPr>
                <w:i/>
                <w:sz w:val="24"/>
                <w:szCs w:val="24"/>
              </w:rPr>
              <w:t>pavaduotojų</w:t>
            </w:r>
            <w:r w:rsidRPr="007B2667">
              <w:rPr>
                <w:sz w:val="24"/>
                <w:szCs w:val="24"/>
              </w:rPr>
              <w:t>. Remiantis Viešojo sektoriaus įstaigų sistemos tobulinimo gairių 29.1 papunkčio nuostatomis, valstybės biudžetinėje įstaigoje daugiau negu viena įstaigos vadovo pavaduotojo pareigybė gali būti steigiama, jeigu įsteigtų biudžetinės įstaigos administracijos valstybės tarnautojų ir (ar) darbuotojų, dirbančių pagal darbo sutartis, pareigybių skaičius viršija 100. Vidaus reikalų ministerijos duomenimis, Inspekcijos darbuotojų skaičius yra gerokai mažesnis. Siūlome papildomai įvertinti daugiau nei vienos Inspekcijos direktoriaus pavaduotojo pareigybės įsteigimo galimybes.</w:t>
            </w:r>
          </w:p>
        </w:tc>
        <w:tc>
          <w:tcPr>
            <w:tcW w:w="5421" w:type="dxa"/>
          </w:tcPr>
          <w:p w:rsidR="008F1B64" w:rsidRPr="007B2667" w:rsidRDefault="008F1B64" w:rsidP="002238F0">
            <w:pPr>
              <w:jc w:val="both"/>
              <w:rPr>
                <w:b/>
                <w:sz w:val="24"/>
                <w:szCs w:val="24"/>
              </w:rPr>
            </w:pPr>
            <w:r w:rsidRPr="007B2667">
              <w:rPr>
                <w:b/>
                <w:sz w:val="24"/>
                <w:szCs w:val="24"/>
              </w:rPr>
              <w:t>Neatsižvelgta.</w:t>
            </w:r>
          </w:p>
          <w:p w:rsidR="008F5A3A" w:rsidRPr="007B2667" w:rsidRDefault="008F1B64">
            <w:pPr>
              <w:jc w:val="both"/>
              <w:rPr>
                <w:sz w:val="24"/>
                <w:szCs w:val="24"/>
              </w:rPr>
            </w:pPr>
            <w:r w:rsidRPr="007B2667">
              <w:rPr>
                <w:sz w:val="24"/>
                <w:szCs w:val="24"/>
              </w:rPr>
              <w:t>Daugiau nei vienos Valstybinės duomenų apsaugos inspekcijos direktoriaus pavaduotojo pareigybės steigimo galimybė yra įtvirtinta Asmens duomenų teisinės apsaugos įstatymo 10 straipsnyje – Valstybinės duomenų apsaugos inspekcijos direktorius turi pavaduotoją (pavaduotojų).</w:t>
            </w:r>
          </w:p>
        </w:tc>
      </w:tr>
    </w:tbl>
    <w:p w:rsidR="00864AD0" w:rsidRDefault="00864AD0" w:rsidP="002238F0">
      <w:pPr>
        <w:jc w:val="center"/>
      </w:pPr>
      <w:r>
        <w:t>__________________</w:t>
      </w:r>
    </w:p>
    <w:sectPr w:rsidR="00864AD0" w:rsidSect="008F1B64">
      <w:pgSz w:w="16838" w:h="11906" w:orient="landscape"/>
      <w:pgMar w:top="1418"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71167"/>
    <w:multiLevelType w:val="hybridMultilevel"/>
    <w:tmpl w:val="E0ACA66C"/>
    <w:lvl w:ilvl="0" w:tplc="0B6A65F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77176C4F"/>
    <w:multiLevelType w:val="hybridMultilevel"/>
    <w:tmpl w:val="62DC261E"/>
    <w:lvl w:ilvl="0" w:tplc="7D3039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4F595B"/>
    <w:multiLevelType w:val="hybridMultilevel"/>
    <w:tmpl w:val="60CCEAA8"/>
    <w:lvl w:ilvl="0" w:tplc="884A23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2D3C85"/>
    <w:rsid w:val="00067C5D"/>
    <w:rsid w:val="00075D4F"/>
    <w:rsid w:val="00110C60"/>
    <w:rsid w:val="00116F8B"/>
    <w:rsid w:val="001266CD"/>
    <w:rsid w:val="00195FA9"/>
    <w:rsid w:val="001B2413"/>
    <w:rsid w:val="002162DC"/>
    <w:rsid w:val="00216473"/>
    <w:rsid w:val="002238F0"/>
    <w:rsid w:val="00252134"/>
    <w:rsid w:val="002D3C85"/>
    <w:rsid w:val="003548BA"/>
    <w:rsid w:val="00414424"/>
    <w:rsid w:val="00501733"/>
    <w:rsid w:val="0053745F"/>
    <w:rsid w:val="00571EAA"/>
    <w:rsid w:val="005E5EF1"/>
    <w:rsid w:val="00603402"/>
    <w:rsid w:val="00746151"/>
    <w:rsid w:val="00790822"/>
    <w:rsid w:val="007B2667"/>
    <w:rsid w:val="00840D87"/>
    <w:rsid w:val="00864AD0"/>
    <w:rsid w:val="00866192"/>
    <w:rsid w:val="00870F0D"/>
    <w:rsid w:val="008E6539"/>
    <w:rsid w:val="008F1B64"/>
    <w:rsid w:val="008F5A3A"/>
    <w:rsid w:val="00952536"/>
    <w:rsid w:val="00955C2D"/>
    <w:rsid w:val="00A318D4"/>
    <w:rsid w:val="00A31CEF"/>
    <w:rsid w:val="00AB68DB"/>
    <w:rsid w:val="00B70C4A"/>
    <w:rsid w:val="00C41330"/>
    <w:rsid w:val="00CF10F4"/>
    <w:rsid w:val="00CF39DF"/>
    <w:rsid w:val="00DA2419"/>
    <w:rsid w:val="00DB588E"/>
    <w:rsid w:val="00EB2B26"/>
    <w:rsid w:val="00FA4E06"/>
    <w:rsid w:val="00FE0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04FCF-8D7D-4291-AC02-826A37E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C8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B2B26"/>
    <w:pPr>
      <w:suppressAutoHyphens/>
      <w:ind w:left="720"/>
      <w:contextualSpacing/>
    </w:pPr>
    <w:rPr>
      <w:szCs w:val="24"/>
      <w:lang w:eastAsia="ar-SA"/>
    </w:rPr>
  </w:style>
  <w:style w:type="character" w:styleId="Hipersaitas">
    <w:name w:val="Hyperlink"/>
    <w:basedOn w:val="Numatytasispastraiposriftas"/>
    <w:uiPriority w:val="99"/>
    <w:semiHidden/>
    <w:unhideWhenUsed/>
    <w:rsid w:val="00075D4F"/>
    <w:rPr>
      <w:color w:val="0000FF"/>
      <w:u w:val="single"/>
    </w:rPr>
  </w:style>
  <w:style w:type="paragraph" w:styleId="Debesliotekstas">
    <w:name w:val="Balloon Text"/>
    <w:basedOn w:val="prastasis"/>
    <w:link w:val="DebesliotekstasDiagrama"/>
    <w:uiPriority w:val="99"/>
    <w:semiHidden/>
    <w:unhideWhenUsed/>
    <w:rsid w:val="002238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8F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156">
      <w:bodyDiv w:val="1"/>
      <w:marLeft w:val="0"/>
      <w:marRight w:val="0"/>
      <w:marTop w:val="0"/>
      <w:marBottom w:val="0"/>
      <w:divBdr>
        <w:top w:val="none" w:sz="0" w:space="0" w:color="auto"/>
        <w:left w:val="none" w:sz="0" w:space="0" w:color="auto"/>
        <w:bottom w:val="none" w:sz="0" w:space="0" w:color="auto"/>
        <w:right w:val="none" w:sz="0" w:space="0" w:color="auto"/>
      </w:divBdr>
    </w:div>
    <w:div w:id="908416729">
      <w:bodyDiv w:val="1"/>
      <w:marLeft w:val="0"/>
      <w:marRight w:val="0"/>
      <w:marTop w:val="0"/>
      <w:marBottom w:val="0"/>
      <w:divBdr>
        <w:top w:val="none" w:sz="0" w:space="0" w:color="auto"/>
        <w:left w:val="none" w:sz="0" w:space="0" w:color="auto"/>
        <w:bottom w:val="none" w:sz="0" w:space="0" w:color="auto"/>
        <w:right w:val="none" w:sz="0" w:space="0" w:color="auto"/>
      </w:divBdr>
      <w:divsChild>
        <w:div w:id="1117874835">
          <w:marLeft w:val="0"/>
          <w:marRight w:val="0"/>
          <w:marTop w:val="0"/>
          <w:marBottom w:val="0"/>
          <w:divBdr>
            <w:top w:val="none" w:sz="0" w:space="0" w:color="auto"/>
            <w:left w:val="none" w:sz="0" w:space="0" w:color="auto"/>
            <w:bottom w:val="none" w:sz="0" w:space="0" w:color="auto"/>
            <w:right w:val="none" w:sz="0" w:space="0" w:color="auto"/>
          </w:divBdr>
          <w:divsChild>
            <w:div w:id="1358240301">
              <w:marLeft w:val="0"/>
              <w:marRight w:val="0"/>
              <w:marTop w:val="0"/>
              <w:marBottom w:val="0"/>
              <w:divBdr>
                <w:top w:val="none" w:sz="0" w:space="0" w:color="auto"/>
                <w:left w:val="none" w:sz="0" w:space="0" w:color="auto"/>
                <w:bottom w:val="none" w:sz="0" w:space="0" w:color="auto"/>
                <w:right w:val="none" w:sz="0" w:space="0" w:color="auto"/>
              </w:divBdr>
              <w:divsChild>
                <w:div w:id="446238580">
                  <w:marLeft w:val="0"/>
                  <w:marRight w:val="0"/>
                  <w:marTop w:val="0"/>
                  <w:marBottom w:val="0"/>
                  <w:divBdr>
                    <w:top w:val="none" w:sz="0" w:space="0" w:color="auto"/>
                    <w:left w:val="none" w:sz="0" w:space="0" w:color="auto"/>
                    <w:bottom w:val="none" w:sz="0" w:space="0" w:color="auto"/>
                    <w:right w:val="none" w:sz="0" w:space="0" w:color="auto"/>
                  </w:divBdr>
                  <w:divsChild>
                    <w:div w:id="654837271">
                      <w:marLeft w:val="0"/>
                      <w:marRight w:val="0"/>
                      <w:marTop w:val="0"/>
                      <w:marBottom w:val="0"/>
                      <w:divBdr>
                        <w:top w:val="none" w:sz="0" w:space="0" w:color="auto"/>
                        <w:left w:val="none" w:sz="0" w:space="0" w:color="auto"/>
                        <w:bottom w:val="none" w:sz="0" w:space="0" w:color="auto"/>
                        <w:right w:val="none" w:sz="0" w:space="0" w:color="auto"/>
                      </w:divBdr>
                      <w:divsChild>
                        <w:div w:id="448941280">
                          <w:marLeft w:val="0"/>
                          <w:marRight w:val="0"/>
                          <w:marTop w:val="0"/>
                          <w:marBottom w:val="0"/>
                          <w:divBdr>
                            <w:top w:val="none" w:sz="0" w:space="0" w:color="auto"/>
                            <w:left w:val="none" w:sz="0" w:space="0" w:color="auto"/>
                            <w:bottom w:val="none" w:sz="0" w:space="0" w:color="auto"/>
                            <w:right w:val="none" w:sz="0" w:space="0" w:color="auto"/>
                          </w:divBdr>
                        </w:div>
                        <w:div w:id="1156720802">
                          <w:marLeft w:val="0"/>
                          <w:marRight w:val="0"/>
                          <w:marTop w:val="0"/>
                          <w:marBottom w:val="0"/>
                          <w:divBdr>
                            <w:top w:val="none" w:sz="0" w:space="0" w:color="auto"/>
                            <w:left w:val="none" w:sz="0" w:space="0" w:color="auto"/>
                            <w:bottom w:val="none" w:sz="0" w:space="0" w:color="auto"/>
                            <w:right w:val="none" w:sz="0" w:space="0" w:color="auto"/>
                          </w:divBdr>
                        </w:div>
                        <w:div w:id="1454861333">
                          <w:marLeft w:val="0"/>
                          <w:marRight w:val="0"/>
                          <w:marTop w:val="0"/>
                          <w:marBottom w:val="0"/>
                          <w:divBdr>
                            <w:top w:val="none" w:sz="0" w:space="0" w:color="auto"/>
                            <w:left w:val="none" w:sz="0" w:space="0" w:color="auto"/>
                            <w:bottom w:val="none" w:sz="0" w:space="0" w:color="auto"/>
                            <w:right w:val="none" w:sz="0" w:space="0" w:color="auto"/>
                          </w:divBdr>
                        </w:div>
                        <w:div w:id="405959633">
                          <w:marLeft w:val="0"/>
                          <w:marRight w:val="0"/>
                          <w:marTop w:val="0"/>
                          <w:marBottom w:val="0"/>
                          <w:divBdr>
                            <w:top w:val="none" w:sz="0" w:space="0" w:color="auto"/>
                            <w:left w:val="none" w:sz="0" w:space="0" w:color="auto"/>
                            <w:bottom w:val="none" w:sz="0" w:space="0" w:color="auto"/>
                            <w:right w:val="none" w:sz="0" w:space="0" w:color="auto"/>
                          </w:divBdr>
                        </w:div>
                        <w:div w:id="12873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330">
      <w:bodyDiv w:val="1"/>
      <w:marLeft w:val="0"/>
      <w:marRight w:val="0"/>
      <w:marTop w:val="0"/>
      <w:marBottom w:val="0"/>
      <w:divBdr>
        <w:top w:val="none" w:sz="0" w:space="0" w:color="auto"/>
        <w:left w:val="none" w:sz="0" w:space="0" w:color="auto"/>
        <w:bottom w:val="none" w:sz="0" w:space="0" w:color="auto"/>
        <w:right w:val="none" w:sz="0" w:space="0" w:color="auto"/>
      </w:divBdr>
    </w:div>
    <w:div w:id="18106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3127</Words>
  <Characters>1783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2019-06-13T06:29:00Z</dcterms:created>
  <dc:creator>Eglė Saudargaitė</dc:creator>
  <cp:lastModifiedBy>Dovilė Mekionytė</cp:lastModifiedBy>
  <dcterms:modified xsi:type="dcterms:W3CDTF">2019-06-14T05:19:00Z</dcterms:modified>
  <cp:revision>3</cp:revision>
</cp:coreProperties>
</file>