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46" w:rsidRPr="00367953" w:rsidRDefault="00523C46" w:rsidP="00523C46">
      <w:pPr>
        <w:spacing w:after="0" w:line="240" w:lineRule="auto"/>
        <w:jc w:val="center"/>
        <w:rPr>
          <w:rFonts w:eastAsia="Calibri" w:cs="Times New Roman"/>
          <w:b/>
          <w:szCs w:val="24"/>
        </w:rPr>
      </w:pPr>
      <w:r w:rsidRPr="00367953">
        <w:rPr>
          <w:rFonts w:eastAsia="Calibri" w:cs="Times New Roman"/>
          <w:b/>
          <w:szCs w:val="24"/>
        </w:rPr>
        <w:t>PAŽYMA</w:t>
      </w:r>
    </w:p>
    <w:p w:rsidR="00523C46" w:rsidRPr="00367953" w:rsidRDefault="00523C46" w:rsidP="00523C46">
      <w:pPr>
        <w:spacing w:after="0" w:line="240" w:lineRule="auto"/>
        <w:ind w:firstLine="720"/>
        <w:jc w:val="center"/>
        <w:rPr>
          <w:rFonts w:eastAsia="Calibri" w:cs="Times New Roman"/>
          <w:b/>
          <w:szCs w:val="24"/>
        </w:rPr>
      </w:pPr>
      <w:r w:rsidRPr="00367953">
        <w:rPr>
          <w:rFonts w:eastAsia="Calibri" w:cs="Times New Roman"/>
          <w:b/>
          <w:szCs w:val="24"/>
        </w:rPr>
        <w:t xml:space="preserve">Dėl š. m. </w:t>
      </w:r>
      <w:r>
        <w:rPr>
          <w:rFonts w:eastAsia="Calibri" w:cs="Times New Roman"/>
          <w:b/>
          <w:szCs w:val="24"/>
        </w:rPr>
        <w:t>sausio</w:t>
      </w:r>
      <w:r w:rsidRPr="00367953">
        <w:rPr>
          <w:rFonts w:eastAsia="Calibri" w:cs="Times New Roman"/>
          <w:b/>
          <w:szCs w:val="24"/>
        </w:rPr>
        <w:t xml:space="preserve"> </w:t>
      </w:r>
      <w:r>
        <w:rPr>
          <w:rFonts w:eastAsia="Calibri" w:cs="Times New Roman"/>
          <w:b/>
          <w:szCs w:val="24"/>
        </w:rPr>
        <w:t>22</w:t>
      </w:r>
      <w:r w:rsidRPr="00367953">
        <w:rPr>
          <w:rFonts w:eastAsia="Calibri" w:cs="Times New Roman"/>
          <w:b/>
          <w:szCs w:val="24"/>
        </w:rPr>
        <w:t xml:space="preserve"> d. Ekonomikos ir finansų reikalų (ECOFIN) taryboje svarstomų klausimų</w:t>
      </w:r>
    </w:p>
    <w:p w:rsidR="00523C46" w:rsidRDefault="00523C46" w:rsidP="00523C46">
      <w:pPr>
        <w:spacing w:after="0" w:line="240" w:lineRule="auto"/>
        <w:ind w:firstLine="720"/>
        <w:jc w:val="both"/>
        <w:rPr>
          <w:rFonts w:eastAsia="Calibri" w:cs="Times New Roman"/>
          <w:b/>
          <w:szCs w:val="24"/>
        </w:rPr>
      </w:pPr>
    </w:p>
    <w:p w:rsidR="00523C46" w:rsidRDefault="00523C46" w:rsidP="00523C46">
      <w:pPr>
        <w:spacing w:after="0" w:line="240" w:lineRule="auto"/>
        <w:ind w:firstLine="720"/>
        <w:jc w:val="both"/>
        <w:rPr>
          <w:rFonts w:eastAsia="Calibri" w:cs="Times New Roman"/>
          <w:b/>
          <w:szCs w:val="24"/>
        </w:rPr>
      </w:pPr>
    </w:p>
    <w:p w:rsidR="00523C46" w:rsidRPr="00D051D1" w:rsidRDefault="00523C46" w:rsidP="00523C46">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cs="Times New Roman"/>
          <w:iCs/>
          <w:szCs w:val="24"/>
        </w:rPr>
      </w:pPr>
      <w:proofErr w:type="spellStart"/>
      <w:r>
        <w:rPr>
          <w:b/>
          <w:szCs w:val="24"/>
        </w:rPr>
        <w:t>Invest</w:t>
      </w:r>
      <w:proofErr w:type="spellEnd"/>
      <w:r>
        <w:rPr>
          <w:b/>
          <w:szCs w:val="24"/>
        </w:rPr>
        <w:t xml:space="preserve"> EU programa</w:t>
      </w:r>
      <w:r w:rsidRPr="00D051D1">
        <w:rPr>
          <w:rFonts w:cs="Times New Roman"/>
          <w:i/>
          <w:iCs/>
          <w:szCs w:val="24"/>
        </w:rPr>
        <w:t xml:space="preserve"> (politiniai debatai)</w:t>
      </w:r>
    </w:p>
    <w:p w:rsidR="00036C9B" w:rsidRDefault="00036C9B" w:rsidP="00523C46">
      <w:pPr>
        <w:autoSpaceDE w:val="0"/>
        <w:autoSpaceDN w:val="0"/>
        <w:adjustRightInd w:val="0"/>
        <w:spacing w:after="0" w:line="240" w:lineRule="auto"/>
        <w:jc w:val="both"/>
        <w:rPr>
          <w:b/>
          <w:u w:val="single"/>
        </w:rPr>
      </w:pPr>
    </w:p>
    <w:p w:rsidR="00267738" w:rsidRDefault="00523C46" w:rsidP="00523C46">
      <w:pPr>
        <w:autoSpaceDE w:val="0"/>
        <w:autoSpaceDN w:val="0"/>
        <w:adjustRightInd w:val="0"/>
        <w:spacing w:after="0" w:line="240" w:lineRule="auto"/>
        <w:jc w:val="both"/>
      </w:pPr>
      <w:r w:rsidRPr="00523C46">
        <w:rPr>
          <w:b/>
          <w:u w:val="single"/>
        </w:rPr>
        <w:t>Klausimo esmė</w:t>
      </w:r>
      <w:r>
        <w:rPr>
          <w:b/>
          <w:u w:val="single"/>
        </w:rPr>
        <w:t>.</w:t>
      </w:r>
      <w:r w:rsidRPr="00B87ADC">
        <w:t xml:space="preserve"> </w:t>
      </w:r>
    </w:p>
    <w:p w:rsidR="00D63FE8" w:rsidRPr="00D63FE8" w:rsidRDefault="00D63FE8" w:rsidP="00D63FE8">
      <w:pPr>
        <w:spacing w:after="0" w:line="240" w:lineRule="auto"/>
        <w:jc w:val="both"/>
        <w:rPr>
          <w:color w:val="000000"/>
          <w:szCs w:val="24"/>
          <w:lang w:eastAsia="lt-LT" w:bidi="lt-LT"/>
        </w:rPr>
      </w:pPr>
      <w:r w:rsidRPr="00D63FE8">
        <w:rPr>
          <w:color w:val="000000"/>
          <w:szCs w:val="24"/>
          <w:lang w:eastAsia="lt-LT" w:bidi="lt-LT"/>
        </w:rPr>
        <w:t>2018 m. birželio 6 d. Europos Komisija pateikė pasiūlymą "</w:t>
      </w:r>
      <w:proofErr w:type="spellStart"/>
      <w:r w:rsidRPr="00D63FE8">
        <w:rPr>
          <w:color w:val="000000"/>
          <w:szCs w:val="24"/>
          <w:lang w:eastAsia="lt-LT" w:bidi="lt-LT"/>
        </w:rPr>
        <w:t>InvestEU</w:t>
      </w:r>
      <w:proofErr w:type="spellEnd"/>
      <w:r w:rsidRPr="00D63FE8">
        <w:rPr>
          <w:color w:val="000000"/>
          <w:szCs w:val="24"/>
          <w:lang w:eastAsia="lt-LT" w:bidi="lt-LT"/>
        </w:rPr>
        <w:t xml:space="preserve">", kuris skirtas skatinti </w:t>
      </w:r>
      <w:r w:rsidRPr="00D63FE8">
        <w:rPr>
          <w:color w:val="000000"/>
          <w:szCs w:val="24"/>
          <w:shd w:val="clear" w:color="auto" w:fill="FFFFFF"/>
          <w:lang w:eastAsia="lt-LT" w:bidi="lt-LT"/>
        </w:rPr>
        <w:t xml:space="preserve">viešąsias ir privačiąsias investicijas Europos Sąjungoje, kad padėtų spręsti vis dar didelio investicijų trūkumo Europoje klausimą. </w:t>
      </w:r>
      <w:r w:rsidRPr="00D63FE8">
        <w:rPr>
          <w:color w:val="000000"/>
          <w:szCs w:val="24"/>
          <w:lang w:eastAsia="lt-LT" w:bidi="lt-LT"/>
        </w:rPr>
        <w:t xml:space="preserve">Instrumento </w:t>
      </w:r>
      <w:r w:rsidRPr="00D63FE8">
        <w:rPr>
          <w:color w:val="000000"/>
          <w:szCs w:val="24"/>
          <w:shd w:val="clear" w:color="auto" w:fill="FFFFFF"/>
          <w:lang w:eastAsia="lt-LT" w:bidi="lt-LT"/>
        </w:rPr>
        <w:t xml:space="preserve">tikslas – suteikti finansavimą ekonomikos subjektams, kuriems dėl jų rizikos profilio privatūs finansuotojai ne visada gali arba nori suteikti finansavimą, kad būtų skatinamas ES ekonomikos konkurencingumas, tvarus augimas, socialinis atsparumas. </w:t>
      </w:r>
      <w:r w:rsidRPr="00D63FE8">
        <w:rPr>
          <w:color w:val="000000"/>
          <w:szCs w:val="24"/>
          <w:lang w:eastAsia="lt-LT" w:bidi="lt-LT"/>
        </w:rPr>
        <w:t>"</w:t>
      </w:r>
      <w:proofErr w:type="spellStart"/>
      <w:r w:rsidRPr="00D63FE8">
        <w:rPr>
          <w:color w:val="000000"/>
          <w:szCs w:val="24"/>
          <w:lang w:eastAsia="lt-LT" w:bidi="lt-LT"/>
        </w:rPr>
        <w:t>InvestEU</w:t>
      </w:r>
      <w:proofErr w:type="spellEnd"/>
      <w:r w:rsidRPr="00D63FE8">
        <w:rPr>
          <w:color w:val="000000"/>
          <w:szCs w:val="24"/>
          <w:lang w:eastAsia="lt-LT" w:bidi="lt-LT"/>
        </w:rPr>
        <w:t>" instrumentas skirtas projektams, kuriantiems pridėtinę vertę ES kontekste.</w:t>
      </w:r>
    </w:p>
    <w:p w:rsidR="00D63FE8" w:rsidRDefault="00D63FE8" w:rsidP="00D63FE8">
      <w:pPr>
        <w:spacing w:after="0" w:line="240" w:lineRule="auto"/>
        <w:jc w:val="both"/>
        <w:rPr>
          <w:b/>
          <w:color w:val="000000"/>
          <w:szCs w:val="24"/>
          <w:lang w:eastAsia="lt-LT" w:bidi="lt-LT"/>
        </w:rPr>
      </w:pPr>
      <w:r w:rsidRPr="00D63FE8">
        <w:rPr>
          <w:i/>
          <w:color w:val="000000"/>
          <w:szCs w:val="24"/>
          <w:shd w:val="clear" w:color="auto" w:fill="FFFFFF"/>
          <w:lang w:eastAsia="lt-LT" w:bidi="lt-LT"/>
        </w:rPr>
        <w:t>Komisija siūlo „</w:t>
      </w:r>
      <w:proofErr w:type="spellStart"/>
      <w:r w:rsidRPr="00D63FE8">
        <w:rPr>
          <w:i/>
          <w:color w:val="000000"/>
          <w:szCs w:val="24"/>
          <w:shd w:val="clear" w:color="auto" w:fill="FFFFFF"/>
          <w:lang w:eastAsia="lt-LT" w:bidi="lt-LT"/>
        </w:rPr>
        <w:t>InvestEU</w:t>
      </w:r>
      <w:proofErr w:type="spellEnd"/>
      <w:r w:rsidRPr="00D63FE8">
        <w:rPr>
          <w:i/>
          <w:color w:val="000000"/>
          <w:szCs w:val="24"/>
          <w:shd w:val="clear" w:color="auto" w:fill="FFFFFF"/>
          <w:lang w:eastAsia="lt-LT" w:bidi="lt-LT"/>
        </w:rPr>
        <w:t xml:space="preserve">“ fondui </w:t>
      </w:r>
      <w:r w:rsidRPr="00D63FE8">
        <w:rPr>
          <w:b/>
          <w:i/>
          <w:color w:val="000000"/>
          <w:szCs w:val="24"/>
          <w:shd w:val="clear" w:color="auto" w:fill="FFFFFF"/>
          <w:lang w:eastAsia="lt-LT" w:bidi="lt-LT"/>
        </w:rPr>
        <w:t>skirti 15,2 mlrd. eurų</w:t>
      </w:r>
      <w:r w:rsidRPr="00D63FE8">
        <w:rPr>
          <w:color w:val="000000"/>
          <w:szCs w:val="24"/>
          <w:shd w:val="clear" w:color="auto" w:fill="FFFFFF"/>
          <w:lang w:eastAsia="lt-LT" w:bidi="lt-LT"/>
        </w:rPr>
        <w:t xml:space="preserve">. Tai leis iš ES biudžeto suteikti </w:t>
      </w:r>
      <w:r w:rsidRPr="00D63FE8">
        <w:rPr>
          <w:b/>
          <w:color w:val="000000"/>
          <w:szCs w:val="24"/>
          <w:shd w:val="clear" w:color="auto" w:fill="FFFFFF"/>
          <w:lang w:eastAsia="lt-LT" w:bidi="lt-LT"/>
        </w:rPr>
        <w:t>38 mlrd. eurų garantiją,</w:t>
      </w:r>
      <w:r w:rsidRPr="00D63FE8">
        <w:rPr>
          <w:color w:val="000000"/>
          <w:szCs w:val="24"/>
          <w:shd w:val="clear" w:color="auto" w:fill="FFFFFF"/>
          <w:lang w:eastAsia="lt-LT" w:bidi="lt-LT"/>
        </w:rPr>
        <w:t xml:space="preserve"> kuri bus panaudota strategiškai svarbiems projektams visoje ES paremti. </w:t>
      </w:r>
      <w:r w:rsidRPr="00D63FE8">
        <w:rPr>
          <w:b/>
          <w:color w:val="000000"/>
          <w:szCs w:val="24"/>
          <w:lang w:eastAsia="lt-LT" w:bidi="lt-LT"/>
        </w:rPr>
        <w:t>Tikimasi, kad tai mobilizuos apie 650 mlrd. eurų investicijų.</w:t>
      </w:r>
    </w:p>
    <w:p w:rsidR="00D05CC5" w:rsidRPr="00D63FE8" w:rsidRDefault="00D05CC5" w:rsidP="00D05CC5">
      <w:pPr>
        <w:spacing w:after="0" w:line="240" w:lineRule="auto"/>
        <w:jc w:val="both"/>
        <w:rPr>
          <w:i/>
          <w:color w:val="000000"/>
          <w:szCs w:val="24"/>
          <w:lang w:eastAsia="lt-LT" w:bidi="lt-LT"/>
        </w:rPr>
      </w:pPr>
      <w:r w:rsidRPr="00D63FE8">
        <w:rPr>
          <w:i/>
          <w:color w:val="000000"/>
          <w:szCs w:val="24"/>
          <w:lang w:eastAsia="lt-LT" w:bidi="lt-LT"/>
        </w:rPr>
        <w:t>Pagrindinės finansavimo sritys:</w:t>
      </w:r>
    </w:p>
    <w:p w:rsidR="00D05CC5" w:rsidRPr="00D63FE8" w:rsidRDefault="00D05CC5" w:rsidP="00D05CC5">
      <w:pPr>
        <w:numPr>
          <w:ilvl w:val="0"/>
          <w:numId w:val="2"/>
        </w:numPr>
        <w:spacing w:after="0" w:line="240" w:lineRule="auto"/>
        <w:ind w:left="0" w:firstLine="0"/>
        <w:jc w:val="both"/>
        <w:rPr>
          <w:color w:val="000000"/>
          <w:szCs w:val="24"/>
          <w:lang w:eastAsia="lt-LT" w:bidi="lt-LT"/>
        </w:rPr>
      </w:pPr>
      <w:r w:rsidRPr="00D63FE8">
        <w:rPr>
          <w:color w:val="000000"/>
          <w:szCs w:val="24"/>
          <w:lang w:eastAsia="lt-LT" w:bidi="lt-LT"/>
        </w:rPr>
        <w:t>Infrastruktūra (apie 11,5 mlrd. eurų);</w:t>
      </w:r>
    </w:p>
    <w:p w:rsidR="00D05CC5" w:rsidRPr="00D63FE8" w:rsidRDefault="00D05CC5" w:rsidP="00D05CC5">
      <w:pPr>
        <w:numPr>
          <w:ilvl w:val="0"/>
          <w:numId w:val="2"/>
        </w:numPr>
        <w:spacing w:after="0" w:line="240" w:lineRule="auto"/>
        <w:ind w:left="0" w:firstLine="0"/>
        <w:jc w:val="both"/>
        <w:rPr>
          <w:color w:val="000000"/>
          <w:szCs w:val="24"/>
          <w:lang w:eastAsia="lt-LT" w:bidi="lt-LT"/>
        </w:rPr>
      </w:pPr>
      <w:r w:rsidRPr="00D63FE8">
        <w:rPr>
          <w:color w:val="000000"/>
          <w:szCs w:val="24"/>
          <w:lang w:eastAsia="lt-LT" w:bidi="lt-LT"/>
        </w:rPr>
        <w:t>Tyrimai ir inovacijos (apie 11,25 mlrd. eurų);</w:t>
      </w:r>
    </w:p>
    <w:p w:rsidR="00D05CC5" w:rsidRPr="00D63FE8" w:rsidRDefault="00D05CC5" w:rsidP="00D05CC5">
      <w:pPr>
        <w:numPr>
          <w:ilvl w:val="0"/>
          <w:numId w:val="2"/>
        </w:numPr>
        <w:spacing w:after="0" w:line="240" w:lineRule="auto"/>
        <w:ind w:left="0" w:firstLine="0"/>
        <w:jc w:val="both"/>
        <w:rPr>
          <w:color w:val="000000"/>
          <w:szCs w:val="24"/>
          <w:lang w:eastAsia="lt-LT" w:bidi="lt-LT"/>
        </w:rPr>
      </w:pPr>
      <w:r w:rsidRPr="00D63FE8">
        <w:rPr>
          <w:color w:val="000000"/>
          <w:szCs w:val="24"/>
          <w:lang w:eastAsia="lt-LT" w:bidi="lt-LT"/>
        </w:rPr>
        <w:t>Mažos ir vidutinės įmonės 11,25 mlrd. eurų);</w:t>
      </w:r>
    </w:p>
    <w:p w:rsidR="00D05CC5" w:rsidRPr="00D63FE8" w:rsidRDefault="00D05CC5" w:rsidP="00D05CC5">
      <w:pPr>
        <w:numPr>
          <w:ilvl w:val="0"/>
          <w:numId w:val="2"/>
        </w:numPr>
        <w:spacing w:after="0" w:line="240" w:lineRule="auto"/>
        <w:ind w:left="0" w:firstLine="0"/>
        <w:jc w:val="both"/>
        <w:rPr>
          <w:color w:val="000000"/>
          <w:szCs w:val="24"/>
          <w:lang w:eastAsia="lt-LT" w:bidi="lt-LT"/>
        </w:rPr>
      </w:pPr>
      <w:r w:rsidRPr="00D63FE8">
        <w:rPr>
          <w:color w:val="000000"/>
          <w:szCs w:val="24"/>
          <w:lang w:eastAsia="lt-LT" w:bidi="lt-LT"/>
        </w:rPr>
        <w:t>Socialinės investicijos (apie 4 mlrd. eurų).</w:t>
      </w:r>
    </w:p>
    <w:p w:rsidR="00D05CC5" w:rsidRPr="00D63FE8" w:rsidRDefault="00D05CC5" w:rsidP="00D05CC5">
      <w:pPr>
        <w:spacing w:after="0" w:line="240" w:lineRule="auto"/>
        <w:jc w:val="both"/>
        <w:rPr>
          <w:color w:val="000000"/>
          <w:szCs w:val="24"/>
          <w:lang w:eastAsia="lt-LT" w:bidi="lt-LT"/>
        </w:rPr>
      </w:pPr>
      <w:r w:rsidRPr="00D63FE8">
        <w:rPr>
          <w:color w:val="000000"/>
          <w:szCs w:val="24"/>
          <w:shd w:val="clear" w:color="auto" w:fill="FFFFFF"/>
          <w:lang w:eastAsia="lt-LT" w:bidi="lt-LT"/>
        </w:rPr>
        <w:t>Atsižvelgdama į kintančius politikos prioritetus ir rinkos paklausą, Komisija gali koreguoti kiekvienai politikos sričiai numatytas sumas iki 15 %.</w:t>
      </w:r>
    </w:p>
    <w:p w:rsidR="00D63FE8" w:rsidRPr="00D63FE8" w:rsidRDefault="00D63FE8" w:rsidP="00D63FE8">
      <w:pPr>
        <w:spacing w:after="0" w:line="240" w:lineRule="auto"/>
        <w:jc w:val="both"/>
        <w:rPr>
          <w:i/>
          <w:color w:val="000000"/>
          <w:szCs w:val="24"/>
          <w:lang w:eastAsia="lt-LT" w:bidi="lt-LT"/>
        </w:rPr>
      </w:pPr>
      <w:r w:rsidRPr="00D63FE8">
        <w:rPr>
          <w:color w:val="000000"/>
          <w:szCs w:val="24"/>
          <w:lang w:eastAsia="lt-LT" w:bidi="lt-LT"/>
        </w:rPr>
        <w:t>"</w:t>
      </w:r>
      <w:proofErr w:type="spellStart"/>
      <w:r w:rsidRPr="00D63FE8">
        <w:rPr>
          <w:i/>
          <w:color w:val="000000"/>
          <w:szCs w:val="24"/>
          <w:lang w:eastAsia="lt-LT" w:bidi="lt-LT"/>
        </w:rPr>
        <w:t>Inve</w:t>
      </w:r>
      <w:r w:rsidR="00D05CC5">
        <w:rPr>
          <w:i/>
          <w:color w:val="000000"/>
          <w:szCs w:val="24"/>
          <w:lang w:eastAsia="lt-LT" w:bidi="lt-LT"/>
        </w:rPr>
        <w:t>stEU</w:t>
      </w:r>
      <w:proofErr w:type="spellEnd"/>
      <w:r w:rsidR="00D05CC5">
        <w:rPr>
          <w:i/>
          <w:color w:val="000000"/>
          <w:szCs w:val="24"/>
          <w:lang w:eastAsia="lt-LT" w:bidi="lt-LT"/>
        </w:rPr>
        <w:t>" instrumentą sudarys šie</w:t>
      </w:r>
      <w:r w:rsidRPr="00D63FE8">
        <w:rPr>
          <w:i/>
          <w:color w:val="000000"/>
          <w:szCs w:val="24"/>
          <w:lang w:eastAsia="lt-LT" w:bidi="lt-LT"/>
        </w:rPr>
        <w:t xml:space="preserve"> pagrindiniai elementai:</w:t>
      </w:r>
    </w:p>
    <w:p w:rsidR="00D63FE8" w:rsidRPr="00D63FE8" w:rsidRDefault="00D63FE8" w:rsidP="00D63FE8">
      <w:pPr>
        <w:numPr>
          <w:ilvl w:val="0"/>
          <w:numId w:val="3"/>
        </w:numPr>
        <w:spacing w:after="0" w:line="240" w:lineRule="auto"/>
        <w:ind w:left="0" w:firstLine="0"/>
        <w:jc w:val="both"/>
        <w:rPr>
          <w:color w:val="000000"/>
          <w:szCs w:val="24"/>
          <w:lang w:eastAsia="lt-LT" w:bidi="lt-LT"/>
        </w:rPr>
      </w:pPr>
      <w:r w:rsidRPr="00D63FE8">
        <w:rPr>
          <w:color w:val="000000"/>
          <w:szCs w:val="24"/>
          <w:lang w:eastAsia="lt-LT" w:bidi="lt-LT"/>
        </w:rPr>
        <w:t>„</w:t>
      </w:r>
      <w:proofErr w:type="spellStart"/>
      <w:r w:rsidRPr="00D63FE8">
        <w:rPr>
          <w:color w:val="000000"/>
          <w:szCs w:val="24"/>
          <w:lang w:eastAsia="lt-LT" w:bidi="lt-LT"/>
        </w:rPr>
        <w:t>InvestEU</w:t>
      </w:r>
      <w:proofErr w:type="spellEnd"/>
      <w:r w:rsidRPr="00D63FE8">
        <w:rPr>
          <w:color w:val="000000"/>
          <w:szCs w:val="24"/>
          <w:lang w:eastAsia="lt-LT" w:bidi="lt-LT"/>
        </w:rPr>
        <w:t>“ fondas, kuris teiks ES garantiją; </w:t>
      </w:r>
    </w:p>
    <w:p w:rsidR="00D63FE8" w:rsidRPr="00D63FE8" w:rsidRDefault="00D63FE8" w:rsidP="00D63FE8">
      <w:pPr>
        <w:numPr>
          <w:ilvl w:val="0"/>
          <w:numId w:val="3"/>
        </w:numPr>
        <w:spacing w:after="0" w:line="240" w:lineRule="auto"/>
        <w:ind w:left="0" w:firstLine="0"/>
        <w:jc w:val="both"/>
        <w:rPr>
          <w:color w:val="000000"/>
          <w:szCs w:val="24"/>
          <w:lang w:eastAsia="lt-LT" w:bidi="lt-LT"/>
        </w:rPr>
      </w:pPr>
      <w:r w:rsidRPr="00D63FE8">
        <w:rPr>
          <w:color w:val="000000"/>
          <w:szCs w:val="24"/>
          <w:lang w:eastAsia="lt-LT" w:bidi="lt-LT"/>
        </w:rPr>
        <w:t>„</w:t>
      </w:r>
      <w:proofErr w:type="spellStart"/>
      <w:r w:rsidRPr="00D63FE8">
        <w:rPr>
          <w:color w:val="000000"/>
          <w:szCs w:val="24"/>
          <w:lang w:eastAsia="lt-LT" w:bidi="lt-LT"/>
        </w:rPr>
        <w:t>InvestEU</w:t>
      </w:r>
      <w:proofErr w:type="spellEnd"/>
      <w:r w:rsidRPr="00D63FE8">
        <w:rPr>
          <w:color w:val="000000"/>
          <w:szCs w:val="24"/>
          <w:lang w:eastAsia="lt-LT" w:bidi="lt-LT"/>
        </w:rPr>
        <w:t>“ konsultacijų centras, kuris visų pirma teiks su projektų plėtojimu susijusią techninę paramą (toks yra ir EFSI instrumente); </w:t>
      </w:r>
    </w:p>
    <w:p w:rsidR="00D63FE8" w:rsidRPr="00D05CC5" w:rsidRDefault="00D63FE8" w:rsidP="00D05CC5">
      <w:pPr>
        <w:numPr>
          <w:ilvl w:val="0"/>
          <w:numId w:val="3"/>
        </w:numPr>
        <w:spacing w:after="0" w:line="240" w:lineRule="auto"/>
        <w:ind w:left="0" w:firstLine="0"/>
        <w:jc w:val="both"/>
        <w:rPr>
          <w:color w:val="000000"/>
          <w:szCs w:val="24"/>
          <w:lang w:eastAsia="lt-LT" w:bidi="lt-LT"/>
        </w:rPr>
      </w:pPr>
      <w:r w:rsidRPr="00D63FE8">
        <w:rPr>
          <w:color w:val="000000"/>
          <w:szCs w:val="24"/>
          <w:lang w:eastAsia="lt-LT" w:bidi="lt-LT"/>
        </w:rPr>
        <w:t>„</w:t>
      </w:r>
      <w:proofErr w:type="spellStart"/>
      <w:r w:rsidRPr="00D63FE8">
        <w:rPr>
          <w:color w:val="000000"/>
          <w:szCs w:val="24"/>
          <w:lang w:eastAsia="lt-LT" w:bidi="lt-LT"/>
        </w:rPr>
        <w:t>InvestEU</w:t>
      </w:r>
      <w:proofErr w:type="spellEnd"/>
      <w:r w:rsidRPr="00D63FE8">
        <w:rPr>
          <w:color w:val="000000"/>
          <w:szCs w:val="24"/>
          <w:lang w:eastAsia="lt-LT" w:bidi="lt-LT"/>
        </w:rPr>
        <w:t>“ portalas, kuris užtikrins lengvai prieinamą duomenų bazę projektams, kuriems ieškoma finansavimo, viešinti (</w:t>
      </w:r>
      <w:r w:rsidR="00D05CC5">
        <w:rPr>
          <w:color w:val="000000"/>
          <w:szCs w:val="24"/>
          <w:lang w:eastAsia="lt-LT" w:bidi="lt-LT"/>
        </w:rPr>
        <w:t>toks yra ir EFSI instrumente).</w:t>
      </w:r>
    </w:p>
    <w:p w:rsidR="00D63FE8" w:rsidRPr="00D63FE8" w:rsidRDefault="00D63FE8" w:rsidP="00D63FE8">
      <w:pPr>
        <w:shd w:val="clear" w:color="auto" w:fill="FFFFFF"/>
        <w:spacing w:after="0" w:line="240" w:lineRule="auto"/>
        <w:jc w:val="both"/>
        <w:rPr>
          <w:i/>
          <w:color w:val="000000"/>
          <w:szCs w:val="24"/>
          <w:lang w:eastAsia="lt-LT"/>
        </w:rPr>
      </w:pPr>
      <w:r w:rsidRPr="00D63FE8">
        <w:rPr>
          <w:i/>
          <w:color w:val="000000"/>
          <w:szCs w:val="24"/>
          <w:lang w:eastAsia="lt-LT"/>
        </w:rPr>
        <w:t>„</w:t>
      </w:r>
      <w:proofErr w:type="spellStart"/>
      <w:r w:rsidRPr="00D63FE8">
        <w:rPr>
          <w:i/>
          <w:color w:val="000000"/>
          <w:szCs w:val="24"/>
          <w:lang w:eastAsia="lt-LT"/>
        </w:rPr>
        <w:t>InvestEU</w:t>
      </w:r>
      <w:proofErr w:type="spellEnd"/>
      <w:r w:rsidRPr="00D63FE8">
        <w:rPr>
          <w:i/>
          <w:color w:val="000000"/>
          <w:szCs w:val="24"/>
          <w:lang w:eastAsia="lt-LT"/>
        </w:rPr>
        <w:t>“ projektai turi tenkinti šiuos reikalavimus:</w:t>
      </w:r>
    </w:p>
    <w:p w:rsidR="00D63FE8" w:rsidRPr="00D63FE8" w:rsidRDefault="00D63FE8" w:rsidP="00D63FE8">
      <w:pPr>
        <w:numPr>
          <w:ilvl w:val="0"/>
          <w:numId w:val="4"/>
        </w:numPr>
        <w:shd w:val="clear" w:color="auto" w:fill="FFFFFF"/>
        <w:spacing w:after="0" w:line="240" w:lineRule="auto"/>
        <w:ind w:left="0" w:firstLine="0"/>
        <w:jc w:val="both"/>
        <w:rPr>
          <w:color w:val="000000"/>
          <w:szCs w:val="24"/>
          <w:lang w:eastAsia="lt-LT"/>
        </w:rPr>
      </w:pPr>
      <w:r w:rsidRPr="00D63FE8">
        <w:rPr>
          <w:color w:val="000000"/>
          <w:szCs w:val="24"/>
          <w:lang w:eastAsia="lt-LT"/>
        </w:rPr>
        <w:t>jais turi būti šalinamas rinkos nepakankamumas arba investicijų trūkumas ir jie turi būti ekonomiškai perspektyvūs,</w:t>
      </w:r>
    </w:p>
    <w:p w:rsidR="00D63FE8" w:rsidRPr="00D63FE8" w:rsidRDefault="00D63FE8" w:rsidP="00D63FE8">
      <w:pPr>
        <w:numPr>
          <w:ilvl w:val="0"/>
          <w:numId w:val="4"/>
        </w:numPr>
        <w:shd w:val="clear" w:color="auto" w:fill="FFFFFF"/>
        <w:spacing w:after="0" w:line="240" w:lineRule="auto"/>
        <w:ind w:left="0" w:firstLine="0"/>
        <w:jc w:val="both"/>
        <w:rPr>
          <w:color w:val="000000"/>
          <w:szCs w:val="24"/>
          <w:lang w:eastAsia="lt-LT"/>
        </w:rPr>
      </w:pPr>
      <w:r w:rsidRPr="00D63FE8">
        <w:rPr>
          <w:color w:val="000000"/>
          <w:szCs w:val="24"/>
          <w:lang w:eastAsia="lt-LT"/>
        </w:rPr>
        <w:t>jiems pradėti turi būti reikalinga ES parama,</w:t>
      </w:r>
    </w:p>
    <w:p w:rsidR="00D63FE8" w:rsidRPr="00D63FE8" w:rsidRDefault="00D63FE8" w:rsidP="00D63FE8">
      <w:pPr>
        <w:numPr>
          <w:ilvl w:val="0"/>
          <w:numId w:val="4"/>
        </w:numPr>
        <w:shd w:val="clear" w:color="auto" w:fill="FFFFFF"/>
        <w:spacing w:after="0" w:line="240" w:lineRule="auto"/>
        <w:ind w:left="0" w:firstLine="0"/>
        <w:jc w:val="both"/>
        <w:rPr>
          <w:color w:val="000000"/>
          <w:szCs w:val="24"/>
          <w:lang w:eastAsia="lt-LT"/>
        </w:rPr>
      </w:pPr>
      <w:r w:rsidRPr="00D63FE8">
        <w:rPr>
          <w:color w:val="000000"/>
          <w:szCs w:val="24"/>
          <w:lang w:eastAsia="lt-LT"/>
        </w:rPr>
        <w:t>jei įmanoma, įtraukiamos privačios investicijos,</w:t>
      </w:r>
    </w:p>
    <w:p w:rsidR="00D63FE8" w:rsidRPr="00D63FE8" w:rsidRDefault="00D63FE8" w:rsidP="00D63FE8">
      <w:pPr>
        <w:numPr>
          <w:ilvl w:val="0"/>
          <w:numId w:val="4"/>
        </w:numPr>
        <w:shd w:val="clear" w:color="auto" w:fill="FFFFFF"/>
        <w:spacing w:after="0" w:line="240" w:lineRule="auto"/>
        <w:ind w:left="0" w:firstLine="0"/>
        <w:jc w:val="both"/>
        <w:rPr>
          <w:color w:val="000000"/>
          <w:szCs w:val="24"/>
          <w:lang w:eastAsia="lt-LT"/>
        </w:rPr>
      </w:pPr>
      <w:r w:rsidRPr="00D63FE8">
        <w:rPr>
          <w:color w:val="000000"/>
          <w:szCs w:val="24"/>
          <w:lang w:eastAsia="lt-LT"/>
        </w:rPr>
        <w:t>jais turi būti padedama siekti ES politikos tikslų.</w:t>
      </w:r>
    </w:p>
    <w:p w:rsidR="00D63FE8" w:rsidRPr="00D63FE8" w:rsidRDefault="00D63FE8" w:rsidP="00D63FE8">
      <w:pPr>
        <w:pStyle w:val="prastasistinklapis"/>
        <w:shd w:val="clear" w:color="auto" w:fill="FFFFFF"/>
        <w:jc w:val="both"/>
        <w:rPr>
          <w:color w:val="000000"/>
        </w:rPr>
      </w:pPr>
      <w:r w:rsidRPr="00D63FE8">
        <w:rPr>
          <w:color w:val="000000"/>
        </w:rPr>
        <w:t>„</w:t>
      </w:r>
      <w:proofErr w:type="spellStart"/>
      <w:r w:rsidRPr="00D63FE8">
        <w:rPr>
          <w:color w:val="000000"/>
        </w:rPr>
        <w:t>InvestEU</w:t>
      </w:r>
      <w:proofErr w:type="spellEnd"/>
      <w:r w:rsidRPr="00D63FE8">
        <w:rPr>
          <w:color w:val="000000"/>
        </w:rPr>
        <w:t>“ fondo lėšos bus investuojamos per finansinius partnerius. Pagrindinis partneris bus EIB, tačiau šiuo atveju kitaip nei EFSI, dalyvauti instrumente galės ir kitos tar</w:t>
      </w:r>
      <w:r w:rsidR="00D05CC5">
        <w:rPr>
          <w:color w:val="000000"/>
        </w:rPr>
        <w:t>ptautinės finansų institucijos, taip pat nacionalinės</w:t>
      </w:r>
      <w:r w:rsidRPr="00D63FE8">
        <w:rPr>
          <w:color w:val="000000"/>
        </w:rPr>
        <w:t xml:space="preserve"> skatinamojo finansavimo </w:t>
      </w:r>
      <w:r w:rsidR="00D05CC5">
        <w:rPr>
          <w:color w:val="000000"/>
        </w:rPr>
        <w:t>institucijos</w:t>
      </w:r>
      <w:r w:rsidRPr="00D63FE8">
        <w:rPr>
          <w:color w:val="000000"/>
        </w:rPr>
        <w:t>.</w:t>
      </w:r>
    </w:p>
    <w:p w:rsidR="00D05CC5" w:rsidRDefault="00D05CC5" w:rsidP="00D63FE8">
      <w:pPr>
        <w:pStyle w:val="prastasistinklapis"/>
        <w:shd w:val="clear" w:color="auto" w:fill="FFFFFF"/>
        <w:jc w:val="both"/>
      </w:pPr>
    </w:p>
    <w:p w:rsidR="00D63FE8" w:rsidRPr="00D63FE8" w:rsidRDefault="00D63FE8" w:rsidP="00D63FE8">
      <w:pPr>
        <w:pStyle w:val="prastasistinklapis"/>
        <w:shd w:val="clear" w:color="auto" w:fill="FFFFFF"/>
        <w:jc w:val="both"/>
        <w:rPr>
          <w:color w:val="000000"/>
          <w:bdr w:val="none" w:sz="0" w:space="0" w:color="auto" w:frame="1"/>
        </w:rPr>
      </w:pPr>
      <w:r w:rsidRPr="00D63FE8">
        <w:t>Preliminariai numatoma, kad reglamentas įsigaliotų nuo 2021 m. sausio 1 d. </w:t>
      </w:r>
      <w:r w:rsidRPr="00D63FE8">
        <w:rPr>
          <w:color w:val="000000"/>
          <w:bdr w:val="none" w:sz="0" w:space="0" w:color="auto" w:frame="1"/>
        </w:rPr>
        <w:t xml:space="preserve"> </w:t>
      </w:r>
    </w:p>
    <w:p w:rsidR="00D05CC5" w:rsidRDefault="00D05CC5" w:rsidP="00D63FE8">
      <w:pPr>
        <w:autoSpaceDE w:val="0"/>
        <w:autoSpaceDN w:val="0"/>
        <w:adjustRightInd w:val="0"/>
        <w:spacing w:after="0" w:line="240" w:lineRule="auto"/>
        <w:jc w:val="both"/>
        <w:rPr>
          <w:b/>
          <w:szCs w:val="24"/>
          <w:u w:val="single"/>
        </w:rPr>
      </w:pPr>
    </w:p>
    <w:p w:rsidR="00D05CC5" w:rsidRPr="00D63FE8" w:rsidRDefault="00D05CC5" w:rsidP="00D05CC5">
      <w:pPr>
        <w:spacing w:after="0" w:line="240" w:lineRule="auto"/>
        <w:jc w:val="both"/>
        <w:rPr>
          <w:color w:val="000000"/>
          <w:szCs w:val="24"/>
          <w:lang w:eastAsia="lt-LT" w:bidi="lt-LT"/>
        </w:rPr>
      </w:pPr>
      <w:r>
        <w:rPr>
          <w:color w:val="000000"/>
          <w:szCs w:val="24"/>
          <w:lang w:eastAsia="lt-LT" w:bidi="lt-LT"/>
        </w:rPr>
        <w:t>„</w:t>
      </w:r>
      <w:proofErr w:type="spellStart"/>
      <w:r w:rsidRPr="00D63FE8">
        <w:rPr>
          <w:color w:val="000000"/>
          <w:szCs w:val="24"/>
          <w:lang w:eastAsia="lt-LT" w:bidi="lt-LT"/>
        </w:rPr>
        <w:t>InvestEU</w:t>
      </w:r>
      <w:proofErr w:type="spellEnd"/>
      <w:r>
        <w:rPr>
          <w:color w:val="000000"/>
          <w:szCs w:val="24"/>
          <w:lang w:eastAsia="lt-LT" w:bidi="lt-LT"/>
        </w:rPr>
        <w:t>“</w:t>
      </w:r>
      <w:r w:rsidRPr="00D63FE8">
        <w:rPr>
          <w:color w:val="000000"/>
          <w:szCs w:val="24"/>
          <w:lang w:eastAsia="lt-LT" w:bidi="lt-LT"/>
        </w:rPr>
        <w:t xml:space="preserve"> programos klausimas vis dar inte</w:t>
      </w:r>
      <w:r>
        <w:rPr>
          <w:color w:val="000000"/>
          <w:szCs w:val="24"/>
          <w:lang w:eastAsia="lt-LT" w:bidi="lt-LT"/>
        </w:rPr>
        <w:t>nsyviai svarstomas darbo grupėje</w:t>
      </w:r>
      <w:r w:rsidRPr="00D63FE8">
        <w:rPr>
          <w:color w:val="000000"/>
          <w:szCs w:val="24"/>
          <w:lang w:eastAsia="lt-LT" w:bidi="lt-LT"/>
        </w:rPr>
        <w:t xml:space="preserve"> (</w:t>
      </w:r>
      <w:r>
        <w:rPr>
          <w:color w:val="000000"/>
          <w:szCs w:val="24"/>
          <w:lang w:eastAsia="lt-LT" w:bidi="lt-LT"/>
        </w:rPr>
        <w:t>Patarėjų finansiniais klausimais darbo grupėje</w:t>
      </w:r>
      <w:r>
        <w:rPr>
          <w:color w:val="000000"/>
          <w:szCs w:val="24"/>
          <w:lang w:eastAsia="lt-LT" w:bidi="lt-LT"/>
        </w:rPr>
        <w:t xml:space="preserve">). </w:t>
      </w:r>
      <w:r w:rsidRPr="00D63FE8">
        <w:rPr>
          <w:color w:val="000000"/>
          <w:szCs w:val="24"/>
          <w:lang w:eastAsia="lt-LT" w:bidi="lt-LT"/>
        </w:rPr>
        <w:t xml:space="preserve">Kol kas nėra susiderinta dėl kelių aspektų: </w:t>
      </w:r>
      <w:r>
        <w:rPr>
          <w:color w:val="000000"/>
          <w:szCs w:val="24"/>
          <w:lang w:eastAsia="lt-LT" w:bidi="lt-LT"/>
        </w:rPr>
        <w:t>„</w:t>
      </w:r>
      <w:proofErr w:type="spellStart"/>
      <w:r w:rsidRPr="00D63FE8">
        <w:rPr>
          <w:color w:val="000000"/>
          <w:szCs w:val="24"/>
          <w:lang w:eastAsia="lt-LT" w:bidi="lt-LT"/>
        </w:rPr>
        <w:t>InvestEU</w:t>
      </w:r>
      <w:proofErr w:type="spellEnd"/>
      <w:r>
        <w:rPr>
          <w:color w:val="000000"/>
          <w:szCs w:val="24"/>
          <w:lang w:eastAsia="lt-LT" w:bidi="lt-LT"/>
        </w:rPr>
        <w:t>“</w:t>
      </w:r>
      <w:r w:rsidRPr="00D63FE8">
        <w:rPr>
          <w:color w:val="000000"/>
          <w:szCs w:val="24"/>
          <w:lang w:eastAsia="lt-LT" w:bidi="lt-LT"/>
        </w:rPr>
        <w:t xml:space="preserve"> valdymo modelio, ES biudžeto garantijos apimties ir paskirstymo, Europos Komisijos ir EIB bendradarbiavimo modelio, investicijų gairių, valstybių narių dalyvavimo, valstybės pagalbos ir kt. </w:t>
      </w:r>
    </w:p>
    <w:p w:rsidR="00D05CC5" w:rsidRPr="00D63FE8" w:rsidRDefault="00D05CC5" w:rsidP="00D05CC5">
      <w:pPr>
        <w:spacing w:after="0" w:line="240" w:lineRule="auto"/>
        <w:jc w:val="both"/>
        <w:rPr>
          <w:color w:val="000000"/>
          <w:szCs w:val="24"/>
          <w:lang w:eastAsia="lt-LT" w:bidi="lt-LT"/>
        </w:rPr>
      </w:pPr>
      <w:r w:rsidRPr="00D63FE8">
        <w:rPr>
          <w:color w:val="000000"/>
          <w:szCs w:val="24"/>
          <w:lang w:eastAsia="lt-LT" w:bidi="lt-LT"/>
        </w:rPr>
        <w:t>Aspektai, dėl kuri</w:t>
      </w:r>
      <w:r>
        <w:rPr>
          <w:color w:val="000000"/>
          <w:szCs w:val="24"/>
          <w:lang w:eastAsia="lt-LT" w:bidi="lt-LT"/>
        </w:rPr>
        <w:t>ų jau yra pasiektas susitarimas:</w:t>
      </w:r>
    </w:p>
    <w:p w:rsidR="00D05CC5" w:rsidRPr="00D63FE8" w:rsidRDefault="00D05CC5" w:rsidP="00D05CC5">
      <w:pPr>
        <w:spacing w:after="0" w:line="240" w:lineRule="auto"/>
        <w:jc w:val="both"/>
        <w:rPr>
          <w:color w:val="000000"/>
          <w:szCs w:val="24"/>
          <w:lang w:eastAsia="lt-LT" w:bidi="lt-LT"/>
        </w:rPr>
      </w:pPr>
      <w:r w:rsidRPr="00D63FE8">
        <w:rPr>
          <w:color w:val="000000"/>
          <w:szCs w:val="24"/>
          <w:lang w:eastAsia="lt-LT" w:bidi="lt-LT"/>
        </w:rPr>
        <w:t>- Nebeliko</w:t>
      </w:r>
      <w:r>
        <w:rPr>
          <w:color w:val="000000"/>
          <w:szCs w:val="24"/>
          <w:lang w:eastAsia="lt-LT" w:bidi="lt-LT"/>
        </w:rPr>
        <w:t xml:space="preserve"> vadinamo „3 šalių reikalavimo“ </w:t>
      </w:r>
      <w:r w:rsidRPr="00912C04">
        <w:t>–</w:t>
      </w:r>
      <w:r>
        <w:rPr>
          <w:color w:val="000000"/>
          <w:szCs w:val="24"/>
          <w:lang w:eastAsia="lt-LT" w:bidi="lt-LT"/>
        </w:rPr>
        <w:t xml:space="preserve"> </w:t>
      </w:r>
      <w:r w:rsidRPr="00D63FE8">
        <w:rPr>
          <w:color w:val="000000"/>
          <w:szCs w:val="24"/>
          <w:lang w:eastAsia="lt-LT" w:bidi="lt-LT"/>
        </w:rPr>
        <w:t>25 proc.</w:t>
      </w:r>
      <w:r>
        <w:rPr>
          <w:color w:val="000000"/>
          <w:szCs w:val="24"/>
          <w:lang w:eastAsia="lt-LT" w:bidi="lt-LT"/>
        </w:rPr>
        <w:t xml:space="preserve"> ES garantijos</w:t>
      </w:r>
      <w:r w:rsidRPr="00D63FE8">
        <w:rPr>
          <w:color w:val="000000"/>
          <w:szCs w:val="24"/>
          <w:lang w:eastAsia="lt-LT" w:bidi="lt-LT"/>
        </w:rPr>
        <w:t xml:space="preserve"> turi būti </w:t>
      </w:r>
      <w:r>
        <w:rPr>
          <w:color w:val="000000"/>
          <w:szCs w:val="24"/>
          <w:lang w:eastAsia="lt-LT" w:bidi="lt-LT"/>
        </w:rPr>
        <w:t>įgyvendinami partnerių (tarptautinių arba nacionalinių finan</w:t>
      </w:r>
      <w:r w:rsidR="00634DF1">
        <w:rPr>
          <w:color w:val="000000"/>
          <w:szCs w:val="24"/>
          <w:lang w:eastAsia="lt-LT" w:bidi="lt-LT"/>
        </w:rPr>
        <w:t>sų</w:t>
      </w:r>
      <w:r>
        <w:rPr>
          <w:color w:val="000000"/>
          <w:szCs w:val="24"/>
          <w:lang w:eastAsia="lt-LT" w:bidi="lt-LT"/>
        </w:rPr>
        <w:t xml:space="preserve"> institucijų), kurių veikla apimi bent tris šali</w:t>
      </w:r>
      <w:r w:rsidRPr="00D63FE8">
        <w:rPr>
          <w:color w:val="000000"/>
          <w:szCs w:val="24"/>
          <w:lang w:eastAsia="lt-LT" w:bidi="lt-LT"/>
        </w:rPr>
        <w:t xml:space="preserve">s. </w:t>
      </w:r>
    </w:p>
    <w:p w:rsidR="00D05CC5" w:rsidRPr="00D63FE8" w:rsidRDefault="00D05CC5" w:rsidP="00D05CC5">
      <w:pPr>
        <w:spacing w:after="0" w:line="240" w:lineRule="auto"/>
        <w:jc w:val="both"/>
        <w:rPr>
          <w:color w:val="000000"/>
          <w:szCs w:val="24"/>
          <w:lang w:eastAsia="lt-LT" w:bidi="lt-LT"/>
        </w:rPr>
      </w:pPr>
      <w:r w:rsidRPr="00D63FE8">
        <w:rPr>
          <w:color w:val="000000"/>
          <w:szCs w:val="24"/>
          <w:lang w:eastAsia="lt-LT" w:bidi="lt-LT"/>
        </w:rPr>
        <w:t xml:space="preserve">- sustiprintas papildomumo principas, kaip vienas iš vertinimo kriterijų. </w:t>
      </w:r>
    </w:p>
    <w:p w:rsidR="00D05CC5" w:rsidRPr="00D63FE8" w:rsidRDefault="00D05CC5" w:rsidP="00D05CC5">
      <w:pPr>
        <w:spacing w:after="0" w:line="240" w:lineRule="auto"/>
        <w:jc w:val="both"/>
        <w:rPr>
          <w:color w:val="000000"/>
          <w:szCs w:val="24"/>
          <w:lang w:eastAsia="lt-LT" w:bidi="lt-LT"/>
        </w:rPr>
      </w:pPr>
      <w:r w:rsidRPr="00D63FE8">
        <w:rPr>
          <w:color w:val="000000"/>
          <w:szCs w:val="24"/>
          <w:lang w:eastAsia="lt-LT" w:bidi="lt-LT"/>
        </w:rPr>
        <w:t>- prie tinkamų finansuoti sričių įtrauktas ir turizmas bei kultūrinis paveldas.</w:t>
      </w:r>
    </w:p>
    <w:p w:rsidR="00D05CC5" w:rsidRPr="00D63FE8" w:rsidRDefault="00D05CC5" w:rsidP="00D05CC5">
      <w:pPr>
        <w:spacing w:after="0" w:line="240" w:lineRule="auto"/>
        <w:jc w:val="both"/>
        <w:rPr>
          <w:color w:val="000000"/>
          <w:szCs w:val="24"/>
          <w:lang w:eastAsia="lt-LT" w:bidi="lt-LT"/>
        </w:rPr>
      </w:pPr>
      <w:r w:rsidRPr="00D63FE8">
        <w:rPr>
          <w:color w:val="000000"/>
          <w:szCs w:val="24"/>
          <w:lang w:eastAsia="lt-LT" w:bidi="lt-LT"/>
        </w:rPr>
        <w:t>- įtrauktos įgyvendinančios organizacijos (partneriai) į valdymo sistemą, d</w:t>
      </w:r>
      <w:r>
        <w:rPr>
          <w:color w:val="000000"/>
          <w:szCs w:val="24"/>
          <w:lang w:eastAsia="lt-LT" w:bidi="lt-LT"/>
        </w:rPr>
        <w:t>ar diskutuojama dėl aiškesnio jų</w:t>
      </w:r>
      <w:r w:rsidRPr="00D63FE8">
        <w:rPr>
          <w:color w:val="000000"/>
          <w:szCs w:val="24"/>
          <w:lang w:eastAsia="lt-LT" w:bidi="lt-LT"/>
        </w:rPr>
        <w:t xml:space="preserve"> vaidmens. </w:t>
      </w:r>
    </w:p>
    <w:p w:rsidR="00523C46" w:rsidRPr="00D63FE8" w:rsidRDefault="00744CC1" w:rsidP="00D63FE8">
      <w:pPr>
        <w:autoSpaceDE w:val="0"/>
        <w:autoSpaceDN w:val="0"/>
        <w:adjustRightInd w:val="0"/>
        <w:spacing w:after="0" w:line="240" w:lineRule="auto"/>
        <w:jc w:val="both"/>
        <w:rPr>
          <w:b/>
          <w:szCs w:val="24"/>
          <w:u w:val="single"/>
        </w:rPr>
      </w:pPr>
      <w:r w:rsidRPr="00D63FE8">
        <w:rPr>
          <w:b/>
          <w:szCs w:val="24"/>
          <w:u w:val="single"/>
        </w:rPr>
        <w:lastRenderedPageBreak/>
        <w:t>Lietuvos pozicija.</w:t>
      </w:r>
    </w:p>
    <w:p w:rsidR="00D93099" w:rsidRPr="00D93099" w:rsidRDefault="00D93099" w:rsidP="00D93099">
      <w:pPr>
        <w:spacing w:after="0" w:line="240" w:lineRule="auto"/>
        <w:jc w:val="both"/>
        <w:rPr>
          <w:color w:val="000000"/>
          <w:szCs w:val="24"/>
          <w:shd w:val="clear" w:color="auto" w:fill="FFFFFF"/>
          <w:lang w:eastAsia="lt-LT" w:bidi="lt-LT"/>
        </w:rPr>
      </w:pPr>
      <w:r w:rsidRPr="00D93099">
        <w:rPr>
          <w:color w:val="000000"/>
          <w:szCs w:val="24"/>
          <w:shd w:val="clear" w:color="auto" w:fill="FFFFFF"/>
          <w:lang w:eastAsia="lt-LT" w:bidi="lt-LT"/>
        </w:rPr>
        <w:t xml:space="preserve">Teigiamai vertiname EK pastangas skatinti investicijų pritraukimą ir skatinimą VN. Sveikiname Komisijos siekį konsoliduoti ir efektyvinti finansinius instrumentus. </w:t>
      </w:r>
      <w:r>
        <w:rPr>
          <w:color w:val="000000"/>
          <w:szCs w:val="24"/>
          <w:shd w:val="clear" w:color="auto" w:fill="FFFFFF"/>
          <w:lang w:eastAsia="lt-LT" w:bidi="lt-LT"/>
        </w:rPr>
        <w:t xml:space="preserve">Nors </w:t>
      </w:r>
      <w:r w:rsidRPr="00D93099">
        <w:rPr>
          <w:color w:val="000000"/>
          <w:szCs w:val="24"/>
          <w:shd w:val="clear" w:color="auto" w:fill="FFFFFF"/>
          <w:lang w:eastAsia="lt-LT" w:bidi="lt-LT"/>
        </w:rPr>
        <w:t>„</w:t>
      </w:r>
      <w:proofErr w:type="spellStart"/>
      <w:r w:rsidRPr="00D93099">
        <w:rPr>
          <w:color w:val="000000"/>
          <w:szCs w:val="24"/>
          <w:shd w:val="clear" w:color="auto" w:fill="FFFFFF"/>
          <w:lang w:eastAsia="lt-LT" w:bidi="lt-LT"/>
        </w:rPr>
        <w:t>InvestEU</w:t>
      </w:r>
      <w:proofErr w:type="spellEnd"/>
      <w:r w:rsidRPr="00D93099">
        <w:rPr>
          <w:color w:val="000000"/>
          <w:szCs w:val="24"/>
          <w:shd w:val="clear" w:color="auto" w:fill="FFFFFF"/>
          <w:lang w:eastAsia="lt-LT" w:bidi="lt-LT"/>
        </w:rPr>
        <w:t xml:space="preserve">“ </w:t>
      </w:r>
      <w:r>
        <w:rPr>
          <w:color w:val="000000"/>
          <w:szCs w:val="24"/>
          <w:shd w:val="clear" w:color="auto" w:fill="FFFFFF"/>
          <w:lang w:eastAsia="lt-LT" w:bidi="lt-LT"/>
        </w:rPr>
        <w:t xml:space="preserve">remiasi investicijų paklausos principu, svarbu, kad </w:t>
      </w:r>
      <w:r w:rsidRPr="00D93099">
        <w:rPr>
          <w:color w:val="000000"/>
          <w:szCs w:val="24"/>
          <w:shd w:val="clear" w:color="auto" w:fill="FFFFFF"/>
          <w:lang w:eastAsia="lt-LT" w:bidi="lt-LT"/>
        </w:rPr>
        <w:t xml:space="preserve">šis instrumentas </w:t>
      </w:r>
      <w:r>
        <w:rPr>
          <w:color w:val="000000"/>
          <w:szCs w:val="24"/>
          <w:shd w:val="clear" w:color="auto" w:fill="FFFFFF"/>
          <w:lang w:eastAsia="lt-LT" w:bidi="lt-LT"/>
        </w:rPr>
        <w:t>būtų pasiekiamas visom</w:t>
      </w:r>
      <w:r w:rsidRPr="00D93099">
        <w:rPr>
          <w:color w:val="000000"/>
          <w:szCs w:val="24"/>
          <w:shd w:val="clear" w:color="auto" w:fill="FFFFFF"/>
          <w:lang w:eastAsia="lt-LT" w:bidi="lt-LT"/>
        </w:rPr>
        <w:t>s VN.</w:t>
      </w:r>
      <w:r>
        <w:rPr>
          <w:color w:val="000000"/>
          <w:szCs w:val="24"/>
          <w:shd w:val="clear" w:color="auto" w:fill="FFFFFF"/>
          <w:lang w:eastAsia="lt-LT" w:bidi="lt-LT"/>
        </w:rPr>
        <w:t xml:space="preserve"> Kaip ir EFSI atveju, turi būti remiamasi papildomumo principu </w:t>
      </w:r>
      <w:r w:rsidRPr="00D63FE8">
        <w:rPr>
          <w:color w:val="000000"/>
          <w:szCs w:val="24"/>
          <w:shd w:val="clear" w:color="auto" w:fill="FFFFFF"/>
          <w:lang w:eastAsia="lt-LT" w:bidi="lt-LT"/>
        </w:rPr>
        <w:t>–</w:t>
      </w:r>
      <w:r>
        <w:rPr>
          <w:color w:val="000000"/>
          <w:szCs w:val="24"/>
          <w:shd w:val="clear" w:color="auto" w:fill="FFFFFF"/>
          <w:lang w:eastAsia="lt-LT" w:bidi="lt-LT"/>
        </w:rPr>
        <w:t xml:space="preserve"> „</w:t>
      </w:r>
      <w:proofErr w:type="spellStart"/>
      <w:r>
        <w:rPr>
          <w:color w:val="000000"/>
          <w:szCs w:val="24"/>
          <w:shd w:val="clear" w:color="auto" w:fill="FFFFFF"/>
          <w:lang w:eastAsia="lt-LT" w:bidi="lt-LT"/>
        </w:rPr>
        <w:t>InvestEU</w:t>
      </w:r>
      <w:proofErr w:type="spellEnd"/>
      <w:r>
        <w:rPr>
          <w:color w:val="000000"/>
          <w:szCs w:val="24"/>
          <w:shd w:val="clear" w:color="auto" w:fill="FFFFFF"/>
          <w:lang w:eastAsia="lt-LT" w:bidi="lt-LT"/>
        </w:rPr>
        <w:t>“ turi papildyti, o ne konkuruoti su kitais finansavimo šaltiniais. Turime remtis EIB sukaupta patirtimi įgyvendinant EFSI, tačiau taip pat pritariame Europos Komisijai, kad kitų tarptautinių f</w:t>
      </w:r>
      <w:r w:rsidRPr="00634DF1">
        <w:rPr>
          <w:color w:val="000000"/>
          <w:szCs w:val="24"/>
          <w:shd w:val="clear" w:color="auto" w:fill="FFFFFF"/>
          <w:lang w:eastAsia="lt-LT" w:bidi="lt-LT"/>
        </w:rPr>
        <w:t>inansų</w:t>
      </w:r>
      <w:r>
        <w:rPr>
          <w:color w:val="000000"/>
          <w:szCs w:val="24"/>
          <w:shd w:val="clear" w:color="auto" w:fill="FFFFFF"/>
          <w:lang w:eastAsia="lt-LT" w:bidi="lt-LT"/>
        </w:rPr>
        <w:t xml:space="preserve"> institucijų įtraukimas turėtų pridėtinės vertės. Svarbu užtikrinti, kad mažesnės nacionalinės </w:t>
      </w:r>
      <w:r w:rsidRPr="00D63FE8">
        <w:rPr>
          <w:color w:val="000000"/>
        </w:rPr>
        <w:t xml:space="preserve">skatinamojo finansavimo </w:t>
      </w:r>
      <w:r>
        <w:rPr>
          <w:color w:val="000000"/>
        </w:rPr>
        <w:t>institucijos</w:t>
      </w:r>
      <w:r>
        <w:rPr>
          <w:color w:val="000000"/>
        </w:rPr>
        <w:t xml:space="preserve"> iš mažesnių šalių taip pat galėtų dalyvauti mobilizuojant investicijas.</w:t>
      </w:r>
    </w:p>
    <w:p w:rsidR="00D93099" w:rsidRDefault="00D93099" w:rsidP="00D63FE8">
      <w:pPr>
        <w:spacing w:after="0" w:line="240" w:lineRule="auto"/>
        <w:jc w:val="both"/>
        <w:rPr>
          <w:color w:val="000000"/>
          <w:szCs w:val="24"/>
          <w:lang w:eastAsia="lt-LT" w:bidi="lt-LT"/>
        </w:rPr>
      </w:pPr>
    </w:p>
    <w:p w:rsidR="00D93099" w:rsidRDefault="00D93099" w:rsidP="00D63FE8">
      <w:pPr>
        <w:spacing w:after="0" w:line="240" w:lineRule="auto"/>
        <w:jc w:val="both"/>
        <w:rPr>
          <w:color w:val="000000"/>
          <w:szCs w:val="24"/>
          <w:lang w:eastAsia="lt-LT" w:bidi="lt-LT"/>
        </w:rPr>
      </w:pPr>
    </w:p>
    <w:p w:rsidR="00523C46" w:rsidRPr="00D051D1" w:rsidRDefault="00523C46" w:rsidP="00523C46">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cs="Times New Roman"/>
          <w:iCs/>
          <w:szCs w:val="24"/>
        </w:rPr>
      </w:pPr>
      <w:r>
        <w:rPr>
          <w:b/>
          <w:szCs w:val="24"/>
        </w:rPr>
        <w:t>Europos finansų priežiūros sistema</w:t>
      </w:r>
      <w:r w:rsidRPr="00D051D1">
        <w:rPr>
          <w:rFonts w:cs="Times New Roman"/>
          <w:i/>
          <w:iCs/>
          <w:szCs w:val="24"/>
        </w:rPr>
        <w:t xml:space="preserve"> (politiniai debatai)</w:t>
      </w:r>
    </w:p>
    <w:p w:rsidR="00523C46" w:rsidRPr="00127762" w:rsidRDefault="00523C46" w:rsidP="00523C46">
      <w:pPr>
        <w:spacing w:after="0" w:line="240" w:lineRule="auto"/>
        <w:ind w:firstLine="720"/>
        <w:jc w:val="both"/>
        <w:rPr>
          <w:rFonts w:eastAsia="Calibri" w:cs="Times New Roman"/>
          <w:b/>
          <w:szCs w:val="24"/>
        </w:rPr>
      </w:pPr>
    </w:p>
    <w:p w:rsidR="00523C46" w:rsidRPr="00912C04" w:rsidRDefault="00523C46" w:rsidP="00523C46">
      <w:pPr>
        <w:autoSpaceDE w:val="0"/>
        <w:autoSpaceDN w:val="0"/>
        <w:adjustRightInd w:val="0"/>
        <w:spacing w:after="0" w:line="240" w:lineRule="auto"/>
        <w:jc w:val="both"/>
      </w:pPr>
      <w:r w:rsidRPr="00127762">
        <w:rPr>
          <w:rFonts w:eastAsia="Calibri" w:cs="Times New Roman"/>
          <w:b/>
          <w:szCs w:val="24"/>
          <w:u w:val="single"/>
        </w:rPr>
        <w:t>Klausimo esmė.</w:t>
      </w:r>
      <w:r w:rsidRPr="00367953">
        <w:rPr>
          <w:rFonts w:eastAsia="Calibri" w:cs="Times New Roman"/>
          <w:color w:val="FF0000"/>
          <w:szCs w:val="24"/>
        </w:rPr>
        <w:t xml:space="preserve"> </w:t>
      </w:r>
      <w:r w:rsidRPr="00912C04">
        <w:rPr>
          <w:noProof/>
          <w:lang w:eastAsia="en-GB"/>
        </w:rPr>
        <w:t xml:space="preserve">Europos Komisija </w:t>
      </w:r>
      <w:r>
        <w:rPr>
          <w:noProof/>
          <w:lang w:eastAsia="en-GB"/>
        </w:rPr>
        <w:t xml:space="preserve">2017 m. rugsėjį </w:t>
      </w:r>
      <w:r w:rsidRPr="00912C04">
        <w:rPr>
          <w:noProof/>
          <w:lang w:eastAsia="en-GB"/>
        </w:rPr>
        <w:t xml:space="preserve">pateikė pasiūlymų paketą dėl </w:t>
      </w:r>
      <w:r w:rsidRPr="00912C04">
        <w:t xml:space="preserve">Europos finansų priežiūros sistemos (ESFS) peržiūros. Paketą sudaro </w:t>
      </w:r>
      <w:r>
        <w:t xml:space="preserve">Europos Komisijos </w:t>
      </w:r>
      <w:r w:rsidRPr="001A2107">
        <w:t xml:space="preserve">komunikatas </w:t>
      </w:r>
      <w:r>
        <w:t>„</w:t>
      </w:r>
      <w:r>
        <w:rPr>
          <w:rFonts w:ascii="Tms Rmn" w:hAnsi="Tms Rmn" w:cs="Tms Rmn"/>
          <w:color w:val="000000"/>
        </w:rPr>
        <w:t xml:space="preserve">Priežiūros integracijos gilinimas siekiant kintančioje aplinkoje sustiprinti kapitalo rinkų sąjungą ir finansinę integraciją“ </w:t>
      </w:r>
      <w:r>
        <w:t xml:space="preserve">ir </w:t>
      </w:r>
      <w:r w:rsidRPr="00912C04">
        <w:t>4 teis</w:t>
      </w:r>
      <w:r>
        <w:t xml:space="preserve">ės aktų </w:t>
      </w:r>
      <w:r w:rsidRPr="00912C04">
        <w:t>pasiūlymai. Europos finansų priežiūros sistema buvo sukurta dar 2010 m., kaip atsakas į finansų krizę. Ją sudaro:</w:t>
      </w:r>
    </w:p>
    <w:p w:rsidR="00523C46" w:rsidRPr="00912C04" w:rsidRDefault="00523C46" w:rsidP="00523C46">
      <w:pPr>
        <w:spacing w:after="0" w:line="240" w:lineRule="auto"/>
        <w:jc w:val="both"/>
      </w:pPr>
      <w:r w:rsidRPr="00912C04">
        <w:t xml:space="preserve"> -  3 europinės  </w:t>
      </w:r>
      <w:proofErr w:type="spellStart"/>
      <w:r w:rsidRPr="00912C04">
        <w:t>mikro-lygio</w:t>
      </w:r>
      <w:proofErr w:type="spellEnd"/>
      <w:r w:rsidRPr="00912C04">
        <w:t xml:space="preserve"> priežiūros agentūros (</w:t>
      </w:r>
      <w:proofErr w:type="spellStart"/>
      <w:r w:rsidRPr="00912C04">
        <w:t>ESAs</w:t>
      </w:r>
      <w:proofErr w:type="spellEnd"/>
      <w:r w:rsidRPr="00912C04">
        <w:t xml:space="preserve">): (ESMA – vertybinių popierių ir investiciniam sektoriui; EIOPA –  draudimo ir profesinių pensijų sektoriui; EBA – bankų sektoriui)  </w:t>
      </w:r>
    </w:p>
    <w:p w:rsidR="00523C46" w:rsidRPr="00912C04" w:rsidRDefault="00523C46" w:rsidP="00523C46">
      <w:pPr>
        <w:spacing w:after="0" w:line="240" w:lineRule="auto"/>
        <w:jc w:val="both"/>
      </w:pPr>
      <w:r w:rsidRPr="00912C04">
        <w:t xml:space="preserve">- ESRB – Europos sisteminės rizikos valdyba – makro-lygio institucija, t.y. skirta visos finansų sistemos priežiūrai ir finansinio stabilumo klausimų ES koordinavimui.  </w:t>
      </w:r>
    </w:p>
    <w:p w:rsidR="00523C46" w:rsidRPr="00912C04" w:rsidRDefault="00523C46" w:rsidP="00523C46">
      <w:pPr>
        <w:spacing w:after="0" w:line="240" w:lineRule="auto"/>
        <w:jc w:val="both"/>
      </w:pPr>
      <w:proofErr w:type="spellStart"/>
      <w:r w:rsidRPr="00912C04">
        <w:t>ESAs</w:t>
      </w:r>
      <w:proofErr w:type="spellEnd"/>
      <w:r w:rsidRPr="00912C04">
        <w:t xml:space="preserve"> prisideda prie vieningos teisinės sistemos vystymo (rengdamos gaires, techninius standartus, taip pat per kitus instrumentus), skatina priežiūros konvergenciją.</w:t>
      </w:r>
    </w:p>
    <w:p w:rsidR="00523C46" w:rsidRPr="00F75FE5" w:rsidRDefault="00523C46" w:rsidP="00523C46">
      <w:pPr>
        <w:spacing w:after="0" w:line="240" w:lineRule="auto"/>
        <w:jc w:val="both"/>
        <w:rPr>
          <w:u w:val="single"/>
        </w:rPr>
      </w:pPr>
      <w:r w:rsidRPr="00F75FE5">
        <w:rPr>
          <w:u w:val="single"/>
        </w:rPr>
        <w:t xml:space="preserve">Esminiai </w:t>
      </w:r>
      <w:r>
        <w:rPr>
          <w:u w:val="single"/>
        </w:rPr>
        <w:t xml:space="preserve">Europos Komisijos teisinių pasiūlymų paketo elementai: </w:t>
      </w:r>
    </w:p>
    <w:p w:rsidR="00523C46" w:rsidRPr="00912C04" w:rsidRDefault="00523C46" w:rsidP="00523C46">
      <w:pPr>
        <w:spacing w:after="0" w:line="240" w:lineRule="auto"/>
        <w:jc w:val="both"/>
      </w:pPr>
      <w:r w:rsidRPr="00912C04">
        <w:t xml:space="preserve">-Didinti </w:t>
      </w:r>
      <w:proofErr w:type="spellStart"/>
      <w:r w:rsidRPr="00912C04">
        <w:t>ESAs</w:t>
      </w:r>
      <w:proofErr w:type="spellEnd"/>
      <w:r w:rsidRPr="00912C04">
        <w:t xml:space="preserve"> koordinavimo galias „kasdieninėje“ finansų rinkų priežiūroje. </w:t>
      </w:r>
      <w:proofErr w:type="spellStart"/>
      <w:r w:rsidRPr="00912C04">
        <w:t>ESAs</w:t>
      </w:r>
      <w:proofErr w:type="spellEnd"/>
      <w:r w:rsidRPr="00912C04">
        <w:t xml:space="preserve"> nustatys ES lygmens priežiūros prioritetus savo „Strateginiuose priežiūros planuose“, o nacionalinės priežiūros institucijos savo kasmetines darbų programas turės pasitvirtinti ir veiklą vykdyti šių planų pagrindu;</w:t>
      </w:r>
    </w:p>
    <w:p w:rsidR="00523C46" w:rsidRPr="00912C04" w:rsidRDefault="00523C46" w:rsidP="00523C46">
      <w:pPr>
        <w:spacing w:after="0" w:line="240" w:lineRule="auto"/>
        <w:jc w:val="both"/>
      </w:pPr>
      <w:r w:rsidRPr="00912C04">
        <w:t xml:space="preserve">- </w:t>
      </w:r>
      <w:proofErr w:type="spellStart"/>
      <w:r w:rsidRPr="00912C04">
        <w:t>ESAs</w:t>
      </w:r>
      <w:proofErr w:type="spellEnd"/>
      <w:r w:rsidRPr="00912C04">
        <w:t xml:space="preserve"> bus privaloma informuoti bei paprašyti pateikti nuomonę dėl atvejų, kada rinkos dalyvis ketina perkelti/deleguoti dalį funkcijų/veiklos į trečiąsias šalis, t.y. tokiose situacijose, kai veikla faktiškai vykdoma trečiojoje šalyje, tačiau pasinaudojama „europiniu pasu“.</w:t>
      </w:r>
    </w:p>
    <w:p w:rsidR="00523C46" w:rsidRPr="00912C04" w:rsidRDefault="00523C46" w:rsidP="00523C46">
      <w:pPr>
        <w:spacing w:after="0" w:line="240" w:lineRule="auto"/>
        <w:jc w:val="both"/>
      </w:pPr>
      <w:r w:rsidRPr="00912C04">
        <w:t>Papildomų galių/rolių priskyrimo kontekste reikėtų išskirti ESMA. Plečiama šios institucijos tiesioginės priežiūros apimtis, didinama koordinavimo rolė, plečiama prieiga prie duomenų. Labiausiai ESMA galias siūloma plėsti srityse, kurios turi daugiausia tarpvalstybinės veiklos aspektų, ir kurios, dauguma atvejų, yra reglamentuojamos tiesiogiai taikomos ES teisės (t.y. reglamentais):</w:t>
      </w:r>
    </w:p>
    <w:p w:rsidR="00523C46" w:rsidRPr="00912C04" w:rsidRDefault="00523C46" w:rsidP="00523C46">
      <w:pPr>
        <w:pStyle w:val="prastasistinklapis"/>
        <w:jc w:val="both"/>
        <w:rPr>
          <w:color w:val="000000"/>
        </w:rPr>
      </w:pPr>
      <w:r w:rsidRPr="00912C04">
        <w:t xml:space="preserve">- </w:t>
      </w:r>
      <w:r w:rsidRPr="00912C04">
        <w:rPr>
          <w:color w:val="000000"/>
        </w:rPr>
        <w:t>siūloma nustatyti tiesioginę ESMA priežiūrą ypatingos svarbos lyginamiesiems indeksams; tam tikriems prospektams (siūloma apimti prospektus, kai veikla turi tarpvalstybinį aspektą ir yra priežiūrinio arbitražo tikimybė (tam tikrų pakeitimų vertybiniais popieriais, trečiųjų šalių subjektų prospektai ir kt.));  </w:t>
      </w:r>
      <w:r>
        <w:rPr>
          <w:color w:val="000000"/>
        </w:rPr>
        <w:t>ES reglamentais sureguliuotiems investiciniams fondams (</w:t>
      </w:r>
      <w:r w:rsidRPr="00912C04">
        <w:rPr>
          <w:color w:val="000000"/>
        </w:rPr>
        <w:t>Europos rizikos kapitalo, Europos socialiniams, Europos ilgalaikio investavimo fondams</w:t>
      </w:r>
      <w:r>
        <w:rPr>
          <w:color w:val="000000"/>
        </w:rPr>
        <w:t>)</w:t>
      </w:r>
      <w:r w:rsidRPr="00912C04">
        <w:rPr>
          <w:color w:val="000000"/>
        </w:rPr>
        <w:t>;</w:t>
      </w:r>
      <w:r>
        <w:rPr>
          <w:color w:val="000000"/>
        </w:rPr>
        <w:t xml:space="preserve"> duomenų teikimo paslaugų teikėjams;</w:t>
      </w:r>
    </w:p>
    <w:p w:rsidR="00523C46" w:rsidRPr="00912C04" w:rsidRDefault="00523C46" w:rsidP="00523C46">
      <w:pPr>
        <w:pStyle w:val="prastasistinklapis"/>
        <w:jc w:val="both"/>
        <w:rPr>
          <w:color w:val="000000"/>
        </w:rPr>
      </w:pPr>
      <w:r w:rsidRPr="00912C04">
        <w:rPr>
          <w:color w:val="000000"/>
        </w:rPr>
        <w:t>- siūloma ESMA suteikti didesnę koordinavimo rolę (ypač tarpvalstybiniais atvejais) tiriant piktnaudžiavim</w:t>
      </w:r>
      <w:r>
        <w:rPr>
          <w:color w:val="000000"/>
        </w:rPr>
        <w:t>o</w:t>
      </w:r>
      <w:r w:rsidRPr="00912C04">
        <w:rPr>
          <w:color w:val="000000"/>
        </w:rPr>
        <w:t xml:space="preserve"> rinka klausimus;</w:t>
      </w:r>
    </w:p>
    <w:p w:rsidR="00523C46" w:rsidRPr="00912C04" w:rsidRDefault="00523C46" w:rsidP="00523C46">
      <w:pPr>
        <w:pStyle w:val="prastasistinklapis"/>
        <w:jc w:val="both"/>
        <w:rPr>
          <w:color w:val="000000"/>
        </w:rPr>
      </w:pPr>
      <w:r w:rsidRPr="00912C04">
        <w:rPr>
          <w:color w:val="000000"/>
        </w:rPr>
        <w:t xml:space="preserve">- </w:t>
      </w:r>
      <w:r>
        <w:rPr>
          <w:color w:val="000000"/>
        </w:rPr>
        <w:t xml:space="preserve">stiprinamos </w:t>
      </w:r>
      <w:r w:rsidRPr="00912C04">
        <w:rPr>
          <w:color w:val="000000"/>
        </w:rPr>
        <w:t xml:space="preserve">ESMA tiesioginės intervencinės galios tam tikrų produktų atžvilgiu – </w:t>
      </w:r>
      <w:r>
        <w:rPr>
          <w:color w:val="000000"/>
        </w:rPr>
        <w:t xml:space="preserve">suteikiamos </w:t>
      </w:r>
      <w:r w:rsidRPr="00912C04">
        <w:rPr>
          <w:color w:val="000000"/>
        </w:rPr>
        <w:t xml:space="preserve">didesnės galimybės </w:t>
      </w:r>
      <w:r>
        <w:rPr>
          <w:color w:val="000000"/>
        </w:rPr>
        <w:t>atitinkamais</w:t>
      </w:r>
      <w:r w:rsidRPr="00912C04">
        <w:rPr>
          <w:color w:val="000000"/>
        </w:rPr>
        <w:t xml:space="preserve"> atvejais riboti ar drausti tam tikrų investicinių fondų (UCITS ar AIFMD) vienetų platinimą ar pardavimą.</w:t>
      </w:r>
    </w:p>
    <w:p w:rsidR="00523C46" w:rsidRPr="00C939E2" w:rsidRDefault="00523C46" w:rsidP="00523C46">
      <w:pPr>
        <w:spacing w:after="0" w:line="240" w:lineRule="auto"/>
        <w:jc w:val="both"/>
        <w:rPr>
          <w:u w:val="single"/>
        </w:rPr>
      </w:pPr>
      <w:r w:rsidRPr="00C939E2">
        <w:rPr>
          <w:u w:val="single"/>
        </w:rPr>
        <w:t>Valdymas</w:t>
      </w:r>
    </w:p>
    <w:p w:rsidR="00523C46" w:rsidRPr="00912C04" w:rsidRDefault="00523C46" w:rsidP="00523C46">
      <w:pPr>
        <w:spacing w:after="0" w:line="240" w:lineRule="auto"/>
        <w:jc w:val="both"/>
      </w:pPr>
      <w:r w:rsidRPr="00912C04">
        <w:t xml:space="preserve">Dėl reguliacinių aspektų ir bendrų krypčių pagrindiniai sprendimai visose </w:t>
      </w:r>
      <w:proofErr w:type="spellStart"/>
      <w:r w:rsidRPr="00912C04">
        <w:t>ESAs</w:t>
      </w:r>
      <w:proofErr w:type="spellEnd"/>
      <w:r w:rsidRPr="00912C04">
        <w:t xml:space="preserve"> ir toliau bus priimami Priežiūros valdybų (</w:t>
      </w:r>
      <w:proofErr w:type="spellStart"/>
      <w:r w:rsidRPr="00912C04">
        <w:rPr>
          <w:i/>
        </w:rPr>
        <w:t>Board</w:t>
      </w:r>
      <w:proofErr w:type="spellEnd"/>
      <w:r w:rsidRPr="00912C04">
        <w:rPr>
          <w:i/>
        </w:rPr>
        <w:t xml:space="preserve"> </w:t>
      </w:r>
      <w:proofErr w:type="spellStart"/>
      <w:r w:rsidRPr="00912C04">
        <w:rPr>
          <w:i/>
        </w:rPr>
        <w:t>of</w:t>
      </w:r>
      <w:proofErr w:type="spellEnd"/>
      <w:r w:rsidRPr="00912C04">
        <w:rPr>
          <w:i/>
        </w:rPr>
        <w:t xml:space="preserve"> </w:t>
      </w:r>
      <w:proofErr w:type="spellStart"/>
      <w:r w:rsidRPr="00912C04">
        <w:rPr>
          <w:i/>
        </w:rPr>
        <w:t>Supervisors</w:t>
      </w:r>
      <w:proofErr w:type="spellEnd"/>
      <w:r w:rsidRPr="00912C04">
        <w:t xml:space="preserve">). Tačiau visose </w:t>
      </w:r>
      <w:proofErr w:type="spellStart"/>
      <w:r w:rsidRPr="00912C04">
        <w:t>ESAs</w:t>
      </w:r>
      <w:proofErr w:type="spellEnd"/>
      <w:r w:rsidRPr="00912C04">
        <w:t xml:space="preserve"> siūloma sukurti ir nepriklausomas Vykdomąsias valdybas (</w:t>
      </w:r>
      <w:proofErr w:type="spellStart"/>
      <w:r w:rsidRPr="00912C04">
        <w:rPr>
          <w:i/>
        </w:rPr>
        <w:t>Executive</w:t>
      </w:r>
      <w:proofErr w:type="spellEnd"/>
      <w:r w:rsidRPr="00912C04">
        <w:rPr>
          <w:i/>
        </w:rPr>
        <w:t xml:space="preserve"> </w:t>
      </w:r>
      <w:proofErr w:type="spellStart"/>
      <w:r w:rsidRPr="00912C04">
        <w:rPr>
          <w:i/>
        </w:rPr>
        <w:t>Boards</w:t>
      </w:r>
      <w:proofErr w:type="spellEnd"/>
      <w:r w:rsidRPr="00912C04">
        <w:t xml:space="preserve">), kurios būtų atsakingos už </w:t>
      </w:r>
      <w:proofErr w:type="spellStart"/>
      <w:r w:rsidRPr="00912C04">
        <w:rPr>
          <w:i/>
        </w:rPr>
        <w:t>case-by-case</w:t>
      </w:r>
      <w:proofErr w:type="spellEnd"/>
      <w:r w:rsidRPr="00912C04">
        <w:t xml:space="preserve"> sprendimus, tam tikrus priežiūrinius aspektus, pvz. ginčų sprendimą, taip pat – darbo programas, biudžetą, ES teisės pažeidimus. Kai kuriais atvejais šis organas taip pat bus įgaliotas rengti sprendimų projektus Priežiūros valdybai.</w:t>
      </w:r>
      <w:r>
        <w:t xml:space="preserve"> Vykdomoji valdyba pakeistų prieš tai veikusią valdančiąją valdybą (</w:t>
      </w:r>
      <w:proofErr w:type="spellStart"/>
      <w:r>
        <w:t>Management</w:t>
      </w:r>
      <w:proofErr w:type="spellEnd"/>
      <w:r>
        <w:t xml:space="preserve"> </w:t>
      </w:r>
      <w:proofErr w:type="spellStart"/>
      <w:r>
        <w:t>Board</w:t>
      </w:r>
      <w:proofErr w:type="spellEnd"/>
      <w:r>
        <w:t>).</w:t>
      </w:r>
    </w:p>
    <w:p w:rsidR="00523C46" w:rsidRPr="00912C04" w:rsidRDefault="00523C46" w:rsidP="00523C46">
      <w:pPr>
        <w:spacing w:after="0" w:line="240" w:lineRule="auto"/>
        <w:jc w:val="both"/>
      </w:pPr>
      <w:r w:rsidRPr="00912C04">
        <w:t xml:space="preserve">Visų </w:t>
      </w:r>
      <w:proofErr w:type="spellStart"/>
      <w:r w:rsidRPr="00912C04">
        <w:t>ESAs</w:t>
      </w:r>
      <w:proofErr w:type="spellEnd"/>
      <w:r w:rsidRPr="00912C04">
        <w:t xml:space="preserve"> vykdomąsias valdybas sudarys vadovas ir 3 (EBA ir EIOPA) arba 5 (ESMA) nariai. Kandidatus atrinks Komisija, </w:t>
      </w:r>
      <w:proofErr w:type="spellStart"/>
      <w:r w:rsidRPr="00912C04">
        <w:rPr>
          <w:i/>
        </w:rPr>
        <w:t>shortlist‘ą</w:t>
      </w:r>
      <w:proofErr w:type="spellEnd"/>
      <w:r w:rsidRPr="00912C04">
        <w:rPr>
          <w:i/>
        </w:rPr>
        <w:t xml:space="preserve"> </w:t>
      </w:r>
      <w:r w:rsidRPr="00912C04">
        <w:t>tvirtins Europos Parlamentas, skirs – Taryba.</w:t>
      </w:r>
    </w:p>
    <w:p w:rsidR="00523C46" w:rsidRPr="00C939E2" w:rsidRDefault="00523C46" w:rsidP="00523C46">
      <w:pPr>
        <w:spacing w:after="0" w:line="240" w:lineRule="auto"/>
        <w:jc w:val="both"/>
      </w:pPr>
      <w:r w:rsidRPr="00C939E2">
        <w:rPr>
          <w:u w:val="single"/>
        </w:rPr>
        <w:lastRenderedPageBreak/>
        <w:t>Finansavimas</w:t>
      </w:r>
    </w:p>
    <w:p w:rsidR="00523C46" w:rsidRPr="00912C04" w:rsidRDefault="00523C46" w:rsidP="00523C46">
      <w:pPr>
        <w:spacing w:after="0" w:line="240" w:lineRule="auto"/>
        <w:jc w:val="both"/>
      </w:pPr>
      <w:r w:rsidRPr="00912C04">
        <w:t xml:space="preserve">Šiuo metu 60 proc. </w:t>
      </w:r>
      <w:proofErr w:type="spellStart"/>
      <w:r w:rsidRPr="00912C04">
        <w:t>ESAs</w:t>
      </w:r>
      <w:proofErr w:type="spellEnd"/>
      <w:r w:rsidRPr="00912C04">
        <w:t xml:space="preserve"> finansavimo sudaro nacionalinių priežiūros institucijų įmokos, 40 proc. – ES biudžeto lėšos. Finansavimo sistemą siūloma keisti, numatant rinkos dalyvių įmokas (renkamas per nacionalines priežiūros institucijas). Sektoriaus „viduje“ įmokos bus paskirstomos rinkos dalyviams pagal dydį, svarbą, priežiūros intensyvumą ir kt.  Nacionalinių priežiūros institucijų įmokų turėtų nebelikti. </w:t>
      </w:r>
    </w:p>
    <w:p w:rsidR="00523C46" w:rsidRPr="00C939E2" w:rsidRDefault="00523C46" w:rsidP="00523C46">
      <w:pPr>
        <w:spacing w:after="0" w:line="240" w:lineRule="auto"/>
        <w:jc w:val="both"/>
      </w:pPr>
      <w:r w:rsidRPr="00C939E2">
        <w:rPr>
          <w:u w:val="single"/>
        </w:rPr>
        <w:t>ESRB</w:t>
      </w:r>
    </w:p>
    <w:p w:rsidR="00523C46" w:rsidRPr="00912C04" w:rsidRDefault="00523C46" w:rsidP="00523C46">
      <w:pPr>
        <w:spacing w:after="0" w:line="240" w:lineRule="auto"/>
        <w:jc w:val="both"/>
      </w:pPr>
      <w:r w:rsidRPr="00912C04">
        <w:t>Siūlomi tam tikri struktūriniai pakeitimai, atsižvelgiant, be kita ko, į tai, kad ECB dabar priskirta ir vieningos bankų priežiūros rolė (stiprinama sekretoriato rolė, vieningo priežiūros ir pertvarkymo mechanizmų atstovams siūloma suteikti balsavimo teisę ir kt.).</w:t>
      </w:r>
    </w:p>
    <w:p w:rsidR="00523C46" w:rsidRPr="00036C9B" w:rsidRDefault="00523C46" w:rsidP="00523C46">
      <w:pPr>
        <w:spacing w:after="0" w:line="240" w:lineRule="auto"/>
        <w:jc w:val="both"/>
        <w:rPr>
          <w:b/>
        </w:rPr>
      </w:pPr>
      <w:r w:rsidRPr="00C939E2">
        <w:rPr>
          <w:u w:val="single"/>
        </w:rPr>
        <w:t>Kiti pakeitimai</w:t>
      </w:r>
    </w:p>
    <w:p w:rsidR="00523C46" w:rsidRPr="00912C04" w:rsidRDefault="00523C46" w:rsidP="00523C46">
      <w:pPr>
        <w:spacing w:after="0" w:line="240" w:lineRule="auto"/>
        <w:jc w:val="both"/>
      </w:pPr>
      <w:proofErr w:type="spellStart"/>
      <w:r w:rsidRPr="00912C04">
        <w:t>ESAs</w:t>
      </w:r>
      <w:proofErr w:type="spellEnd"/>
      <w:r w:rsidRPr="00912C04">
        <w:t xml:space="preserve"> numatoma pareiga, atliekant savo funkcijas, įvertinti finansinių technologijų poveikį, taip skatinant „bendrą ES priežiūros kultūrą technologijų atžvilgiu“. </w:t>
      </w:r>
      <w:proofErr w:type="spellStart"/>
      <w:r w:rsidRPr="00912C04">
        <w:t>ESAs</w:t>
      </w:r>
      <w:proofErr w:type="spellEnd"/>
      <w:r w:rsidRPr="00912C04">
        <w:t xml:space="preserve"> bus suteikta rolė koordinuoti nacionalinius inovacinius instrumentus – </w:t>
      </w:r>
      <w:proofErr w:type="spellStart"/>
      <w:r w:rsidRPr="00912C04">
        <w:rPr>
          <w:i/>
        </w:rPr>
        <w:t>innovation</w:t>
      </w:r>
      <w:proofErr w:type="spellEnd"/>
      <w:r w:rsidRPr="00912C04">
        <w:rPr>
          <w:i/>
        </w:rPr>
        <w:t xml:space="preserve"> </w:t>
      </w:r>
      <w:proofErr w:type="spellStart"/>
      <w:r w:rsidRPr="00912C04">
        <w:rPr>
          <w:i/>
        </w:rPr>
        <w:t>hubs</w:t>
      </w:r>
      <w:proofErr w:type="spellEnd"/>
      <w:r w:rsidRPr="00912C04">
        <w:rPr>
          <w:i/>
        </w:rPr>
        <w:t xml:space="preserve"> arba </w:t>
      </w:r>
      <w:proofErr w:type="spellStart"/>
      <w:r w:rsidRPr="00912C04">
        <w:rPr>
          <w:i/>
        </w:rPr>
        <w:t>sandboxes</w:t>
      </w:r>
      <w:proofErr w:type="spellEnd"/>
      <w:r w:rsidRPr="00912C04">
        <w:t xml:space="preserve">, taip pat skatinti nacionalinių priežiūros institucijų technologinį raštingumą, dalintis informacija apie kibernetines atakas, incidentus ir pavojus. </w:t>
      </w:r>
    </w:p>
    <w:p w:rsidR="00523C46" w:rsidRDefault="00523C46" w:rsidP="00523C46">
      <w:pPr>
        <w:spacing w:after="0" w:line="240" w:lineRule="auto"/>
        <w:jc w:val="both"/>
      </w:pPr>
      <w:r w:rsidRPr="00912C04">
        <w:t xml:space="preserve">Taip pat dėmesys bus skiriamas tvariems finansams, t.y. </w:t>
      </w:r>
      <w:proofErr w:type="spellStart"/>
      <w:r w:rsidRPr="00912C04">
        <w:t>ESAs</w:t>
      </w:r>
      <w:proofErr w:type="spellEnd"/>
      <w:r w:rsidRPr="00912C04">
        <w:t xml:space="preserve"> stebės kaip finansų rinkų dalyviai vertina aplinkosauginius, socialinius ir valdymo faktorius (</w:t>
      </w:r>
      <w:proofErr w:type="spellStart"/>
      <w:r w:rsidRPr="00912C04">
        <w:t>environmental</w:t>
      </w:r>
      <w:proofErr w:type="spellEnd"/>
      <w:r w:rsidRPr="00912C04">
        <w:t xml:space="preserve">, </w:t>
      </w:r>
      <w:proofErr w:type="spellStart"/>
      <w:r w:rsidRPr="00912C04">
        <w:t>social</w:t>
      </w:r>
      <w:proofErr w:type="spellEnd"/>
      <w:r w:rsidRPr="00912C04">
        <w:t xml:space="preserve"> </w:t>
      </w:r>
      <w:proofErr w:type="spellStart"/>
      <w:r w:rsidRPr="00912C04">
        <w:t>and</w:t>
      </w:r>
      <w:proofErr w:type="spellEnd"/>
      <w:r w:rsidRPr="00912C04">
        <w:t xml:space="preserve"> </w:t>
      </w:r>
      <w:proofErr w:type="spellStart"/>
      <w:r w:rsidRPr="00912C04">
        <w:t>governance</w:t>
      </w:r>
      <w:proofErr w:type="spellEnd"/>
      <w:r w:rsidRPr="00912C04">
        <w:t xml:space="preserve"> </w:t>
      </w:r>
      <w:proofErr w:type="spellStart"/>
      <w:r w:rsidRPr="00912C04">
        <w:t>factors-</w:t>
      </w:r>
      <w:proofErr w:type="spellEnd"/>
      <w:r w:rsidRPr="00912C04">
        <w:t xml:space="preserve"> ESG)  bei juos valdo.</w:t>
      </w:r>
    </w:p>
    <w:p w:rsidR="00523C46" w:rsidRDefault="00523C46" w:rsidP="00523C46">
      <w:pPr>
        <w:spacing w:after="0" w:line="240" w:lineRule="auto"/>
        <w:jc w:val="both"/>
      </w:pPr>
      <w:r>
        <w:t>Teisinių pasiūlymų paketas buvo svarstytas ES Tarybos finansinių paslaugų darbo grupės posėdžiuose. Po diskusijų kompromisiniame tekste atlikti šie pagrindiniai patikslinimai:</w:t>
      </w:r>
    </w:p>
    <w:p w:rsidR="00523C46" w:rsidRDefault="00523C46" w:rsidP="00523C46">
      <w:pPr>
        <w:spacing w:after="0" w:line="240" w:lineRule="auto"/>
        <w:jc w:val="both"/>
      </w:pPr>
      <w:r w:rsidRPr="008D5948">
        <w:rPr>
          <w:u w:val="single"/>
        </w:rPr>
        <w:t>Valdymas</w:t>
      </w:r>
      <w:r>
        <w:t xml:space="preserve">. </w:t>
      </w:r>
    </w:p>
    <w:p w:rsidR="00523C46" w:rsidRDefault="00523C46" w:rsidP="00523C46">
      <w:pPr>
        <w:spacing w:after="0" w:line="240" w:lineRule="auto"/>
        <w:jc w:val="both"/>
      </w:pPr>
      <w:r>
        <w:t>Sugrįžta nuo Europos Komisijos pasiūlytos Vykdomosios valdybos (</w:t>
      </w:r>
      <w:proofErr w:type="spellStart"/>
      <w:r>
        <w:t>Executive</w:t>
      </w:r>
      <w:proofErr w:type="spellEnd"/>
      <w:r>
        <w:t xml:space="preserve"> </w:t>
      </w:r>
      <w:proofErr w:type="spellStart"/>
      <w:r>
        <w:t>Board</w:t>
      </w:r>
      <w:proofErr w:type="spellEnd"/>
      <w:r>
        <w:t xml:space="preserve">) koncepcijos prie dabar galiojančios </w:t>
      </w:r>
      <w:proofErr w:type="spellStart"/>
      <w:r>
        <w:t>Management</w:t>
      </w:r>
      <w:proofErr w:type="spellEnd"/>
      <w:r>
        <w:t xml:space="preserve"> </w:t>
      </w:r>
      <w:proofErr w:type="spellStart"/>
      <w:r>
        <w:t>Board</w:t>
      </w:r>
      <w:proofErr w:type="spellEnd"/>
      <w:r>
        <w:t xml:space="preserve"> (MB) koncepcijos. Tuo pačiu, svarbiausių sprendimų priėmimas iš Vykdomosios valdybos grįžta į Priežiūros valdybą (</w:t>
      </w:r>
      <w:proofErr w:type="spellStart"/>
      <w:r>
        <w:t>Board</w:t>
      </w:r>
      <w:proofErr w:type="spellEnd"/>
      <w:r>
        <w:t xml:space="preserve"> </w:t>
      </w:r>
      <w:proofErr w:type="spellStart"/>
      <w:r>
        <w:t>of</w:t>
      </w:r>
      <w:proofErr w:type="spellEnd"/>
      <w:r>
        <w:t xml:space="preserve"> </w:t>
      </w:r>
      <w:proofErr w:type="spellStart"/>
      <w:r>
        <w:t>Supervisors</w:t>
      </w:r>
      <w:proofErr w:type="spellEnd"/>
      <w:r>
        <w:t xml:space="preserve">, </w:t>
      </w:r>
      <w:proofErr w:type="spellStart"/>
      <w:r>
        <w:t>BoS</w:t>
      </w:r>
      <w:proofErr w:type="spellEnd"/>
      <w:r>
        <w:t xml:space="preserve">) kaip yra šiuo metu. Visgi, nustatoma siauresnė MB narių sudėtis, numatomas reikalavimas dėl šalių atstovavimo balanso, rotacijos. </w:t>
      </w:r>
    </w:p>
    <w:p w:rsidR="00523C46" w:rsidRDefault="00523C46" w:rsidP="00523C46">
      <w:pPr>
        <w:spacing w:after="0" w:line="240" w:lineRule="auto"/>
        <w:jc w:val="both"/>
      </w:pPr>
      <w:r>
        <w:t xml:space="preserve">Sprendimų priėmimas iš esmės grįžta į </w:t>
      </w:r>
      <w:proofErr w:type="spellStart"/>
      <w:r>
        <w:t>BoS</w:t>
      </w:r>
      <w:proofErr w:type="spellEnd"/>
      <w:r>
        <w:t>, išskyrus kelis atvejus, kur norima sustiprinti MB vaidmenį, t.y. priežiūros peržiūros (</w:t>
      </w:r>
      <w:proofErr w:type="spellStart"/>
      <w:r>
        <w:t>peer</w:t>
      </w:r>
      <w:proofErr w:type="spellEnd"/>
      <w:r>
        <w:t xml:space="preserve"> </w:t>
      </w:r>
      <w:proofErr w:type="spellStart"/>
      <w:r>
        <w:t>reviews</w:t>
      </w:r>
      <w:proofErr w:type="spellEnd"/>
      <w:r>
        <w:t>), ES teisės pažeidimų (</w:t>
      </w:r>
      <w:proofErr w:type="spellStart"/>
      <w:r>
        <w:t>breach</w:t>
      </w:r>
      <w:proofErr w:type="spellEnd"/>
      <w:r>
        <w:t xml:space="preserve"> </w:t>
      </w:r>
      <w:proofErr w:type="spellStart"/>
      <w:r>
        <w:t>of</w:t>
      </w:r>
      <w:proofErr w:type="spellEnd"/>
      <w:r>
        <w:t xml:space="preserve"> </w:t>
      </w:r>
      <w:proofErr w:type="spellStart"/>
      <w:r>
        <w:t>Union</w:t>
      </w:r>
      <w:proofErr w:type="spellEnd"/>
      <w:r>
        <w:t xml:space="preserve"> </w:t>
      </w:r>
      <w:proofErr w:type="spellStart"/>
      <w:r>
        <w:t>Law</w:t>
      </w:r>
      <w:proofErr w:type="spellEnd"/>
      <w:r>
        <w:t>) ir privalomo tarpininkavimo (</w:t>
      </w:r>
      <w:proofErr w:type="spellStart"/>
      <w:r>
        <w:t>binding</w:t>
      </w:r>
      <w:proofErr w:type="spellEnd"/>
      <w:r>
        <w:t xml:space="preserve"> </w:t>
      </w:r>
      <w:proofErr w:type="spellStart"/>
      <w:r>
        <w:t>mediation</w:t>
      </w:r>
      <w:proofErr w:type="spellEnd"/>
      <w:r>
        <w:t xml:space="preserve">) ir kt. funkcijų atvejais. Paminėtais atvejais sprendimus rengs MB, tačiau </w:t>
      </w:r>
      <w:proofErr w:type="spellStart"/>
      <w:r>
        <w:t>BoS</w:t>
      </w:r>
      <w:proofErr w:type="spellEnd"/>
      <w:r>
        <w:t xml:space="preserve"> turės dėl jų galutinai apsispręsti.</w:t>
      </w:r>
    </w:p>
    <w:p w:rsidR="00523C46" w:rsidRDefault="00523C46" w:rsidP="00523C46">
      <w:pPr>
        <w:spacing w:after="0" w:line="240" w:lineRule="auto"/>
        <w:jc w:val="both"/>
      </w:pPr>
      <w:r w:rsidRPr="008D5948">
        <w:rPr>
          <w:u w:val="single"/>
        </w:rPr>
        <w:t>Strateginiai priežiūros planai</w:t>
      </w:r>
      <w:r>
        <w:t xml:space="preserve">. </w:t>
      </w:r>
    </w:p>
    <w:p w:rsidR="00523C46" w:rsidRDefault="00523C46" w:rsidP="00523C46">
      <w:pPr>
        <w:spacing w:after="0" w:line="240" w:lineRule="auto"/>
        <w:jc w:val="both"/>
      </w:pPr>
      <w:r>
        <w:t xml:space="preserve">Atsisakyta Europos Komisijos siūlyto </w:t>
      </w:r>
      <w:proofErr w:type="spellStart"/>
      <w:r>
        <w:t>ESAs</w:t>
      </w:r>
      <w:proofErr w:type="spellEnd"/>
      <w:r>
        <w:t xml:space="preserve"> planų integravimo į nacionalinių priežiūros institucijų  veiklos planus.  Numatyta, kad </w:t>
      </w:r>
      <w:proofErr w:type="spellStart"/>
      <w:r>
        <w:t>ESAs</w:t>
      </w:r>
      <w:proofErr w:type="spellEnd"/>
      <w:r>
        <w:t xml:space="preserve"> identifikuoja 2 ES lygmens prioritetus, į kuriuos nacionalinės priežiūros institucijos atsižvelgia sudarydamos savo darbo planus.  </w:t>
      </w:r>
    </w:p>
    <w:p w:rsidR="00523C46" w:rsidRPr="008D5948" w:rsidRDefault="00523C46" w:rsidP="00523C46">
      <w:pPr>
        <w:spacing w:after="0" w:line="240" w:lineRule="auto"/>
        <w:jc w:val="both"/>
        <w:rPr>
          <w:u w:val="single"/>
        </w:rPr>
      </w:pPr>
      <w:r w:rsidRPr="008D5948">
        <w:rPr>
          <w:u w:val="single"/>
        </w:rPr>
        <w:t>Priežiūros peržiūros (</w:t>
      </w:r>
      <w:proofErr w:type="spellStart"/>
      <w:r w:rsidRPr="008D5948">
        <w:rPr>
          <w:u w:val="single"/>
        </w:rPr>
        <w:t>Peer</w:t>
      </w:r>
      <w:proofErr w:type="spellEnd"/>
      <w:r w:rsidRPr="008D5948">
        <w:rPr>
          <w:u w:val="single"/>
        </w:rPr>
        <w:t xml:space="preserve"> </w:t>
      </w:r>
      <w:proofErr w:type="spellStart"/>
      <w:r w:rsidRPr="008D5948">
        <w:rPr>
          <w:u w:val="single"/>
        </w:rPr>
        <w:t>reviews</w:t>
      </w:r>
      <w:proofErr w:type="spellEnd"/>
      <w:r w:rsidRPr="008D5948">
        <w:rPr>
          <w:u w:val="single"/>
        </w:rPr>
        <w:t xml:space="preserve">). </w:t>
      </w:r>
    </w:p>
    <w:p w:rsidR="00523C46" w:rsidRDefault="00523C46" w:rsidP="00523C46">
      <w:pPr>
        <w:spacing w:after="0" w:line="240" w:lineRule="auto"/>
        <w:jc w:val="both"/>
      </w:pPr>
      <w:r>
        <w:t>Europos Komisijos siūlytos ESA atliekamos nacionalinių priežiūros institucijų peržiūros atstatytos į šiuo metu veikiančias priežiūros peržiūras (</w:t>
      </w:r>
      <w:proofErr w:type="spellStart"/>
      <w:r>
        <w:t>peer</w:t>
      </w:r>
      <w:proofErr w:type="spellEnd"/>
      <w:r>
        <w:t xml:space="preserve"> </w:t>
      </w:r>
      <w:proofErr w:type="spellStart"/>
      <w:r>
        <w:t>reviews</w:t>
      </w:r>
      <w:proofErr w:type="spellEnd"/>
      <w:r>
        <w:t xml:space="preserve">), tačiau numatytas didesnis </w:t>
      </w:r>
      <w:proofErr w:type="spellStart"/>
      <w:r>
        <w:t>ESAs</w:t>
      </w:r>
      <w:proofErr w:type="spellEnd"/>
      <w:r>
        <w:t xml:space="preserve"> vaidmuo šiose peržiūrose nei iki šiol. </w:t>
      </w:r>
    </w:p>
    <w:p w:rsidR="00523C46" w:rsidRDefault="00523C46" w:rsidP="00523C46">
      <w:pPr>
        <w:spacing w:after="0" w:line="240" w:lineRule="auto"/>
        <w:jc w:val="both"/>
      </w:pPr>
      <w:r w:rsidRPr="008D5948">
        <w:rPr>
          <w:u w:val="single"/>
        </w:rPr>
        <w:t>Tiesioginė priežiūra</w:t>
      </w:r>
      <w:r>
        <w:t xml:space="preserve">. </w:t>
      </w:r>
    </w:p>
    <w:p w:rsidR="00523C46" w:rsidRDefault="00523C46" w:rsidP="00523C46">
      <w:pPr>
        <w:spacing w:after="0" w:line="240" w:lineRule="auto"/>
        <w:jc w:val="both"/>
      </w:pPr>
      <w:r>
        <w:t>Atsisakyta tiesioginės priežiūros funkcijų perdavimo ESA fondų, prospektų, duomenų centrų teikėjų atveju. Tiesioginė ESA priežiūra paliekama dėl Europinių lyginamųjų indeksų, 3ųjų šalių indeksų.</w:t>
      </w:r>
    </w:p>
    <w:p w:rsidR="00523C46" w:rsidRDefault="00523C46" w:rsidP="00523C46">
      <w:pPr>
        <w:spacing w:after="0" w:line="240" w:lineRule="auto"/>
        <w:jc w:val="both"/>
      </w:pPr>
      <w:r>
        <w:t>Be to, išbraukti straipsniai rinkos dalyvius įpareigojantys tiesiogiai teikti informaciją ESA ir jiems taikyti sankcijas už nepateikimą, nes informacijos surinkimas iš rinkos dalyvių vyks per nacionalines priežiūros institucijas.</w:t>
      </w:r>
    </w:p>
    <w:p w:rsidR="00523C46" w:rsidRDefault="00523C46" w:rsidP="00523C46">
      <w:pPr>
        <w:spacing w:after="0" w:line="240" w:lineRule="auto"/>
        <w:jc w:val="both"/>
      </w:pPr>
      <w:r w:rsidRPr="008D5948">
        <w:rPr>
          <w:u w:val="single"/>
        </w:rPr>
        <w:t>Klausimai ir atsakymai (Q&amp;A).</w:t>
      </w:r>
      <w:r>
        <w:t xml:space="preserve"> Klausimų atsakymų rengimą siekiama padaryti skaidresniu, rengimo procesas nuo šiol reglamente (pirmo lygio L1 teisės akte). Pabrėžiamas šio įrankio </w:t>
      </w:r>
      <w:proofErr w:type="spellStart"/>
      <w:r>
        <w:t>neprivalomumas</w:t>
      </w:r>
      <w:proofErr w:type="spellEnd"/>
      <w:r>
        <w:t xml:space="preserve"> ir nauda siekiant didesnės finansų rinkų reguliavimo taikymo konvergencijos.</w:t>
      </w:r>
    </w:p>
    <w:p w:rsidR="00523C46" w:rsidRDefault="00523C46" w:rsidP="00523C46">
      <w:pPr>
        <w:spacing w:after="0" w:line="240" w:lineRule="auto"/>
        <w:jc w:val="both"/>
      </w:pPr>
      <w:r w:rsidRPr="00A94813">
        <w:rPr>
          <w:u w:val="single"/>
        </w:rPr>
        <w:t>Finansavimas</w:t>
      </w:r>
      <w:r>
        <w:t>. Atsisakyta siūlyto įmokų rinkimo tiesiogiai iš rinkos dalyvių. Įmokos bus renkamos per nacionalines priežiūros institucijas.</w:t>
      </w:r>
    </w:p>
    <w:p w:rsidR="00523C46" w:rsidRDefault="00523C46" w:rsidP="00523C46">
      <w:pPr>
        <w:spacing w:after="0" w:line="240" w:lineRule="auto"/>
        <w:jc w:val="both"/>
        <w:rPr>
          <w:b/>
          <w:i/>
          <w:color w:val="000000" w:themeColor="text1"/>
          <w:szCs w:val="24"/>
        </w:rPr>
      </w:pPr>
      <w:r>
        <w:rPr>
          <w:b/>
          <w:color w:val="000000" w:themeColor="text1"/>
          <w:szCs w:val="24"/>
          <w:u w:val="single"/>
        </w:rPr>
        <w:t>Lietuvos pozicija</w:t>
      </w:r>
      <w:r w:rsidRPr="00523C46">
        <w:rPr>
          <w:b/>
          <w:color w:val="000000" w:themeColor="text1"/>
          <w:szCs w:val="24"/>
          <w:u w:val="single"/>
        </w:rPr>
        <w:t>.</w:t>
      </w:r>
      <w:r w:rsidRPr="00523C46">
        <w:rPr>
          <w:b/>
          <w:color w:val="000000" w:themeColor="text1"/>
          <w:szCs w:val="24"/>
        </w:rPr>
        <w:t xml:space="preserve"> </w:t>
      </w:r>
      <w:r w:rsidRPr="00523C46">
        <w:rPr>
          <w:i/>
          <w:color w:val="000000" w:themeColor="text1"/>
          <w:szCs w:val="24"/>
        </w:rPr>
        <w:t>(gali būti tikslinama priklausomai nuo pateiktų dokumentų)</w:t>
      </w:r>
    </w:p>
    <w:p w:rsidR="00523C46" w:rsidRDefault="00523C46" w:rsidP="00523C46">
      <w:pPr>
        <w:spacing w:after="0" w:line="240" w:lineRule="auto"/>
        <w:jc w:val="both"/>
      </w:pPr>
      <w:r>
        <w:t>Svarbu užtikrinti, kad ESFS reforma užtikrintų:</w:t>
      </w:r>
    </w:p>
    <w:p w:rsidR="00523C46" w:rsidRDefault="00523C46" w:rsidP="00523C46">
      <w:pPr>
        <w:spacing w:after="0" w:line="240" w:lineRule="auto"/>
        <w:jc w:val="both"/>
      </w:pPr>
      <w:r>
        <w:t>- didesnę finansų rinkų integraciją, priežiūros procesų konvergenciją;</w:t>
      </w:r>
    </w:p>
    <w:p w:rsidR="00523C46" w:rsidRDefault="00523C46" w:rsidP="00523C46">
      <w:pPr>
        <w:spacing w:after="0" w:line="240" w:lineRule="auto"/>
        <w:jc w:val="both"/>
      </w:pPr>
      <w:r>
        <w:t>- tinkamą balansą tarp sprendimo galių sutelkimo europiniame lygmenyje ir jų pasekmių/kaštų nacionaliniu lygiu;</w:t>
      </w:r>
    </w:p>
    <w:p w:rsidR="00523C46" w:rsidRDefault="00523C46" w:rsidP="00523C46">
      <w:pPr>
        <w:spacing w:after="0" w:line="240" w:lineRule="auto"/>
        <w:jc w:val="both"/>
      </w:pPr>
      <w:r>
        <w:t>- tinkamą valstybių narių interesų atstovavimą ESA valdymo organuose.</w:t>
      </w:r>
    </w:p>
    <w:p w:rsidR="00523C46" w:rsidRDefault="00523C46" w:rsidP="00523C46">
      <w:pPr>
        <w:widowControl w:val="0"/>
        <w:spacing w:after="0" w:line="240" w:lineRule="auto"/>
        <w:jc w:val="both"/>
        <w:rPr>
          <w:b/>
          <w:color w:val="000000" w:themeColor="text1"/>
          <w:szCs w:val="24"/>
          <w:u w:val="single"/>
        </w:rPr>
      </w:pPr>
    </w:p>
    <w:p w:rsidR="0084520E" w:rsidRPr="00D051D1" w:rsidRDefault="0084520E" w:rsidP="0084520E">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cs="Times New Roman"/>
          <w:iCs/>
          <w:szCs w:val="24"/>
        </w:rPr>
      </w:pPr>
      <w:r>
        <w:rPr>
          <w:b/>
          <w:szCs w:val="24"/>
        </w:rPr>
        <w:lastRenderedPageBreak/>
        <w:t xml:space="preserve">Rumunijos pirmininkavimo darbo programa </w:t>
      </w:r>
      <w:r>
        <w:rPr>
          <w:rFonts w:eastAsia="Calibri" w:cs="Times New Roman"/>
          <w:i/>
          <w:szCs w:val="24"/>
        </w:rPr>
        <w:t>(p</w:t>
      </w:r>
      <w:r>
        <w:rPr>
          <w:rFonts w:asciiTheme="majorBidi" w:hAnsiTheme="majorBidi"/>
          <w:i/>
          <w:iCs/>
          <w:szCs w:val="24"/>
        </w:rPr>
        <w:t>asikeitimas nuomonėmis</w:t>
      </w:r>
      <w:r>
        <w:rPr>
          <w:rFonts w:eastAsia="Calibri" w:cs="Times New Roman"/>
          <w:i/>
          <w:szCs w:val="24"/>
        </w:rPr>
        <w:t>)</w:t>
      </w:r>
    </w:p>
    <w:p w:rsidR="0084520E" w:rsidRDefault="0084520E" w:rsidP="0084520E">
      <w:pPr>
        <w:spacing w:after="0" w:line="240" w:lineRule="auto"/>
        <w:jc w:val="both"/>
        <w:rPr>
          <w:rFonts w:eastAsia="Calibri"/>
          <w:b/>
          <w:noProof/>
          <w:u w:val="single"/>
          <w:lang w:bidi="lt-LT"/>
        </w:rPr>
      </w:pPr>
    </w:p>
    <w:p w:rsidR="0084520E" w:rsidRPr="00687257" w:rsidRDefault="0084520E" w:rsidP="00725FE5">
      <w:pPr>
        <w:spacing w:after="0" w:line="240" w:lineRule="auto"/>
        <w:jc w:val="both"/>
        <w:rPr>
          <w:rFonts w:eastAsia="Calibri"/>
          <w:noProof/>
          <w:szCs w:val="24"/>
          <w:lang w:bidi="lt-LT"/>
        </w:rPr>
      </w:pPr>
      <w:r w:rsidRPr="0084520E">
        <w:rPr>
          <w:rFonts w:eastAsia="Calibri"/>
          <w:b/>
          <w:noProof/>
          <w:u w:val="single"/>
          <w:lang w:bidi="lt-LT"/>
        </w:rPr>
        <w:t>Klausimo esmė.</w:t>
      </w:r>
      <w:r>
        <w:rPr>
          <w:rFonts w:eastAsia="Calibri"/>
          <w:noProof/>
          <w:lang w:bidi="lt-LT"/>
        </w:rPr>
        <w:t xml:space="preserve"> </w:t>
      </w:r>
      <w:r w:rsidRPr="002C07CA">
        <w:rPr>
          <w:rFonts w:eastAsia="Calibri"/>
          <w:noProof/>
          <w:lang w:bidi="lt-LT"/>
        </w:rPr>
        <w:t xml:space="preserve">ECOFIN metu nuo </w:t>
      </w:r>
      <w:r w:rsidR="00C05BBA">
        <w:rPr>
          <w:rFonts w:eastAsia="Calibri"/>
          <w:noProof/>
          <w:lang w:bidi="lt-LT"/>
        </w:rPr>
        <w:t xml:space="preserve">2019 m. </w:t>
      </w:r>
      <w:r>
        <w:rPr>
          <w:rFonts w:eastAsia="Calibri"/>
          <w:noProof/>
          <w:lang w:bidi="lt-LT"/>
        </w:rPr>
        <w:t>sausio</w:t>
      </w:r>
      <w:r w:rsidRPr="002C07CA">
        <w:rPr>
          <w:rFonts w:eastAsia="Calibri"/>
          <w:noProof/>
          <w:lang w:bidi="lt-LT"/>
        </w:rPr>
        <w:t xml:space="preserve"> 1 d. ES Tarybai pirmininkaujanti šalis </w:t>
      </w:r>
      <w:r w:rsidRPr="00687257">
        <w:rPr>
          <w:rFonts w:eastAsia="Calibri"/>
          <w:noProof/>
          <w:szCs w:val="24"/>
          <w:lang w:bidi="lt-LT"/>
        </w:rPr>
        <w:t xml:space="preserve">Rumunija </w:t>
      </w:r>
      <w:r w:rsidR="00D63FE8" w:rsidRPr="002C07CA">
        <w:rPr>
          <w:rFonts w:eastAsia="Calibri"/>
          <w:noProof/>
          <w:lang w:bidi="lt-LT"/>
        </w:rPr>
        <w:t>pristatys pusmečio darbų programą ekonomikos ir finansų srityse</w:t>
      </w:r>
      <w:r w:rsidR="00D63FE8">
        <w:rPr>
          <w:rFonts w:eastAsia="Calibri"/>
          <w:noProof/>
          <w:lang w:bidi="lt-LT"/>
        </w:rPr>
        <w:t xml:space="preserve">. </w:t>
      </w:r>
    </w:p>
    <w:p w:rsidR="00C05BBA" w:rsidRPr="00687257" w:rsidRDefault="0084520E" w:rsidP="00725FE5">
      <w:pPr>
        <w:spacing w:after="0" w:line="240" w:lineRule="auto"/>
        <w:jc w:val="both"/>
        <w:rPr>
          <w:rFonts w:eastAsia="Calibri"/>
          <w:noProof/>
          <w:szCs w:val="24"/>
          <w:lang w:bidi="lt-LT"/>
        </w:rPr>
      </w:pPr>
      <w:r w:rsidRPr="00687257">
        <w:rPr>
          <w:rFonts w:eastAsia="Calibri"/>
          <w:noProof/>
          <w:szCs w:val="24"/>
          <w:lang w:bidi="lt-LT"/>
        </w:rPr>
        <w:t>Rumunija ketina toliau dirbti ekonomikos, finansų ir mokesčių srityse, siekdama ska</w:t>
      </w:r>
      <w:r w:rsidR="00C05BBA" w:rsidRPr="00687257">
        <w:rPr>
          <w:rFonts w:eastAsia="Calibri"/>
          <w:noProof/>
          <w:szCs w:val="24"/>
          <w:lang w:bidi="lt-LT"/>
        </w:rPr>
        <w:t xml:space="preserve">tinti augimą ir investicijas, remti struktūrines reformas. </w:t>
      </w:r>
    </w:p>
    <w:p w:rsidR="00676CED" w:rsidRPr="00687257" w:rsidRDefault="00676CED" w:rsidP="00676CED">
      <w:pPr>
        <w:spacing w:after="0" w:line="240" w:lineRule="auto"/>
        <w:jc w:val="both"/>
        <w:rPr>
          <w:rFonts w:eastAsia="Calibri"/>
          <w:noProof/>
          <w:szCs w:val="24"/>
          <w:lang w:bidi="lt-LT"/>
        </w:rPr>
      </w:pPr>
      <w:r w:rsidRPr="00676CED">
        <w:rPr>
          <w:rFonts w:eastAsia="Calibri"/>
          <w:bCs/>
          <w:noProof/>
          <w:szCs w:val="24"/>
          <w:lang w:bidi="lt-LT"/>
        </w:rPr>
        <w:t>Programoje teigiama,</w:t>
      </w:r>
      <w:r w:rsidR="0084520E" w:rsidRPr="00687257">
        <w:rPr>
          <w:rFonts w:eastAsia="Calibri"/>
          <w:bCs/>
          <w:noProof/>
          <w:szCs w:val="24"/>
          <w:lang w:bidi="lt-LT"/>
        </w:rPr>
        <w:t xml:space="preserve"> kad Ekonomi</w:t>
      </w:r>
      <w:r w:rsidR="00C05BBA" w:rsidRPr="00687257">
        <w:rPr>
          <w:rFonts w:eastAsia="Calibri"/>
          <w:bCs/>
          <w:noProof/>
          <w:szCs w:val="24"/>
          <w:lang w:bidi="lt-LT"/>
        </w:rPr>
        <w:t>nės ir pinigų sąjungos užbaigimas</w:t>
      </w:r>
      <w:r w:rsidR="0084520E" w:rsidRPr="00687257">
        <w:rPr>
          <w:rFonts w:eastAsia="Calibri"/>
          <w:bCs/>
          <w:noProof/>
          <w:szCs w:val="24"/>
          <w:lang w:bidi="lt-LT"/>
        </w:rPr>
        <w:t xml:space="preserve"> yra svarbi veiksmų plano, parengto rengiantis ES vadovų susitikimui Sibiu, </w:t>
      </w:r>
      <w:r w:rsidR="00C05BBA" w:rsidRPr="00687257">
        <w:rPr>
          <w:rFonts w:eastAsia="Calibri"/>
          <w:bCs/>
          <w:noProof/>
          <w:szCs w:val="24"/>
          <w:lang w:bidi="lt-LT"/>
        </w:rPr>
        <w:t>s</w:t>
      </w:r>
      <w:r w:rsidR="0084520E" w:rsidRPr="00687257">
        <w:rPr>
          <w:rFonts w:eastAsia="Calibri"/>
          <w:bCs/>
          <w:noProof/>
          <w:szCs w:val="24"/>
          <w:lang w:bidi="lt-LT"/>
        </w:rPr>
        <w:t xml:space="preserve">udedamoji dalis. </w:t>
      </w:r>
      <w:r w:rsidRPr="00687257">
        <w:rPr>
          <w:rFonts w:eastAsia="Calibri"/>
          <w:noProof/>
          <w:szCs w:val="24"/>
          <w:lang w:bidi="lt-LT"/>
        </w:rPr>
        <w:t xml:space="preserve">Ypač svarbu išlaikyti ES vienybę, konstruktyviai ir skaidriai įtraukiant visas valstybes nares į šį procesą. Turint tai omenyje, labai svarbu užtikrinti glaudų Europos Sąjungos Tarybos ir Eurogrupės koordinavimą, o Tarybai pirmininkaujanti Rumunija ketina šį požiūrį propaguoti per visą jos </w:t>
      </w:r>
      <w:r w:rsidR="00D93099">
        <w:rPr>
          <w:rFonts w:eastAsia="Calibri"/>
          <w:noProof/>
          <w:szCs w:val="24"/>
          <w:lang w:bidi="lt-LT"/>
        </w:rPr>
        <w:t xml:space="preserve">pirmininkavimo </w:t>
      </w:r>
      <w:r w:rsidRPr="00687257">
        <w:rPr>
          <w:rFonts w:eastAsia="Calibri"/>
          <w:noProof/>
          <w:szCs w:val="24"/>
          <w:lang w:bidi="lt-LT"/>
        </w:rPr>
        <w:t>laikotarpį.</w:t>
      </w:r>
    </w:p>
    <w:p w:rsidR="00676CED" w:rsidRPr="00861D50" w:rsidRDefault="00861D50" w:rsidP="00725FE5">
      <w:pPr>
        <w:pStyle w:val="Antrat1"/>
        <w:shd w:val="clear" w:color="auto" w:fill="FFFFFF"/>
        <w:spacing w:before="0" w:beforeAutospacing="0" w:after="0" w:afterAutospacing="0"/>
        <w:jc w:val="both"/>
        <w:textAlignment w:val="baseline"/>
        <w:rPr>
          <w:rFonts w:eastAsia="Calibri"/>
          <w:b w:val="0"/>
          <w:noProof/>
          <w:sz w:val="24"/>
          <w:szCs w:val="24"/>
          <w:lang w:bidi="lt-LT"/>
        </w:rPr>
      </w:pPr>
      <w:r>
        <w:rPr>
          <w:rFonts w:eastAsia="Calibri"/>
          <w:b w:val="0"/>
          <w:noProof/>
          <w:sz w:val="24"/>
          <w:szCs w:val="24"/>
          <w:lang w:bidi="lt-LT"/>
        </w:rPr>
        <w:t>T</w:t>
      </w:r>
      <w:r w:rsidR="00676CED">
        <w:rPr>
          <w:rFonts w:eastAsia="Calibri"/>
          <w:b w:val="0"/>
          <w:noProof/>
          <w:sz w:val="24"/>
          <w:szCs w:val="24"/>
          <w:lang w:bidi="lt-LT"/>
        </w:rPr>
        <w:t>urėtų</w:t>
      </w:r>
      <w:r>
        <w:rPr>
          <w:rFonts w:eastAsia="Calibri"/>
          <w:b w:val="0"/>
          <w:noProof/>
          <w:sz w:val="24"/>
          <w:szCs w:val="24"/>
          <w:lang w:bidi="lt-LT"/>
        </w:rPr>
        <w:t xml:space="preserve"> tęsiamas darbas Europos kapitalo rinkų plėtros srityje. Tarybai pirmininkau</w:t>
      </w:r>
      <w:r w:rsidR="001B180A">
        <w:rPr>
          <w:rFonts w:eastAsia="Calibri"/>
          <w:b w:val="0"/>
          <w:noProof/>
          <w:sz w:val="24"/>
          <w:szCs w:val="24"/>
          <w:lang w:bidi="lt-LT"/>
        </w:rPr>
        <w:t>janti Rumunija toliau dirbs su K</w:t>
      </w:r>
      <w:r>
        <w:rPr>
          <w:rFonts w:eastAsia="Calibri"/>
          <w:b w:val="0"/>
          <w:noProof/>
          <w:sz w:val="24"/>
          <w:szCs w:val="24"/>
          <w:lang w:bidi="lt-LT"/>
        </w:rPr>
        <w:t xml:space="preserve">apitalo rinkų </w:t>
      </w:r>
      <w:r w:rsidR="001B180A">
        <w:rPr>
          <w:rFonts w:eastAsia="Calibri"/>
          <w:b w:val="0"/>
          <w:noProof/>
          <w:sz w:val="24"/>
          <w:szCs w:val="24"/>
          <w:lang w:bidi="lt-LT"/>
        </w:rPr>
        <w:t xml:space="preserve">sąjungos </w:t>
      </w:r>
      <w:r>
        <w:rPr>
          <w:rFonts w:eastAsia="Calibri"/>
          <w:b w:val="0"/>
          <w:noProof/>
          <w:sz w:val="24"/>
          <w:szCs w:val="24"/>
          <w:lang w:bidi="lt-LT"/>
        </w:rPr>
        <w:t xml:space="preserve">pasiūlymais, bus apsvarstytas </w:t>
      </w:r>
      <w:r w:rsidRPr="00861D50">
        <w:rPr>
          <w:rFonts w:eastAsia="Calibri"/>
          <w:b w:val="0"/>
          <w:i/>
          <w:noProof/>
          <w:sz w:val="24"/>
          <w:szCs w:val="24"/>
          <w:lang w:bidi="lt-LT"/>
        </w:rPr>
        <w:t>FinTech</w:t>
      </w:r>
      <w:r>
        <w:rPr>
          <w:rFonts w:eastAsia="Calibri"/>
          <w:b w:val="0"/>
          <w:i/>
          <w:noProof/>
          <w:sz w:val="24"/>
          <w:szCs w:val="24"/>
          <w:lang w:bidi="lt-LT"/>
        </w:rPr>
        <w:t xml:space="preserve"> </w:t>
      </w:r>
      <w:r>
        <w:rPr>
          <w:rFonts w:eastAsia="Calibri"/>
          <w:b w:val="0"/>
          <w:noProof/>
          <w:sz w:val="24"/>
          <w:szCs w:val="24"/>
          <w:lang w:bidi="lt-LT"/>
        </w:rPr>
        <w:t>veiksmų plano įgyvendinimas bei tvarus finansavimas.</w:t>
      </w:r>
    </w:p>
    <w:p w:rsidR="00676CED" w:rsidRDefault="00BE2E6B" w:rsidP="00725FE5">
      <w:pPr>
        <w:pStyle w:val="Antrat1"/>
        <w:shd w:val="clear" w:color="auto" w:fill="FFFFFF"/>
        <w:spacing w:before="0" w:beforeAutospacing="0" w:after="0" w:afterAutospacing="0"/>
        <w:jc w:val="both"/>
        <w:textAlignment w:val="baseline"/>
        <w:rPr>
          <w:rFonts w:eastAsia="Calibri"/>
          <w:b w:val="0"/>
          <w:noProof/>
          <w:sz w:val="24"/>
          <w:szCs w:val="24"/>
          <w:lang w:bidi="lt-LT"/>
        </w:rPr>
      </w:pPr>
      <w:r>
        <w:rPr>
          <w:rFonts w:eastAsia="Calibri"/>
          <w:b w:val="0"/>
          <w:noProof/>
          <w:sz w:val="24"/>
          <w:szCs w:val="24"/>
          <w:lang w:bidi="lt-LT"/>
        </w:rPr>
        <w:t>Mokesčių srityje pirmin</w:t>
      </w:r>
      <w:r w:rsidR="006A5604">
        <w:rPr>
          <w:rFonts w:eastAsia="Calibri"/>
          <w:b w:val="0"/>
          <w:noProof/>
          <w:sz w:val="24"/>
          <w:szCs w:val="24"/>
          <w:lang w:bidi="lt-LT"/>
        </w:rPr>
        <w:t>in</w:t>
      </w:r>
      <w:r>
        <w:rPr>
          <w:rFonts w:eastAsia="Calibri"/>
          <w:b w:val="0"/>
          <w:noProof/>
          <w:sz w:val="24"/>
          <w:szCs w:val="24"/>
          <w:lang w:bidi="lt-LT"/>
        </w:rPr>
        <w:t>kaujanti Rumunija toliau stengsis modernizuoti e.prekybos PVM siste</w:t>
      </w:r>
      <w:r w:rsidR="006A5604">
        <w:rPr>
          <w:rFonts w:eastAsia="Calibri"/>
          <w:b w:val="0"/>
          <w:noProof/>
          <w:sz w:val="24"/>
          <w:szCs w:val="24"/>
          <w:lang w:bidi="lt-LT"/>
        </w:rPr>
        <w:t>mą, bus tę</w:t>
      </w:r>
      <w:r>
        <w:rPr>
          <w:rFonts w:eastAsia="Calibri"/>
          <w:b w:val="0"/>
          <w:noProof/>
          <w:sz w:val="24"/>
          <w:szCs w:val="24"/>
          <w:lang w:bidi="lt-LT"/>
        </w:rPr>
        <w:t>siamos diskusijos dėl bendros pelno mokesčio bazės</w:t>
      </w:r>
      <w:r w:rsidR="006A5604">
        <w:rPr>
          <w:rFonts w:eastAsia="Calibri"/>
          <w:b w:val="0"/>
          <w:noProof/>
          <w:sz w:val="24"/>
          <w:szCs w:val="24"/>
          <w:lang w:bidi="lt-LT"/>
        </w:rPr>
        <w:t>, bus rengiami pasiūlymai dėl skaitmeninės ekonomikos apmokestinimo, planuojama baigti derybas dėl naujų Komisijos pasiūlymų dėl akcizų paketo, taip pat bus siekama atnaujinti ES nebendradarbiaujančių jurisdikcijų mokesčių srityje sąrašą.</w:t>
      </w:r>
    </w:p>
    <w:p w:rsidR="00676CED" w:rsidRPr="00687257" w:rsidRDefault="006A5604" w:rsidP="00725FE5">
      <w:pPr>
        <w:pStyle w:val="Antrat1"/>
        <w:shd w:val="clear" w:color="auto" w:fill="FFFFFF"/>
        <w:spacing w:before="0" w:beforeAutospacing="0" w:after="0" w:afterAutospacing="0"/>
        <w:jc w:val="both"/>
        <w:textAlignment w:val="baseline"/>
        <w:rPr>
          <w:rFonts w:eastAsia="Calibri"/>
          <w:b w:val="0"/>
          <w:noProof/>
          <w:sz w:val="24"/>
          <w:szCs w:val="24"/>
          <w:lang w:bidi="lt-LT"/>
        </w:rPr>
      </w:pPr>
      <w:r w:rsidRPr="006A5604">
        <w:rPr>
          <w:rFonts w:eastAsia="Calibri"/>
          <w:b w:val="0"/>
          <w:noProof/>
          <w:sz w:val="24"/>
          <w:szCs w:val="24"/>
          <w:lang w:bidi="lt-LT"/>
        </w:rPr>
        <w:t>Rumunija</w:t>
      </w:r>
      <w:r w:rsidR="00D93099">
        <w:rPr>
          <w:rFonts w:eastAsia="Calibri"/>
          <w:b w:val="0"/>
          <w:noProof/>
          <w:sz w:val="24"/>
          <w:szCs w:val="24"/>
          <w:lang w:bidi="lt-LT"/>
        </w:rPr>
        <w:t xml:space="preserve"> taip pat planuoja pradėti</w:t>
      </w:r>
      <w:r w:rsidR="00B249C7">
        <w:rPr>
          <w:rFonts w:eastAsia="Calibri"/>
          <w:b w:val="0"/>
          <w:noProof/>
          <w:sz w:val="24"/>
          <w:szCs w:val="24"/>
          <w:lang w:bidi="lt-LT"/>
        </w:rPr>
        <w:t xml:space="preserve"> diskusijas dėl </w:t>
      </w:r>
      <w:r w:rsidR="00D93099">
        <w:rPr>
          <w:rFonts w:eastAsia="Calibri"/>
          <w:b w:val="0"/>
          <w:noProof/>
          <w:sz w:val="24"/>
          <w:szCs w:val="24"/>
          <w:lang w:bidi="lt-LT"/>
        </w:rPr>
        <w:t xml:space="preserve">EK pasiūlymo dėl </w:t>
      </w:r>
      <w:r w:rsidR="00B249C7">
        <w:rPr>
          <w:rFonts w:eastAsia="Calibri"/>
          <w:b w:val="0"/>
          <w:noProof/>
          <w:sz w:val="24"/>
          <w:szCs w:val="24"/>
          <w:lang w:bidi="lt-LT"/>
        </w:rPr>
        <w:t>R</w:t>
      </w:r>
      <w:r w:rsidRPr="006A5604">
        <w:rPr>
          <w:rFonts w:eastAsia="Calibri"/>
          <w:b w:val="0"/>
          <w:noProof/>
          <w:sz w:val="24"/>
          <w:szCs w:val="24"/>
          <w:lang w:bidi="lt-LT"/>
        </w:rPr>
        <w:t xml:space="preserve">eformos </w:t>
      </w:r>
      <w:r w:rsidR="00B249C7">
        <w:rPr>
          <w:rFonts w:eastAsia="Calibri"/>
          <w:b w:val="0"/>
          <w:noProof/>
          <w:sz w:val="24"/>
          <w:szCs w:val="24"/>
          <w:lang w:bidi="lt-LT"/>
        </w:rPr>
        <w:t>rėmimo</w:t>
      </w:r>
      <w:r w:rsidR="00D93099">
        <w:rPr>
          <w:rFonts w:eastAsia="Calibri"/>
          <w:b w:val="0"/>
          <w:noProof/>
          <w:sz w:val="24"/>
          <w:szCs w:val="24"/>
          <w:lang w:bidi="lt-LT"/>
        </w:rPr>
        <w:t xml:space="preserve"> programos kitoje Daugiametėje finansinėje programoje bei paspartinti derybas </w:t>
      </w:r>
      <w:r w:rsidRPr="006A5604">
        <w:rPr>
          <w:rFonts w:eastAsia="Calibri"/>
          <w:b w:val="0"/>
          <w:noProof/>
          <w:sz w:val="24"/>
          <w:szCs w:val="24"/>
          <w:lang w:bidi="lt-LT"/>
        </w:rPr>
        <w:t xml:space="preserve">dėl </w:t>
      </w:r>
      <w:r w:rsidR="001B180A">
        <w:rPr>
          <w:rFonts w:eastAsia="Calibri"/>
          <w:b w:val="0"/>
          <w:noProof/>
          <w:sz w:val="24"/>
          <w:szCs w:val="24"/>
          <w:lang w:bidi="lt-LT"/>
        </w:rPr>
        <w:t>„</w:t>
      </w:r>
      <w:r w:rsidRPr="006A5604">
        <w:rPr>
          <w:rFonts w:eastAsia="Calibri"/>
          <w:b w:val="0"/>
          <w:noProof/>
          <w:sz w:val="24"/>
          <w:szCs w:val="24"/>
          <w:lang w:bidi="lt-LT"/>
        </w:rPr>
        <w:t>InvestEU</w:t>
      </w:r>
      <w:r w:rsidR="001B180A">
        <w:rPr>
          <w:rFonts w:eastAsia="Calibri"/>
          <w:b w:val="0"/>
          <w:noProof/>
          <w:sz w:val="24"/>
          <w:szCs w:val="24"/>
          <w:lang w:bidi="lt-LT"/>
        </w:rPr>
        <w:t>“</w:t>
      </w:r>
      <w:r w:rsidR="00D93099">
        <w:rPr>
          <w:rFonts w:eastAsia="Calibri"/>
          <w:b w:val="0"/>
          <w:noProof/>
          <w:sz w:val="24"/>
          <w:szCs w:val="24"/>
          <w:lang w:bidi="lt-LT"/>
        </w:rPr>
        <w:t xml:space="preserve"> programos.</w:t>
      </w:r>
      <w:r w:rsidRPr="006A5604">
        <w:rPr>
          <w:rFonts w:eastAsia="Calibri"/>
          <w:b w:val="0"/>
          <w:noProof/>
          <w:sz w:val="24"/>
          <w:szCs w:val="24"/>
          <w:lang w:bidi="lt-LT"/>
        </w:rPr>
        <w:t xml:space="preserve"> </w:t>
      </w:r>
    </w:p>
    <w:p w:rsidR="0084520E" w:rsidRPr="00775F92" w:rsidRDefault="0084520E" w:rsidP="00725FE5">
      <w:pPr>
        <w:spacing w:after="0" w:line="240" w:lineRule="auto"/>
        <w:jc w:val="both"/>
        <w:rPr>
          <w:rFonts w:eastAsia="Calibri"/>
          <w:noProof/>
          <w:lang w:bidi="lt-LT"/>
        </w:rPr>
      </w:pPr>
      <w:r w:rsidRPr="00F9477C">
        <w:rPr>
          <w:b/>
          <w:szCs w:val="24"/>
          <w:u w:val="single"/>
        </w:rPr>
        <w:t>Lietuvos pozicija.</w:t>
      </w:r>
      <w:r>
        <w:rPr>
          <w:szCs w:val="24"/>
        </w:rPr>
        <w:t xml:space="preserve"> </w:t>
      </w:r>
      <w:r w:rsidRPr="00775F92">
        <w:rPr>
          <w:rFonts w:eastAsia="Calibri"/>
          <w:noProof/>
          <w:lang w:bidi="lt-LT"/>
        </w:rPr>
        <w:t xml:space="preserve">Sveikiname </w:t>
      </w:r>
      <w:r w:rsidR="00687257">
        <w:rPr>
          <w:rFonts w:eastAsia="Calibri"/>
          <w:noProof/>
          <w:lang w:bidi="lt-LT"/>
        </w:rPr>
        <w:t>Rumuniją</w:t>
      </w:r>
      <w:r w:rsidRPr="00775F92">
        <w:rPr>
          <w:rFonts w:eastAsia="Calibri"/>
          <w:noProof/>
          <w:lang w:bidi="lt-LT"/>
        </w:rPr>
        <w:t xml:space="preserve"> perėmus pirmininkavimą ES Tarybai. Tikimės, kad užsibrėžti tikslai bus sėkmingai įgyvendinti.</w:t>
      </w:r>
    </w:p>
    <w:p w:rsidR="00B249C7" w:rsidRDefault="00B249C7" w:rsidP="00523C46">
      <w:pPr>
        <w:widowControl w:val="0"/>
        <w:spacing w:after="0" w:line="240" w:lineRule="auto"/>
        <w:jc w:val="both"/>
        <w:rPr>
          <w:b/>
          <w:color w:val="000000" w:themeColor="text1"/>
          <w:szCs w:val="24"/>
          <w:u w:val="single"/>
        </w:rPr>
      </w:pPr>
    </w:p>
    <w:p w:rsidR="00B249C7" w:rsidRDefault="00B249C7" w:rsidP="00523C46">
      <w:pPr>
        <w:widowControl w:val="0"/>
        <w:spacing w:after="0" w:line="240" w:lineRule="auto"/>
        <w:jc w:val="both"/>
        <w:rPr>
          <w:b/>
          <w:color w:val="000000" w:themeColor="text1"/>
          <w:szCs w:val="24"/>
          <w:u w:val="single"/>
        </w:rPr>
      </w:pPr>
    </w:p>
    <w:p w:rsidR="0084520E" w:rsidRPr="00D051D1" w:rsidRDefault="0084520E" w:rsidP="0084520E">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cs="Times New Roman"/>
          <w:iCs/>
          <w:szCs w:val="24"/>
        </w:rPr>
      </w:pPr>
      <w:r>
        <w:rPr>
          <w:b/>
          <w:color w:val="000000" w:themeColor="text1"/>
          <w:szCs w:val="24"/>
        </w:rPr>
        <w:t>2019 m. Europos semestras</w:t>
      </w:r>
      <w:r>
        <w:rPr>
          <w:b/>
          <w:szCs w:val="24"/>
        </w:rPr>
        <w:t xml:space="preserve"> </w:t>
      </w:r>
    </w:p>
    <w:p w:rsidR="0084520E" w:rsidRDefault="0084520E" w:rsidP="0084520E">
      <w:pPr>
        <w:spacing w:after="0" w:line="240" w:lineRule="auto"/>
        <w:contextualSpacing/>
        <w:jc w:val="both"/>
        <w:rPr>
          <w:rFonts w:cs="Times New Roman"/>
          <w:b/>
          <w:sz w:val="26"/>
          <w:szCs w:val="26"/>
        </w:rPr>
      </w:pPr>
    </w:p>
    <w:p w:rsidR="0084520E" w:rsidRDefault="0084520E" w:rsidP="0084520E">
      <w:pPr>
        <w:spacing w:after="0" w:line="240" w:lineRule="auto"/>
        <w:contextualSpacing/>
        <w:jc w:val="both"/>
        <w:rPr>
          <w:rFonts w:cs="Times New Roman"/>
          <w:szCs w:val="24"/>
        </w:rPr>
      </w:pPr>
      <w:r w:rsidRPr="0084520E">
        <w:rPr>
          <w:rFonts w:cs="Times New Roman"/>
          <w:b/>
          <w:szCs w:val="24"/>
        </w:rPr>
        <w:t>Tarybos išvadų projektas dėl Metinės augimo apžvalgos</w:t>
      </w:r>
      <w:r>
        <w:rPr>
          <w:rFonts w:cs="Times New Roman"/>
          <w:b/>
          <w:szCs w:val="24"/>
        </w:rPr>
        <w:t xml:space="preserve"> </w:t>
      </w:r>
      <w:r>
        <w:rPr>
          <w:rFonts w:cs="Times New Roman"/>
          <w:i/>
          <w:szCs w:val="24"/>
        </w:rPr>
        <w:t>(priėmimas)</w:t>
      </w:r>
    </w:p>
    <w:p w:rsidR="0084520E" w:rsidRPr="0084520E" w:rsidRDefault="0084520E" w:rsidP="0084520E">
      <w:pPr>
        <w:spacing w:after="0" w:line="240" w:lineRule="auto"/>
        <w:contextualSpacing/>
        <w:jc w:val="both"/>
        <w:rPr>
          <w:rFonts w:cs="Times New Roman"/>
          <w:szCs w:val="24"/>
        </w:rPr>
      </w:pPr>
      <w:r w:rsidRPr="0084520E">
        <w:rPr>
          <w:rFonts w:cs="Times New Roman"/>
          <w:b/>
          <w:szCs w:val="24"/>
          <w:u w:val="single"/>
        </w:rPr>
        <w:t>Klausimo esmė.</w:t>
      </w:r>
      <w:r w:rsidRPr="0084520E">
        <w:rPr>
          <w:rFonts w:cs="Times New Roman"/>
          <w:b/>
          <w:szCs w:val="24"/>
        </w:rPr>
        <w:t xml:space="preserve"> </w:t>
      </w:r>
      <w:r w:rsidRPr="0084520E">
        <w:rPr>
          <w:rFonts w:cs="Times New Roman"/>
          <w:szCs w:val="24"/>
        </w:rPr>
        <w:t>Taryba sveikina Komisijos Metinę augimo apžvalgą. Iš esmės pritaria Komisijos analizei dėl pagrindinių politikos prioritetų 2019 m.: aukštos kokybės investicijos, reformos nukreiptos į produktyvumo augimą, įtrauka ir institucinė kokybė, makroekonominis stabilumas ir tvarūs viešieji finansai. Sveikina tai, kad šioje Metinėje augimo apžvalgoje pažymima integracinio augimo svarba. Jam būtinas: atlyginimų augimas dėl aukštesnio produktyvumo; sąžiningos ir efektyvios mokesčių ir išmokų sistemos; geresnis kokybiškų sveikatos apsaugos, vaikų priežiūros ir ilgalaikės slaugos paslaugų prieinamumas.</w:t>
      </w:r>
    </w:p>
    <w:p w:rsidR="0084520E" w:rsidRPr="0084520E" w:rsidRDefault="0084520E" w:rsidP="0084520E">
      <w:pPr>
        <w:spacing w:after="0" w:line="240" w:lineRule="auto"/>
        <w:contextualSpacing/>
        <w:jc w:val="both"/>
        <w:rPr>
          <w:rFonts w:cs="Times New Roman"/>
          <w:b/>
          <w:szCs w:val="24"/>
        </w:rPr>
      </w:pPr>
      <w:r w:rsidRPr="0084520E">
        <w:rPr>
          <w:rFonts w:cs="Times New Roman"/>
          <w:b/>
          <w:szCs w:val="24"/>
          <w:u w:val="single"/>
        </w:rPr>
        <w:t>Lietuvos pozicija.</w:t>
      </w:r>
      <w:r w:rsidRPr="0084520E">
        <w:rPr>
          <w:rFonts w:cs="Times New Roman"/>
          <w:b/>
          <w:szCs w:val="24"/>
        </w:rPr>
        <w:t xml:space="preserve"> </w:t>
      </w:r>
      <w:r w:rsidRPr="0084520E">
        <w:rPr>
          <w:rFonts w:cs="Times New Roman"/>
          <w:szCs w:val="24"/>
        </w:rPr>
        <w:t>Pritariame Tarybos išvadų projektui dėl Metinės augimo apžvalgos.</w:t>
      </w:r>
    </w:p>
    <w:p w:rsidR="0084520E" w:rsidRPr="0084520E" w:rsidRDefault="0084520E" w:rsidP="0084520E">
      <w:pPr>
        <w:spacing w:after="0" w:line="240" w:lineRule="auto"/>
        <w:contextualSpacing/>
        <w:jc w:val="both"/>
        <w:rPr>
          <w:rFonts w:cs="Times New Roman"/>
          <w:b/>
          <w:szCs w:val="24"/>
        </w:rPr>
      </w:pPr>
    </w:p>
    <w:p w:rsidR="0084520E" w:rsidRDefault="0084520E" w:rsidP="0084520E">
      <w:pPr>
        <w:spacing w:after="0" w:line="240" w:lineRule="auto"/>
        <w:contextualSpacing/>
        <w:jc w:val="both"/>
        <w:rPr>
          <w:rFonts w:cs="Times New Roman"/>
          <w:b/>
          <w:szCs w:val="24"/>
        </w:rPr>
      </w:pPr>
      <w:r w:rsidRPr="0084520E">
        <w:rPr>
          <w:rFonts w:cs="Times New Roman"/>
          <w:b/>
          <w:szCs w:val="24"/>
        </w:rPr>
        <w:t>Tarybos išvadų projektas dėl</w:t>
      </w:r>
      <w:r>
        <w:rPr>
          <w:rFonts w:cs="Times New Roman"/>
          <w:b/>
          <w:szCs w:val="24"/>
        </w:rPr>
        <w:t xml:space="preserve"> Įspėjimo mechanizmo ataskaitos </w:t>
      </w:r>
      <w:r>
        <w:rPr>
          <w:rFonts w:cs="Times New Roman"/>
          <w:i/>
          <w:szCs w:val="24"/>
        </w:rPr>
        <w:t>(priėmimas)</w:t>
      </w:r>
    </w:p>
    <w:p w:rsidR="0084520E" w:rsidRPr="0084520E" w:rsidRDefault="0084520E" w:rsidP="0084520E">
      <w:pPr>
        <w:spacing w:after="0" w:line="240" w:lineRule="auto"/>
        <w:contextualSpacing/>
        <w:jc w:val="both"/>
        <w:rPr>
          <w:rFonts w:cs="Times New Roman"/>
          <w:szCs w:val="24"/>
        </w:rPr>
      </w:pPr>
      <w:r w:rsidRPr="0084520E">
        <w:rPr>
          <w:rFonts w:cs="Times New Roman"/>
          <w:b/>
          <w:szCs w:val="24"/>
          <w:u w:val="single"/>
        </w:rPr>
        <w:t>Klausimo esmė</w:t>
      </w:r>
      <w:r w:rsidRPr="0084520E">
        <w:rPr>
          <w:rFonts w:cs="Times New Roman"/>
          <w:szCs w:val="24"/>
        </w:rPr>
        <w:t xml:space="preserve"> Taryba sveikina Komisijos Įspėjimo mechanizmo ataskaitą. Iš esmės sutinka su Komisijos horizontalia analize. Sveikina esamų </w:t>
      </w:r>
      <w:proofErr w:type="spellStart"/>
      <w:r w:rsidRPr="0084520E">
        <w:rPr>
          <w:rFonts w:cs="Times New Roman"/>
          <w:szCs w:val="24"/>
        </w:rPr>
        <w:t>disbalansų</w:t>
      </w:r>
      <w:proofErr w:type="spellEnd"/>
      <w:r w:rsidRPr="0084520E">
        <w:rPr>
          <w:rFonts w:cs="Times New Roman"/>
          <w:szCs w:val="24"/>
        </w:rPr>
        <w:t xml:space="preserve"> korekciją. Pažymi vis labiau neapibrėžtą makroekonominę aplinką ir galimas netvarias tendencijas kai kuriose VN. Pakartoja, kad MIP turi būti išnaudojama pilnai, įskatinat </w:t>
      </w:r>
      <w:proofErr w:type="spellStart"/>
      <w:r w:rsidRPr="0084520E">
        <w:rPr>
          <w:rFonts w:cs="Times New Roman"/>
          <w:szCs w:val="24"/>
        </w:rPr>
        <w:t>perviršinio</w:t>
      </w:r>
      <w:proofErr w:type="spellEnd"/>
      <w:r w:rsidRPr="0084520E">
        <w:rPr>
          <w:rFonts w:cs="Times New Roman"/>
          <w:szCs w:val="24"/>
        </w:rPr>
        <w:t xml:space="preserve"> disbalanso procedūros naudojimą kur reikia. Pakartotinai pabrėžia, kad esant atvejui kuomet </w:t>
      </w:r>
      <w:proofErr w:type="spellStart"/>
      <w:r w:rsidRPr="0084520E">
        <w:rPr>
          <w:rFonts w:cs="Times New Roman"/>
          <w:szCs w:val="24"/>
        </w:rPr>
        <w:t>perviršinio</w:t>
      </w:r>
      <w:proofErr w:type="spellEnd"/>
      <w:r w:rsidRPr="0084520E">
        <w:rPr>
          <w:rFonts w:cs="Times New Roman"/>
          <w:szCs w:val="24"/>
        </w:rPr>
        <w:t xml:space="preserve"> disbalanso procedūra yra nepradedama VN turinčiai </w:t>
      </w:r>
      <w:proofErr w:type="spellStart"/>
      <w:r w:rsidRPr="0084520E">
        <w:rPr>
          <w:rFonts w:cs="Times New Roman"/>
          <w:szCs w:val="24"/>
        </w:rPr>
        <w:t>perviršinį</w:t>
      </w:r>
      <w:proofErr w:type="spellEnd"/>
      <w:r w:rsidRPr="0084520E">
        <w:rPr>
          <w:rFonts w:cs="Times New Roman"/>
          <w:szCs w:val="24"/>
        </w:rPr>
        <w:t xml:space="preserve"> disbalansą</w:t>
      </w:r>
      <w:r w:rsidR="00960522">
        <w:rPr>
          <w:rFonts w:cs="Times New Roman"/>
          <w:szCs w:val="24"/>
        </w:rPr>
        <w:t>,</w:t>
      </w:r>
      <w:r w:rsidRPr="0084520E">
        <w:rPr>
          <w:rFonts w:cs="Times New Roman"/>
          <w:szCs w:val="24"/>
        </w:rPr>
        <w:t xml:space="preserve"> Komisija turėtų aiškiai ir viešai paaiškinti savo sprendimo priežastis.</w:t>
      </w:r>
    </w:p>
    <w:p w:rsidR="0084520E" w:rsidRPr="0084520E" w:rsidRDefault="0084520E" w:rsidP="0084520E">
      <w:pPr>
        <w:spacing w:after="0" w:line="240" w:lineRule="auto"/>
        <w:contextualSpacing/>
        <w:jc w:val="both"/>
        <w:rPr>
          <w:rFonts w:cs="Times New Roman"/>
          <w:b/>
          <w:szCs w:val="24"/>
        </w:rPr>
      </w:pPr>
      <w:r w:rsidRPr="0084520E">
        <w:rPr>
          <w:rFonts w:cs="Times New Roman"/>
          <w:b/>
          <w:szCs w:val="24"/>
          <w:u w:val="single"/>
        </w:rPr>
        <w:t>Lietuvos pozicija.</w:t>
      </w:r>
      <w:r w:rsidRPr="0084520E">
        <w:rPr>
          <w:rFonts w:cs="Times New Roman"/>
          <w:b/>
          <w:szCs w:val="24"/>
        </w:rPr>
        <w:t xml:space="preserve"> </w:t>
      </w:r>
      <w:r w:rsidRPr="0084520E">
        <w:rPr>
          <w:rFonts w:cs="Times New Roman"/>
          <w:szCs w:val="24"/>
        </w:rPr>
        <w:t>Pritariame Tarybos išvadų projektui dėl Įspėjimo mechanizmo ataskaitos.</w:t>
      </w:r>
    </w:p>
    <w:p w:rsidR="0084520E" w:rsidRPr="0084520E" w:rsidRDefault="0084520E" w:rsidP="0084520E">
      <w:pPr>
        <w:spacing w:after="0" w:line="240" w:lineRule="auto"/>
        <w:contextualSpacing/>
        <w:jc w:val="both"/>
        <w:rPr>
          <w:rFonts w:cs="Times New Roman"/>
          <w:b/>
          <w:szCs w:val="24"/>
        </w:rPr>
      </w:pPr>
    </w:p>
    <w:p w:rsidR="0084520E" w:rsidRDefault="0084520E" w:rsidP="0084520E">
      <w:pPr>
        <w:spacing w:after="0" w:line="240" w:lineRule="auto"/>
        <w:contextualSpacing/>
        <w:rPr>
          <w:rFonts w:cs="Times New Roman"/>
          <w:i/>
          <w:szCs w:val="24"/>
        </w:rPr>
      </w:pPr>
      <w:r w:rsidRPr="0084520E">
        <w:rPr>
          <w:rFonts w:cs="Times New Roman"/>
          <w:b/>
          <w:szCs w:val="24"/>
        </w:rPr>
        <w:t>Tarybos rekomendacijų Euro zonai projektas</w:t>
      </w:r>
      <w:r>
        <w:rPr>
          <w:rFonts w:cs="Times New Roman"/>
          <w:b/>
          <w:szCs w:val="24"/>
        </w:rPr>
        <w:t xml:space="preserve"> </w:t>
      </w:r>
      <w:r w:rsidRPr="0084520E">
        <w:rPr>
          <w:rFonts w:cs="Times New Roman"/>
          <w:i/>
          <w:szCs w:val="24"/>
        </w:rPr>
        <w:t>(patvirtinimas)</w:t>
      </w:r>
      <w:r w:rsidR="00960522">
        <w:rPr>
          <w:rFonts w:cs="Times New Roman"/>
          <w:i/>
          <w:szCs w:val="24"/>
        </w:rPr>
        <w:t>. [Žr. prie Euro grupės pažymos]</w:t>
      </w:r>
    </w:p>
    <w:p w:rsidR="00960522" w:rsidRDefault="00960522" w:rsidP="0084520E">
      <w:pPr>
        <w:spacing w:after="0" w:line="240" w:lineRule="auto"/>
        <w:contextualSpacing/>
        <w:rPr>
          <w:rFonts w:cs="Times New Roman"/>
          <w:i/>
          <w:szCs w:val="24"/>
        </w:rPr>
      </w:pPr>
    </w:p>
    <w:p w:rsidR="00634DF1" w:rsidRDefault="00634DF1" w:rsidP="0084520E">
      <w:pPr>
        <w:spacing w:after="0" w:line="240" w:lineRule="auto"/>
        <w:contextualSpacing/>
        <w:rPr>
          <w:rFonts w:cs="Times New Roman"/>
          <w:i/>
          <w:szCs w:val="24"/>
        </w:rPr>
      </w:pPr>
    </w:p>
    <w:p w:rsidR="00960522" w:rsidRPr="00960522" w:rsidRDefault="003B7DA9" w:rsidP="00960522">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i/>
          <w:szCs w:val="24"/>
        </w:rPr>
      </w:pPr>
      <w:r>
        <w:rPr>
          <w:b/>
          <w:szCs w:val="24"/>
        </w:rPr>
        <w:t>Europos V</w:t>
      </w:r>
      <w:r w:rsidR="00960522">
        <w:rPr>
          <w:b/>
          <w:szCs w:val="24"/>
        </w:rPr>
        <w:t xml:space="preserve">adovų tarybos (EVT) išvados </w:t>
      </w:r>
      <w:r w:rsidR="00960522">
        <w:rPr>
          <w:i/>
          <w:szCs w:val="24"/>
        </w:rPr>
        <w:t>(apsikeitimas nuomonėmis)</w:t>
      </w:r>
    </w:p>
    <w:p w:rsidR="00523C46" w:rsidRDefault="00960522" w:rsidP="00960522">
      <w:pPr>
        <w:spacing w:after="0" w:line="240" w:lineRule="auto"/>
        <w:rPr>
          <w:rFonts w:eastAsia="Calibri" w:cs="Times New Roman"/>
          <w:b/>
          <w:color w:val="000000"/>
          <w:szCs w:val="24"/>
        </w:rPr>
      </w:pPr>
      <w:r>
        <w:rPr>
          <w:rFonts w:cs="Times New Roman"/>
          <w:i/>
          <w:szCs w:val="24"/>
        </w:rPr>
        <w:t>[Žr. prie Euro grupės pažymos]</w:t>
      </w:r>
    </w:p>
    <w:p w:rsidR="00523C46" w:rsidRDefault="00523C46" w:rsidP="001517F4">
      <w:pPr>
        <w:spacing w:after="0" w:line="240" w:lineRule="auto"/>
        <w:jc w:val="center"/>
        <w:rPr>
          <w:rFonts w:eastAsia="Calibri" w:cs="Times New Roman"/>
          <w:b/>
          <w:color w:val="000000"/>
          <w:szCs w:val="24"/>
        </w:rPr>
      </w:pPr>
    </w:p>
    <w:p w:rsidR="00960522" w:rsidRDefault="00960522" w:rsidP="001517F4">
      <w:pPr>
        <w:spacing w:after="0" w:line="240" w:lineRule="auto"/>
        <w:jc w:val="center"/>
        <w:rPr>
          <w:rFonts w:eastAsia="Calibri" w:cs="Times New Roman"/>
          <w:b/>
          <w:color w:val="000000"/>
          <w:szCs w:val="24"/>
        </w:rPr>
      </w:pPr>
    </w:p>
    <w:p w:rsidR="00634DF1" w:rsidRDefault="00634DF1" w:rsidP="001517F4">
      <w:pPr>
        <w:spacing w:after="0" w:line="240" w:lineRule="auto"/>
        <w:jc w:val="center"/>
        <w:rPr>
          <w:rFonts w:eastAsia="Calibri" w:cs="Times New Roman"/>
          <w:b/>
          <w:color w:val="000000"/>
          <w:szCs w:val="24"/>
        </w:rPr>
      </w:pPr>
    </w:p>
    <w:p w:rsidR="002907CC" w:rsidRPr="002907CC" w:rsidRDefault="002907CC" w:rsidP="001517F4">
      <w:pPr>
        <w:spacing w:after="0" w:line="240" w:lineRule="auto"/>
        <w:jc w:val="center"/>
        <w:rPr>
          <w:rFonts w:eastAsia="Calibri" w:cs="Times New Roman"/>
          <w:b/>
          <w:color w:val="000000"/>
          <w:szCs w:val="24"/>
        </w:rPr>
      </w:pPr>
      <w:r w:rsidRPr="002907CC">
        <w:rPr>
          <w:rFonts w:eastAsia="Calibri" w:cs="Times New Roman"/>
          <w:b/>
          <w:color w:val="000000"/>
          <w:szCs w:val="24"/>
        </w:rPr>
        <w:lastRenderedPageBreak/>
        <w:t xml:space="preserve">PAŽYMA dėl š.m. </w:t>
      </w:r>
      <w:r w:rsidR="00DD2CB1">
        <w:rPr>
          <w:rFonts w:eastAsia="Calibri" w:cs="Times New Roman"/>
          <w:b/>
          <w:color w:val="000000"/>
          <w:szCs w:val="24"/>
        </w:rPr>
        <w:t>sausio</w:t>
      </w:r>
      <w:r w:rsidR="005C1381">
        <w:rPr>
          <w:rFonts w:eastAsia="Calibri" w:cs="Times New Roman"/>
          <w:b/>
          <w:color w:val="000000"/>
          <w:szCs w:val="24"/>
        </w:rPr>
        <w:t xml:space="preserve"> </w:t>
      </w:r>
      <w:r w:rsidR="00DD2CB1">
        <w:rPr>
          <w:rFonts w:eastAsia="Calibri" w:cs="Times New Roman"/>
          <w:b/>
          <w:color w:val="000000"/>
          <w:szCs w:val="24"/>
        </w:rPr>
        <w:t>21</w:t>
      </w:r>
      <w:r w:rsidRPr="002907CC">
        <w:rPr>
          <w:rFonts w:eastAsia="Calibri" w:cs="Times New Roman"/>
          <w:b/>
          <w:color w:val="000000"/>
          <w:szCs w:val="24"/>
        </w:rPr>
        <w:t xml:space="preserve"> d. EURO GRUPĖS klausimų</w:t>
      </w:r>
    </w:p>
    <w:p w:rsidR="002907CC" w:rsidRDefault="002907CC" w:rsidP="00F725F9">
      <w:pPr>
        <w:tabs>
          <w:tab w:val="left" w:pos="709"/>
        </w:tabs>
        <w:autoSpaceDE w:val="0"/>
        <w:autoSpaceDN w:val="0"/>
        <w:adjustRightInd w:val="0"/>
        <w:spacing w:after="0" w:line="240" w:lineRule="auto"/>
        <w:jc w:val="both"/>
        <w:rPr>
          <w:rFonts w:cs="Times New Roman"/>
          <w:color w:val="000000"/>
          <w:szCs w:val="24"/>
        </w:rPr>
      </w:pPr>
    </w:p>
    <w:p w:rsidR="00725FE5" w:rsidRDefault="00725FE5" w:rsidP="00F725F9">
      <w:pPr>
        <w:tabs>
          <w:tab w:val="left" w:pos="709"/>
        </w:tabs>
        <w:autoSpaceDE w:val="0"/>
        <w:autoSpaceDN w:val="0"/>
        <w:adjustRightInd w:val="0"/>
        <w:spacing w:after="0" w:line="240" w:lineRule="auto"/>
        <w:jc w:val="both"/>
        <w:rPr>
          <w:rFonts w:cs="Times New Roman"/>
          <w:color w:val="000000"/>
          <w:szCs w:val="24"/>
        </w:rPr>
      </w:pPr>
    </w:p>
    <w:p w:rsidR="00646CDD" w:rsidRPr="00DD2CB1" w:rsidRDefault="00DD2CB1" w:rsidP="00F725F9">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DD2CB1">
        <w:rPr>
          <w:rFonts w:cs="Times New Roman"/>
          <w:b/>
          <w:color w:val="000000"/>
          <w:szCs w:val="24"/>
        </w:rPr>
        <w:t xml:space="preserve">Tarybos rekomendacijos </w:t>
      </w:r>
      <w:r w:rsidR="00F725F9">
        <w:rPr>
          <w:rFonts w:cs="Times New Roman"/>
          <w:b/>
          <w:color w:val="000000"/>
          <w:szCs w:val="24"/>
        </w:rPr>
        <w:t>e</w:t>
      </w:r>
      <w:r w:rsidRPr="00DD2CB1">
        <w:rPr>
          <w:rFonts w:cs="Times New Roman"/>
          <w:b/>
          <w:color w:val="000000"/>
          <w:szCs w:val="24"/>
        </w:rPr>
        <w:t>uro zonai</w:t>
      </w:r>
    </w:p>
    <w:p w:rsidR="007668C2" w:rsidRDefault="007668C2" w:rsidP="00F725F9">
      <w:pPr>
        <w:spacing w:after="0" w:line="240" w:lineRule="auto"/>
        <w:jc w:val="both"/>
        <w:rPr>
          <w:rFonts w:eastAsia="Calibri" w:cs="Times New Roman"/>
          <w:iCs/>
        </w:rPr>
      </w:pPr>
    </w:p>
    <w:p w:rsidR="00863C8A" w:rsidRPr="008F18CC" w:rsidRDefault="00315CA2" w:rsidP="00F725F9">
      <w:pPr>
        <w:spacing w:after="0" w:line="240" w:lineRule="auto"/>
        <w:jc w:val="both"/>
        <w:rPr>
          <w:rFonts w:eastAsia="Calibri" w:cs="Times New Roman"/>
          <w:iCs/>
        </w:rPr>
      </w:pPr>
      <w:r w:rsidRPr="0084520E">
        <w:rPr>
          <w:rFonts w:cs="Times New Roman"/>
          <w:b/>
          <w:szCs w:val="24"/>
          <w:u w:val="single"/>
        </w:rPr>
        <w:t>Klausimo esmė.</w:t>
      </w:r>
      <w:r w:rsidRPr="0084520E">
        <w:rPr>
          <w:rFonts w:cs="Times New Roman"/>
          <w:b/>
          <w:szCs w:val="24"/>
        </w:rPr>
        <w:t xml:space="preserve"> </w:t>
      </w:r>
    </w:p>
    <w:p w:rsidR="00DD2CB1" w:rsidRPr="00DD2CB1" w:rsidRDefault="00DD2CB1" w:rsidP="00F725F9">
      <w:pPr>
        <w:tabs>
          <w:tab w:val="left" w:pos="284"/>
        </w:tabs>
        <w:spacing w:after="0" w:line="240" w:lineRule="auto"/>
        <w:jc w:val="both"/>
        <w:rPr>
          <w:rFonts w:cs="Times New Roman"/>
          <w:color w:val="000000"/>
          <w:szCs w:val="24"/>
        </w:rPr>
      </w:pPr>
      <w:r w:rsidRPr="00DD2CB1">
        <w:rPr>
          <w:rFonts w:cs="Times New Roman"/>
          <w:color w:val="000000"/>
          <w:szCs w:val="24"/>
        </w:rPr>
        <w:t>1.</w:t>
      </w:r>
      <w:r w:rsidRPr="00DD2CB1">
        <w:rPr>
          <w:rFonts w:cs="Times New Roman"/>
          <w:color w:val="000000"/>
          <w:szCs w:val="24"/>
        </w:rPr>
        <w:tab/>
        <w:t xml:space="preserve">Stiprinti bendrą rinką, gerinti verslo aplinką, institucijų kokybę ir imtis atsparumą didinančių prekių ir paslaugų rinkų reformų. </w:t>
      </w:r>
    </w:p>
    <w:p w:rsidR="00DD2CB1" w:rsidRPr="00DD2CB1" w:rsidRDefault="00DD2CB1" w:rsidP="00F725F9">
      <w:pPr>
        <w:tabs>
          <w:tab w:val="left" w:pos="284"/>
        </w:tabs>
        <w:spacing w:after="0" w:line="240" w:lineRule="auto"/>
        <w:jc w:val="both"/>
        <w:rPr>
          <w:rFonts w:cs="Times New Roman"/>
          <w:color w:val="000000"/>
          <w:szCs w:val="24"/>
        </w:rPr>
      </w:pPr>
      <w:r w:rsidRPr="00DD2CB1">
        <w:rPr>
          <w:rFonts w:cs="Times New Roman"/>
          <w:color w:val="000000"/>
          <w:szCs w:val="24"/>
        </w:rPr>
        <w:t>2.</w:t>
      </w:r>
      <w:r w:rsidRPr="00DD2CB1">
        <w:rPr>
          <w:rFonts w:cs="Times New Roman"/>
          <w:color w:val="000000"/>
          <w:szCs w:val="24"/>
        </w:rPr>
        <w:tab/>
        <w:t>Atstatyti fiskalinius rezervus ypač euro zonos šalyse turinčiose aukštą viešą skolą. Remti ir įgyvendinti ES veiksmus skirtus kovoti su Agresyviu mokesčių planavimu.</w:t>
      </w:r>
    </w:p>
    <w:p w:rsidR="00DD2CB1" w:rsidRPr="00DD2CB1" w:rsidRDefault="00DD2CB1" w:rsidP="00F725F9">
      <w:pPr>
        <w:tabs>
          <w:tab w:val="left" w:pos="284"/>
        </w:tabs>
        <w:spacing w:after="0" w:line="240" w:lineRule="auto"/>
        <w:jc w:val="both"/>
        <w:rPr>
          <w:rFonts w:cs="Times New Roman"/>
          <w:color w:val="000000"/>
          <w:szCs w:val="24"/>
        </w:rPr>
      </w:pPr>
      <w:r w:rsidRPr="00DD2CB1">
        <w:rPr>
          <w:rFonts w:cs="Times New Roman"/>
          <w:color w:val="000000"/>
          <w:szCs w:val="24"/>
        </w:rPr>
        <w:t>3.</w:t>
      </w:r>
      <w:r w:rsidRPr="00DD2CB1">
        <w:rPr>
          <w:rFonts w:cs="Times New Roman"/>
          <w:color w:val="000000"/>
          <w:szCs w:val="24"/>
        </w:rPr>
        <w:tab/>
        <w:t>Perkelti mokestinę naštą nuo samdomo darbo, stiprinti švietimo ir mokymo sistemas, investicijas į įgūdžius ir aktyvią darbo rinkos politiką. Užtikrinti adekvačias bei tvarias socialinės apsaugos sistemas euro zonoje.</w:t>
      </w:r>
    </w:p>
    <w:p w:rsidR="00DD2CB1" w:rsidRPr="00DD2CB1" w:rsidRDefault="00DD2CB1" w:rsidP="00F725F9">
      <w:pPr>
        <w:tabs>
          <w:tab w:val="left" w:pos="284"/>
        </w:tabs>
        <w:spacing w:after="0" w:line="240" w:lineRule="auto"/>
        <w:jc w:val="both"/>
        <w:rPr>
          <w:rFonts w:cs="Times New Roman"/>
          <w:color w:val="000000"/>
          <w:szCs w:val="24"/>
        </w:rPr>
      </w:pPr>
      <w:r w:rsidRPr="00DD2CB1">
        <w:rPr>
          <w:rFonts w:cs="Times New Roman"/>
          <w:color w:val="000000"/>
          <w:szCs w:val="24"/>
        </w:rPr>
        <w:t>4.</w:t>
      </w:r>
      <w:r w:rsidRPr="00DD2CB1">
        <w:rPr>
          <w:rFonts w:cs="Times New Roman"/>
          <w:color w:val="000000"/>
          <w:szCs w:val="24"/>
        </w:rPr>
        <w:tab/>
        <w:t>Užtikrinti Bendro pertvarkymo fondo finansinio stabilumo garantijos veikimą. Imtis darbo dėl Europos indėlių garantijų sistemos. Padaryti ambicingą pažangą Kapitalų rinkų sąjungos srityje.</w:t>
      </w:r>
    </w:p>
    <w:p w:rsidR="00DD2CB1" w:rsidRPr="00DD2CB1" w:rsidRDefault="00DD2CB1" w:rsidP="00F725F9">
      <w:pPr>
        <w:tabs>
          <w:tab w:val="left" w:pos="284"/>
        </w:tabs>
        <w:spacing w:after="0" w:line="240" w:lineRule="auto"/>
        <w:jc w:val="both"/>
        <w:rPr>
          <w:rFonts w:cs="Times New Roman"/>
          <w:color w:val="000000"/>
          <w:szCs w:val="24"/>
        </w:rPr>
      </w:pPr>
      <w:r w:rsidRPr="00DD2CB1">
        <w:rPr>
          <w:rFonts w:cs="Times New Roman"/>
          <w:color w:val="000000"/>
          <w:szCs w:val="24"/>
        </w:rPr>
        <w:t>5.</w:t>
      </w:r>
      <w:r w:rsidRPr="00DD2CB1">
        <w:rPr>
          <w:rFonts w:cs="Times New Roman"/>
          <w:color w:val="000000"/>
          <w:szCs w:val="24"/>
        </w:rPr>
        <w:tab/>
        <w:t>Sparčiai gilinti Ekonominę ir pinigų sąjungą</w:t>
      </w:r>
      <w:r w:rsidR="00F725F9">
        <w:rPr>
          <w:rFonts w:cs="Times New Roman"/>
          <w:color w:val="000000"/>
          <w:szCs w:val="24"/>
        </w:rPr>
        <w:t xml:space="preserve"> (EPS)</w:t>
      </w:r>
      <w:r w:rsidRPr="00DD2CB1">
        <w:rPr>
          <w:rFonts w:cs="Times New Roman"/>
          <w:color w:val="000000"/>
          <w:szCs w:val="24"/>
        </w:rPr>
        <w:t>. Taip pat stiprinti tarptautinį euro vaidmenį.</w:t>
      </w:r>
    </w:p>
    <w:p w:rsidR="00DD2CB1" w:rsidRPr="00DD2CB1" w:rsidRDefault="00DD2CB1" w:rsidP="00F725F9">
      <w:pPr>
        <w:tabs>
          <w:tab w:val="left" w:pos="709"/>
        </w:tabs>
        <w:spacing w:after="0" w:line="240" w:lineRule="auto"/>
        <w:jc w:val="both"/>
        <w:rPr>
          <w:rFonts w:cs="Times New Roman"/>
          <w:color w:val="000000"/>
          <w:szCs w:val="24"/>
        </w:rPr>
      </w:pPr>
      <w:r w:rsidRPr="00DD2CB1">
        <w:rPr>
          <w:rFonts w:cs="Times New Roman"/>
          <w:b/>
          <w:color w:val="000000"/>
          <w:szCs w:val="24"/>
          <w:u w:val="single"/>
        </w:rPr>
        <w:t>Lietuvos pozicija</w:t>
      </w:r>
      <w:r w:rsidR="008F7763">
        <w:rPr>
          <w:rFonts w:cs="Times New Roman"/>
          <w:b/>
          <w:color w:val="000000"/>
          <w:szCs w:val="24"/>
          <w:u w:val="single"/>
        </w:rPr>
        <w:t>.</w:t>
      </w:r>
      <w:r w:rsidRPr="00DD2CB1">
        <w:rPr>
          <w:rFonts w:cs="Times New Roman"/>
          <w:color w:val="000000"/>
          <w:szCs w:val="24"/>
        </w:rPr>
        <w:t xml:space="preserve"> Iš esmės pritariame Tarybos rekomendacijų </w:t>
      </w:r>
      <w:r w:rsidR="00F725F9">
        <w:rPr>
          <w:rFonts w:cs="Times New Roman"/>
          <w:color w:val="000000"/>
          <w:szCs w:val="24"/>
        </w:rPr>
        <w:t>e</w:t>
      </w:r>
      <w:r w:rsidRPr="00DD2CB1">
        <w:rPr>
          <w:rFonts w:cs="Times New Roman"/>
          <w:color w:val="000000"/>
          <w:szCs w:val="24"/>
        </w:rPr>
        <w:t xml:space="preserve">uro zonai projektui, bet nepritariame bendros konsoliduotos pelno mokesčio bazės minėjimui preambulėje, kadangi diskusijos dar vyksta ir </w:t>
      </w:r>
      <w:r w:rsidR="00F725F9">
        <w:rPr>
          <w:rFonts w:cs="Times New Roman"/>
          <w:color w:val="000000"/>
          <w:szCs w:val="24"/>
        </w:rPr>
        <w:t>valstybių narių</w:t>
      </w:r>
      <w:r w:rsidRPr="00DD2CB1">
        <w:rPr>
          <w:rFonts w:cs="Times New Roman"/>
          <w:color w:val="000000"/>
          <w:szCs w:val="24"/>
        </w:rPr>
        <w:t xml:space="preserve"> nuomonės dėl šio instrumento išsiskiria.</w:t>
      </w:r>
    </w:p>
    <w:p w:rsidR="00DD2CB1" w:rsidRDefault="00DD2CB1" w:rsidP="00F725F9">
      <w:pPr>
        <w:tabs>
          <w:tab w:val="left" w:pos="709"/>
        </w:tabs>
        <w:spacing w:after="0" w:line="240" w:lineRule="auto"/>
        <w:jc w:val="both"/>
        <w:rPr>
          <w:rFonts w:cs="Times New Roman"/>
          <w:color w:val="000000"/>
          <w:szCs w:val="24"/>
        </w:rPr>
      </w:pPr>
    </w:p>
    <w:p w:rsidR="00725FE5" w:rsidRPr="00DD2CB1" w:rsidRDefault="00725FE5" w:rsidP="00F725F9">
      <w:pPr>
        <w:tabs>
          <w:tab w:val="left" w:pos="709"/>
        </w:tabs>
        <w:spacing w:after="0" w:line="240" w:lineRule="auto"/>
        <w:jc w:val="both"/>
        <w:rPr>
          <w:rFonts w:cs="Times New Roman"/>
          <w:color w:val="000000"/>
          <w:szCs w:val="24"/>
        </w:rPr>
      </w:pPr>
    </w:p>
    <w:p w:rsidR="00B577B4" w:rsidRPr="00DD2CB1" w:rsidRDefault="00DD2CB1" w:rsidP="00F725F9">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DD2CB1">
        <w:rPr>
          <w:rFonts w:cs="Times New Roman"/>
          <w:b/>
          <w:color w:val="000000"/>
          <w:szCs w:val="24"/>
        </w:rPr>
        <w:t>Euro stiprinimas tarptautiniame kontekste</w:t>
      </w:r>
    </w:p>
    <w:p w:rsidR="00863C8A" w:rsidRDefault="00863C8A" w:rsidP="00F725F9">
      <w:pPr>
        <w:autoSpaceDE w:val="0"/>
        <w:autoSpaceDN w:val="0"/>
        <w:adjustRightInd w:val="0"/>
        <w:spacing w:after="0" w:line="240" w:lineRule="auto"/>
        <w:jc w:val="both"/>
        <w:rPr>
          <w:rFonts w:cs="Times New Roman"/>
          <w:szCs w:val="24"/>
        </w:rPr>
      </w:pPr>
    </w:p>
    <w:p w:rsidR="0093518F" w:rsidRDefault="0093518F" w:rsidP="00F90228">
      <w:pPr>
        <w:tabs>
          <w:tab w:val="left" w:pos="709"/>
        </w:tabs>
        <w:spacing w:after="0" w:line="240" w:lineRule="auto"/>
        <w:jc w:val="both"/>
        <w:rPr>
          <w:rFonts w:cs="Times New Roman"/>
          <w:color w:val="000000"/>
          <w:szCs w:val="24"/>
        </w:rPr>
      </w:pPr>
      <w:r w:rsidRPr="0084520E">
        <w:rPr>
          <w:rFonts w:cs="Times New Roman"/>
          <w:b/>
          <w:szCs w:val="24"/>
          <w:u w:val="single"/>
        </w:rPr>
        <w:t>Klausimo esmė.</w:t>
      </w:r>
      <w:r w:rsidRPr="0084520E">
        <w:rPr>
          <w:rFonts w:cs="Times New Roman"/>
          <w:b/>
          <w:szCs w:val="24"/>
        </w:rPr>
        <w:t xml:space="preserve"> </w:t>
      </w:r>
      <w:r w:rsidRPr="00192555">
        <w:rPr>
          <w:rFonts w:cs="Times New Roman"/>
          <w:szCs w:val="24"/>
        </w:rPr>
        <w:t xml:space="preserve">Komunikatas dėl Euro stiprinimo tarptautiniame kontekste buvo paskelbtas </w:t>
      </w:r>
      <w:r w:rsidR="00B249C7">
        <w:rPr>
          <w:rFonts w:cs="Times New Roman"/>
          <w:szCs w:val="24"/>
        </w:rPr>
        <w:t xml:space="preserve">2018 m. </w:t>
      </w:r>
      <w:r w:rsidRPr="00192555">
        <w:rPr>
          <w:rFonts w:cs="Times New Roman"/>
          <w:szCs w:val="24"/>
        </w:rPr>
        <w:t>gruodžio 5 d.</w:t>
      </w:r>
      <w:r>
        <w:rPr>
          <w:rFonts w:cs="Times New Roman"/>
          <w:b/>
          <w:szCs w:val="24"/>
        </w:rPr>
        <w:t xml:space="preserve"> </w:t>
      </w:r>
      <w:r w:rsidR="00634DF1">
        <w:rPr>
          <w:rFonts w:cs="Times New Roman"/>
          <w:szCs w:val="24"/>
        </w:rPr>
        <w:t>Komunikate teigiama, kad nors</w:t>
      </w:r>
      <w:r w:rsidR="00634DF1">
        <w:rPr>
          <w:rFonts w:cs="Times New Roman"/>
          <w:b/>
          <w:szCs w:val="24"/>
        </w:rPr>
        <w:t xml:space="preserve"> </w:t>
      </w:r>
      <w:r w:rsidR="00634DF1" w:rsidRPr="00634DF1">
        <w:rPr>
          <w:rFonts w:cs="Times New Roman"/>
          <w:szCs w:val="24"/>
        </w:rPr>
        <w:t>e</w:t>
      </w:r>
      <w:r w:rsidRPr="00A4272C">
        <w:rPr>
          <w:rFonts w:eastAsia="Calibri"/>
          <w:color w:val="000000"/>
        </w:rPr>
        <w:t xml:space="preserve">uras antra svarbiausia valiuta pasaulyje, tačiau jo svarba dar nėra </w:t>
      </w:r>
      <w:r>
        <w:rPr>
          <w:rFonts w:eastAsia="Calibri"/>
          <w:color w:val="000000"/>
        </w:rPr>
        <w:t>pasiekusi to paties lygmens, kok</w:t>
      </w:r>
      <w:r w:rsidRPr="00BC6DFA">
        <w:rPr>
          <w:rFonts w:eastAsia="Calibri"/>
          <w:color w:val="000000"/>
        </w:rPr>
        <w:t xml:space="preserve">į </w:t>
      </w:r>
      <w:r>
        <w:rPr>
          <w:rFonts w:eastAsia="Calibri"/>
          <w:color w:val="000000"/>
        </w:rPr>
        <w:t>turėjo prieš ekonominę krizę.</w:t>
      </w:r>
      <w:r>
        <w:rPr>
          <w:rFonts w:cs="Times New Roman"/>
          <w:b/>
          <w:szCs w:val="24"/>
        </w:rPr>
        <w:t xml:space="preserve"> </w:t>
      </w:r>
      <w:r w:rsidRPr="00DD2CB1">
        <w:rPr>
          <w:rFonts w:cs="Times New Roman"/>
          <w:color w:val="000000"/>
          <w:szCs w:val="24"/>
        </w:rPr>
        <w:t>Pla</w:t>
      </w:r>
      <w:r>
        <w:rPr>
          <w:rFonts w:cs="Times New Roman"/>
          <w:color w:val="000000"/>
          <w:szCs w:val="24"/>
        </w:rPr>
        <w:t>tesnis tarptautinis euro naudoji</w:t>
      </w:r>
      <w:r w:rsidRPr="00DD2CB1">
        <w:rPr>
          <w:rFonts w:cs="Times New Roman"/>
          <w:color w:val="000000"/>
          <w:szCs w:val="24"/>
        </w:rPr>
        <w:t xml:space="preserve">mas turėtų teigiamos įtakos Europos ekonomikai: a) mažesnė rizika tarptautinėje prekyboje Europos verslui; b) mažesnės palūkanų normos Europos verslui, namų ūkiams; c) </w:t>
      </w:r>
      <w:proofErr w:type="spellStart"/>
      <w:r w:rsidRPr="00DD2CB1">
        <w:rPr>
          <w:rFonts w:cs="Times New Roman"/>
          <w:color w:val="000000"/>
          <w:szCs w:val="24"/>
        </w:rPr>
        <w:t>patikimesnis</w:t>
      </w:r>
      <w:proofErr w:type="spellEnd"/>
      <w:r w:rsidRPr="00DD2CB1">
        <w:rPr>
          <w:rFonts w:cs="Times New Roman"/>
          <w:color w:val="000000"/>
          <w:szCs w:val="24"/>
        </w:rPr>
        <w:t xml:space="preserve"> priėjimas prie finansų rinkų Europos verslininkams ir vyriausybėms; d) didesnis Europos vartotojų nepriklausomumas. </w:t>
      </w:r>
    </w:p>
    <w:p w:rsidR="0093518F" w:rsidRPr="0051569E" w:rsidRDefault="0093518F" w:rsidP="00F90228">
      <w:pPr>
        <w:pStyle w:val="prastasistinklapis"/>
        <w:jc w:val="both"/>
        <w:rPr>
          <w:rFonts w:eastAsia="Calibri"/>
          <w:b/>
          <w:color w:val="000000"/>
          <w:lang w:eastAsia="en-US"/>
        </w:rPr>
      </w:pPr>
      <w:r w:rsidRPr="0051569E">
        <w:rPr>
          <w:rFonts w:eastAsia="Calibri"/>
          <w:b/>
          <w:color w:val="000000"/>
          <w:lang w:eastAsia="en-US"/>
        </w:rPr>
        <w:t>Priemonės, kurios gali padėti stiprinti ir didinti euro patrauklumą:</w:t>
      </w:r>
    </w:p>
    <w:p w:rsidR="0093518F" w:rsidRPr="00BC6DFA" w:rsidRDefault="0093518F" w:rsidP="00F90228">
      <w:pPr>
        <w:pStyle w:val="prastasistinklapis"/>
        <w:jc w:val="both"/>
        <w:rPr>
          <w:rFonts w:eastAsia="Calibri"/>
          <w:color w:val="000000"/>
          <w:lang w:eastAsia="en-US"/>
        </w:rPr>
      </w:pPr>
      <w:r w:rsidRPr="00BC6DFA">
        <w:rPr>
          <w:rFonts w:eastAsia="Calibri"/>
          <w:color w:val="000000"/>
          <w:lang w:eastAsia="en-US"/>
        </w:rPr>
        <w:t xml:space="preserve">- </w:t>
      </w:r>
      <w:r w:rsidRPr="00DD2CB1">
        <w:rPr>
          <w:color w:val="000000"/>
        </w:rPr>
        <w:t>Ekonominės ir pinigų sąjungos, Bankų sąjungos ir Kapitalo rinkų sąjungos užbaigimas</w:t>
      </w:r>
      <w:r>
        <w:rPr>
          <w:rFonts w:eastAsia="Calibri"/>
          <w:color w:val="000000"/>
          <w:lang w:eastAsia="en-US"/>
        </w:rPr>
        <w:t>, kadangi šios priemonės skatintų visos ES atsparumą ekonominiams šokams, didintų investuotojų pasitikėjimą ir tuo pat metu prisidėtų prie euro patikimumo (EK</w:t>
      </w:r>
      <w:r w:rsidRPr="00BC6DFA">
        <w:rPr>
          <w:rFonts w:eastAsia="Calibri"/>
          <w:color w:val="000000"/>
          <w:lang w:eastAsia="en-US"/>
        </w:rPr>
        <w:t xml:space="preserve"> šiose srityse yra pateikusi </w:t>
      </w:r>
      <w:r>
        <w:rPr>
          <w:rFonts w:eastAsia="Calibri"/>
          <w:color w:val="000000"/>
          <w:lang w:eastAsia="en-US"/>
        </w:rPr>
        <w:t xml:space="preserve">nemažai </w:t>
      </w:r>
      <w:r w:rsidRPr="00BC6DFA">
        <w:rPr>
          <w:rFonts w:eastAsia="Calibri"/>
          <w:color w:val="000000"/>
          <w:lang w:eastAsia="en-US"/>
        </w:rPr>
        <w:t>teisinių pasiūlymų</w:t>
      </w:r>
      <w:r w:rsidR="00B249C7">
        <w:rPr>
          <w:rFonts w:eastAsia="Calibri"/>
          <w:color w:val="000000"/>
          <w:lang w:eastAsia="en-US"/>
        </w:rPr>
        <w:t xml:space="preserve"> – Bankų sąjunga</w:t>
      </w:r>
      <w:r>
        <w:rPr>
          <w:rFonts w:eastAsia="Calibri"/>
          <w:color w:val="000000"/>
          <w:lang w:eastAsia="en-US"/>
        </w:rPr>
        <w:t xml:space="preserve">, </w:t>
      </w:r>
      <w:r w:rsidR="00B249C7">
        <w:rPr>
          <w:rFonts w:eastAsia="Calibri"/>
          <w:color w:val="000000"/>
          <w:lang w:eastAsia="en-US"/>
        </w:rPr>
        <w:t>Europos indėlių garantijų sistema (</w:t>
      </w:r>
      <w:r>
        <w:rPr>
          <w:rFonts w:eastAsia="Calibri"/>
          <w:color w:val="000000"/>
          <w:lang w:eastAsia="en-US"/>
        </w:rPr>
        <w:t>EDIS</w:t>
      </w:r>
      <w:r w:rsidR="00B249C7">
        <w:rPr>
          <w:rFonts w:eastAsia="Calibri"/>
          <w:color w:val="000000"/>
          <w:lang w:eastAsia="en-US"/>
        </w:rPr>
        <w:t>)</w:t>
      </w:r>
      <w:r>
        <w:rPr>
          <w:rFonts w:eastAsia="Calibri"/>
          <w:color w:val="000000"/>
          <w:lang w:eastAsia="en-US"/>
        </w:rPr>
        <w:t xml:space="preserve">, </w:t>
      </w:r>
      <w:r w:rsidR="00B249C7" w:rsidRPr="00B249C7">
        <w:rPr>
          <w:rFonts w:eastAsia="Calibri"/>
          <w:color w:val="000000"/>
          <w:lang w:eastAsia="en-US"/>
        </w:rPr>
        <w:t>Bendras pertvarkymo fondas (SRF)</w:t>
      </w:r>
      <w:r>
        <w:rPr>
          <w:rFonts w:eastAsia="Calibri"/>
          <w:color w:val="000000"/>
          <w:lang w:eastAsia="en-US"/>
        </w:rPr>
        <w:t xml:space="preserve">, </w:t>
      </w:r>
      <w:r w:rsidR="00F90228">
        <w:rPr>
          <w:rFonts w:eastAsia="Calibri"/>
          <w:color w:val="000000"/>
          <w:lang w:eastAsia="en-US"/>
        </w:rPr>
        <w:t>Europos valiutos fondas (</w:t>
      </w:r>
      <w:r>
        <w:rPr>
          <w:rFonts w:eastAsia="Calibri"/>
          <w:color w:val="000000"/>
          <w:lang w:eastAsia="en-US"/>
        </w:rPr>
        <w:t>EMF)</w:t>
      </w:r>
      <w:r w:rsidR="00F90228">
        <w:rPr>
          <w:rFonts w:eastAsia="Calibri"/>
          <w:color w:val="000000"/>
          <w:lang w:eastAsia="en-US"/>
        </w:rPr>
        <w:t>)</w:t>
      </w:r>
      <w:r>
        <w:rPr>
          <w:rFonts w:eastAsia="Calibri"/>
          <w:color w:val="000000"/>
          <w:lang w:eastAsia="en-US"/>
        </w:rPr>
        <w:t>.</w:t>
      </w:r>
      <w:r w:rsidRPr="00BC6DFA">
        <w:rPr>
          <w:rFonts w:eastAsia="Calibri"/>
          <w:color w:val="000000"/>
          <w:lang w:eastAsia="en-US"/>
        </w:rPr>
        <w:t xml:space="preserve"> Taip pat yra pateikti teisiniai pasiūlymai fiskalinėje srityje kaip EISF (stabilizavimo funkcija)</w:t>
      </w:r>
      <w:r>
        <w:rPr>
          <w:rFonts w:eastAsia="Calibri"/>
          <w:color w:val="000000"/>
          <w:lang w:eastAsia="en-US"/>
        </w:rPr>
        <w:t xml:space="preserve">, Reformų rėmimo programos pasiūlymas </w:t>
      </w:r>
      <w:r w:rsidRPr="00BC6DFA">
        <w:rPr>
          <w:rFonts w:eastAsia="Calibri"/>
          <w:color w:val="000000"/>
          <w:lang w:eastAsia="en-US"/>
        </w:rPr>
        <w:t xml:space="preserve">stiprinti atstovavimą tarptautiniame lygmenyje. </w:t>
      </w:r>
    </w:p>
    <w:p w:rsidR="0093518F" w:rsidRDefault="0093518F" w:rsidP="00F90228">
      <w:pPr>
        <w:pStyle w:val="prastasistinklapis"/>
        <w:jc w:val="both"/>
        <w:rPr>
          <w:rFonts w:eastAsia="Calibri"/>
          <w:color w:val="000000"/>
          <w:lang w:eastAsia="en-US"/>
        </w:rPr>
      </w:pPr>
      <w:r w:rsidRPr="00BC6DFA">
        <w:rPr>
          <w:rFonts w:eastAsia="Calibri"/>
          <w:color w:val="000000"/>
          <w:lang w:eastAsia="en-US"/>
        </w:rPr>
        <w:t>- papildomos priemonės gilinančios ir skatinančios Europos finansinį nepriklausomumą</w:t>
      </w:r>
      <w:r>
        <w:rPr>
          <w:rFonts w:eastAsia="Calibri"/>
          <w:color w:val="000000"/>
          <w:lang w:eastAsia="en-US"/>
        </w:rPr>
        <w:t xml:space="preserve"> yra </w:t>
      </w:r>
      <w:r w:rsidR="00B249C7">
        <w:rPr>
          <w:rFonts w:eastAsia="Calibri"/>
          <w:color w:val="000000"/>
          <w:lang w:eastAsia="en-US"/>
        </w:rPr>
        <w:t>labiau tikslinės priemonės Kapitalų rinkų sąjungos ir Bankų sąjungos</w:t>
      </w:r>
      <w:r>
        <w:rPr>
          <w:rFonts w:eastAsia="Calibri"/>
          <w:color w:val="000000"/>
          <w:lang w:eastAsia="en-US"/>
        </w:rPr>
        <w:t xml:space="preserve"> srityje</w:t>
      </w:r>
      <w:r w:rsidRPr="00BC6DFA">
        <w:rPr>
          <w:rFonts w:eastAsia="Calibri"/>
          <w:color w:val="000000"/>
          <w:lang w:eastAsia="en-US"/>
        </w:rPr>
        <w:t>. </w:t>
      </w:r>
    </w:p>
    <w:p w:rsidR="0093518F" w:rsidRPr="0051569E" w:rsidRDefault="00B249C7" w:rsidP="00F90228">
      <w:pPr>
        <w:pStyle w:val="prastasistinklapis"/>
        <w:jc w:val="both"/>
        <w:rPr>
          <w:rFonts w:eastAsiaTheme="minorHAnsi"/>
          <w:color w:val="000000"/>
          <w:lang w:val="en-US"/>
        </w:rPr>
      </w:pPr>
      <w:r>
        <w:rPr>
          <w:b/>
          <w:iCs/>
          <w:color w:val="000000"/>
        </w:rPr>
        <w:t>EK Kapitalų rinkų sąjungos ir Bankų sąjungos</w:t>
      </w:r>
      <w:r w:rsidR="0093518F" w:rsidRPr="0051569E">
        <w:rPr>
          <w:b/>
          <w:iCs/>
          <w:color w:val="000000"/>
        </w:rPr>
        <w:t xml:space="preserve"> kontekste siūlo 4 priemones, kurios stiprintų euro zonos finansinę autonomiją:</w:t>
      </w:r>
    </w:p>
    <w:p w:rsidR="0093518F" w:rsidRPr="0051569E" w:rsidRDefault="0093518F" w:rsidP="001B180A">
      <w:pPr>
        <w:pStyle w:val="prastasistinklapis"/>
        <w:jc w:val="both"/>
        <w:rPr>
          <w:color w:val="000000"/>
        </w:rPr>
      </w:pPr>
      <w:r w:rsidRPr="0051569E">
        <w:rPr>
          <w:b/>
          <w:iCs/>
          <w:color w:val="000000"/>
        </w:rPr>
        <w:t>1.</w:t>
      </w:r>
      <w:r>
        <w:rPr>
          <w:iCs/>
          <w:color w:val="000000"/>
        </w:rPr>
        <w:t xml:space="preserve"> </w:t>
      </w:r>
      <w:r w:rsidRPr="0051569E">
        <w:rPr>
          <w:iCs/>
          <w:color w:val="000000"/>
        </w:rPr>
        <w:t xml:space="preserve">Europos rinkos infrastruktūros atsparumo ir likvidumo stiprinimas (iš esmės kalbama apie EMIR reglamentą ir išvestinių finansinių priemonių tarpuskaitą. Rašoma, kad EK galėtų išplėsti tokių priemonių, kurioms tarpuskaitą reikėtų vykdyti per </w:t>
      </w:r>
      <w:r w:rsidR="001B180A" w:rsidRPr="001B180A">
        <w:rPr>
          <w:color w:val="000000"/>
        </w:rPr>
        <w:t>pagrindines sandorio šalis (</w:t>
      </w:r>
      <w:r w:rsidRPr="0051569E">
        <w:rPr>
          <w:iCs/>
          <w:color w:val="000000"/>
        </w:rPr>
        <w:t>CCP</w:t>
      </w:r>
      <w:r w:rsidR="001B180A">
        <w:rPr>
          <w:iCs/>
          <w:color w:val="000000"/>
        </w:rPr>
        <w:t>)</w:t>
      </w:r>
      <w:r w:rsidRPr="0051569E">
        <w:rPr>
          <w:iCs/>
          <w:color w:val="000000"/>
        </w:rPr>
        <w:t>, apimtį. Tai padidintų pasitikėjimą tiek ES CCP, tiek euru).</w:t>
      </w:r>
    </w:p>
    <w:p w:rsidR="0093518F" w:rsidRPr="0051569E" w:rsidRDefault="0093518F" w:rsidP="001B180A">
      <w:pPr>
        <w:pStyle w:val="prastasistinklapis"/>
        <w:jc w:val="both"/>
        <w:rPr>
          <w:iCs/>
          <w:color w:val="000000"/>
        </w:rPr>
      </w:pPr>
      <w:r w:rsidRPr="0051569E">
        <w:rPr>
          <w:b/>
          <w:iCs/>
          <w:color w:val="000000"/>
        </w:rPr>
        <w:t>2.</w:t>
      </w:r>
      <w:r w:rsidR="001B180A">
        <w:rPr>
          <w:iCs/>
          <w:color w:val="000000"/>
          <w:sz w:val="14"/>
          <w:szCs w:val="14"/>
        </w:rPr>
        <w:t xml:space="preserve"> </w:t>
      </w:r>
      <w:r w:rsidRPr="0051569E">
        <w:rPr>
          <w:iCs/>
          <w:color w:val="000000"/>
        </w:rPr>
        <w:t>Euro zonos finansų rinkos efektyvumo stiprinimas palūkanų indeksų kontekste (EK referuoja į Indeksų reglamentą, kuris turi būti taikomas nuo 2020 m. EK visaip kaip teiks pagalbą rinkai tinkamai taikyti reglamentą)</w:t>
      </w:r>
    </w:p>
    <w:p w:rsidR="0093518F" w:rsidRPr="0051569E" w:rsidRDefault="0093518F" w:rsidP="001B180A">
      <w:pPr>
        <w:pStyle w:val="prastasistinklapis"/>
        <w:jc w:val="both"/>
        <w:rPr>
          <w:iCs/>
          <w:color w:val="000000"/>
        </w:rPr>
      </w:pPr>
      <w:r w:rsidRPr="0051569E">
        <w:rPr>
          <w:b/>
          <w:iCs/>
          <w:color w:val="000000"/>
        </w:rPr>
        <w:t>3.</w:t>
      </w:r>
      <w:r w:rsidR="001B180A">
        <w:rPr>
          <w:iCs/>
          <w:color w:val="000000"/>
          <w:sz w:val="14"/>
          <w:szCs w:val="14"/>
        </w:rPr>
        <w:t xml:space="preserve"> </w:t>
      </w:r>
      <w:r w:rsidRPr="0051569E">
        <w:rPr>
          <w:iCs/>
          <w:color w:val="000000"/>
        </w:rPr>
        <w:t>Pilnai integruota momentinių mokėjimų sistema ES (EK skatins ES mastu veikiančias momentinių mokėjimų sistemas, kaip atsvarą dabar paplitusioms tarptautinės mokėjimo kortelių schemoms, kur nei EK, nei ES rinkos dalyviai didelės įtakos neturi. Taip pat kitais metais vertins Mokėjimo sąskaitos direktyvos perkėlimą)</w:t>
      </w:r>
    </w:p>
    <w:p w:rsidR="0093518F" w:rsidRPr="006135E5" w:rsidRDefault="0093518F" w:rsidP="001B180A">
      <w:pPr>
        <w:spacing w:after="0" w:line="240" w:lineRule="auto"/>
        <w:jc w:val="both"/>
        <w:rPr>
          <w:rFonts w:eastAsia="Times New Roman"/>
          <w:iCs/>
          <w:color w:val="000000"/>
          <w:szCs w:val="24"/>
          <w:lang w:eastAsia="lt-LT"/>
        </w:rPr>
      </w:pPr>
      <w:r w:rsidRPr="0051569E">
        <w:rPr>
          <w:b/>
          <w:iCs/>
          <w:color w:val="000000"/>
        </w:rPr>
        <w:lastRenderedPageBreak/>
        <w:t>4.</w:t>
      </w:r>
      <w:r w:rsidR="001B180A">
        <w:rPr>
          <w:iCs/>
          <w:color w:val="000000"/>
          <w:sz w:val="14"/>
          <w:szCs w:val="14"/>
        </w:rPr>
        <w:t xml:space="preserve"> </w:t>
      </w:r>
      <w:r w:rsidRPr="0051569E">
        <w:rPr>
          <w:iCs/>
          <w:color w:val="000000"/>
        </w:rPr>
        <w:t xml:space="preserve">Stiprinti euro vaidmenį užsienio valiutų rinkoje (užsienio valiutų rinkoje doleris užima pagrindinį vaidmenį ir absoliuti dauguma valiutų keitimų poruojami su doleriu. </w:t>
      </w:r>
      <w:r w:rsidR="00634DF1">
        <w:rPr>
          <w:iCs/>
          <w:color w:val="000000"/>
        </w:rPr>
        <w:t>EK inicijuos viešąsias konsultacijas</w:t>
      </w:r>
      <w:r w:rsidR="001B180A">
        <w:rPr>
          <w:iCs/>
          <w:color w:val="000000"/>
        </w:rPr>
        <w:t xml:space="preserve"> dėl euro </w:t>
      </w:r>
      <w:r w:rsidRPr="0051569E">
        <w:rPr>
          <w:iCs/>
          <w:color w:val="000000"/>
        </w:rPr>
        <w:t>vaidmens stiprinimo šioje rinkoje ir esamiems trikdžiams identifikuoti)</w:t>
      </w:r>
      <w:r>
        <w:rPr>
          <w:iCs/>
          <w:color w:val="000000"/>
        </w:rPr>
        <w:t>:</w:t>
      </w:r>
    </w:p>
    <w:p w:rsidR="0093518F" w:rsidRPr="00BC6DFA" w:rsidRDefault="00F90228" w:rsidP="00F90228">
      <w:pPr>
        <w:pStyle w:val="prastasistinklapis"/>
        <w:jc w:val="both"/>
        <w:rPr>
          <w:rFonts w:eastAsia="Calibri"/>
          <w:color w:val="000000"/>
          <w:lang w:eastAsia="en-US"/>
        </w:rPr>
      </w:pPr>
      <w:r>
        <w:rPr>
          <w:rFonts w:eastAsia="Calibri"/>
          <w:color w:val="000000"/>
          <w:lang w:eastAsia="en-US"/>
        </w:rPr>
        <w:t xml:space="preserve">● </w:t>
      </w:r>
      <w:r w:rsidR="001B180A">
        <w:rPr>
          <w:rFonts w:eastAsia="Calibri"/>
          <w:color w:val="000000"/>
          <w:lang w:eastAsia="en-US"/>
        </w:rPr>
        <w:t>i</w:t>
      </w:r>
      <w:r w:rsidR="0093518F" w:rsidRPr="00BC6DFA">
        <w:rPr>
          <w:rFonts w:eastAsia="Calibri"/>
          <w:color w:val="000000"/>
          <w:lang w:eastAsia="en-US"/>
        </w:rPr>
        <w:t>niciatyvos tar</w:t>
      </w:r>
      <w:r w:rsidR="001B180A">
        <w:rPr>
          <w:rFonts w:eastAsia="Calibri"/>
          <w:color w:val="000000"/>
          <w:lang w:eastAsia="en-US"/>
        </w:rPr>
        <w:t>ptautiniame finansų sektoriuje.</w:t>
      </w:r>
      <w:r w:rsidR="0093518F" w:rsidRPr="00BC6DFA">
        <w:rPr>
          <w:rFonts w:eastAsia="Calibri"/>
          <w:color w:val="000000"/>
          <w:lang w:eastAsia="en-US"/>
        </w:rPr>
        <w:t xml:space="preserve"> ES subjektai turėtų didinti savo </w:t>
      </w:r>
      <w:r w:rsidR="0093518F">
        <w:rPr>
          <w:rFonts w:eastAsia="Calibri"/>
          <w:color w:val="000000"/>
          <w:lang w:eastAsia="en-US"/>
        </w:rPr>
        <w:t>skolos dalį euro pavidalu</w:t>
      </w:r>
      <w:r w:rsidR="0093518F" w:rsidRPr="00BC6DFA">
        <w:rPr>
          <w:rFonts w:eastAsia="Calibri"/>
          <w:color w:val="000000"/>
          <w:lang w:eastAsia="en-US"/>
        </w:rPr>
        <w:t>;</w:t>
      </w:r>
    </w:p>
    <w:p w:rsidR="0093518F" w:rsidRPr="00904894" w:rsidRDefault="00F90228" w:rsidP="00F90228">
      <w:pPr>
        <w:pStyle w:val="prastasistinklapis"/>
        <w:jc w:val="both"/>
        <w:rPr>
          <w:rFonts w:eastAsia="Calibri"/>
          <w:color w:val="000000"/>
          <w:lang w:eastAsia="en-US"/>
        </w:rPr>
      </w:pPr>
      <w:r>
        <w:rPr>
          <w:rFonts w:eastAsia="Calibri"/>
          <w:color w:val="000000"/>
          <w:lang w:eastAsia="en-US"/>
        </w:rPr>
        <w:t xml:space="preserve">● </w:t>
      </w:r>
      <w:r w:rsidR="0093518F" w:rsidRPr="00BC6DFA">
        <w:rPr>
          <w:rFonts w:eastAsia="Calibri"/>
          <w:color w:val="000000"/>
          <w:lang w:eastAsia="en-US"/>
        </w:rPr>
        <w:t>per ekonominę diplomatiją</w:t>
      </w:r>
      <w:r w:rsidR="00634DF1">
        <w:rPr>
          <w:rFonts w:eastAsia="Calibri"/>
          <w:color w:val="000000"/>
          <w:lang w:eastAsia="en-US"/>
        </w:rPr>
        <w:t xml:space="preserve"> skatinti</w:t>
      </w:r>
      <w:r w:rsidR="0093518F" w:rsidRPr="00BC6DFA">
        <w:rPr>
          <w:rFonts w:eastAsia="Calibri"/>
          <w:color w:val="000000"/>
          <w:lang w:eastAsia="en-US"/>
        </w:rPr>
        <w:t xml:space="preserve"> pasaulinius partnerius mokėjimuose</w:t>
      </w:r>
      <w:r w:rsidR="0093518F">
        <w:rPr>
          <w:rFonts w:eastAsia="Calibri"/>
          <w:color w:val="000000"/>
          <w:lang w:eastAsia="en-US"/>
        </w:rPr>
        <w:t xml:space="preserve"> naudoti eurą</w:t>
      </w:r>
      <w:r w:rsidR="0093518F" w:rsidRPr="00BC6DFA">
        <w:rPr>
          <w:rFonts w:eastAsia="Calibri"/>
          <w:color w:val="000000"/>
          <w:lang w:eastAsia="en-US"/>
        </w:rPr>
        <w:t xml:space="preserve"> ir </w:t>
      </w:r>
      <w:r w:rsidR="0093518F">
        <w:rPr>
          <w:rFonts w:eastAsia="Calibri"/>
          <w:color w:val="000000"/>
          <w:lang w:eastAsia="en-US"/>
        </w:rPr>
        <w:t xml:space="preserve">tuo pat metu eurą labiau naudoti </w:t>
      </w:r>
      <w:r w:rsidR="0093518F" w:rsidRPr="00BC6DFA">
        <w:rPr>
          <w:rFonts w:eastAsia="Calibri"/>
          <w:color w:val="000000"/>
          <w:lang w:eastAsia="en-US"/>
        </w:rPr>
        <w:t>kaip rezervinę valiutą;</w:t>
      </w:r>
    </w:p>
    <w:p w:rsidR="0093518F" w:rsidRDefault="00F90228" w:rsidP="00F90228">
      <w:pPr>
        <w:pStyle w:val="prastasistinklapis"/>
        <w:jc w:val="both"/>
        <w:rPr>
          <w:rFonts w:eastAsia="Calibri"/>
          <w:color w:val="000000"/>
          <w:lang w:eastAsia="en-US"/>
        </w:rPr>
      </w:pPr>
      <w:r>
        <w:rPr>
          <w:rFonts w:eastAsia="Calibri"/>
          <w:color w:val="000000"/>
          <w:lang w:eastAsia="en-US"/>
        </w:rPr>
        <w:t xml:space="preserve">● </w:t>
      </w:r>
      <w:r w:rsidR="001B180A">
        <w:rPr>
          <w:rFonts w:eastAsia="Calibri"/>
          <w:color w:val="000000"/>
          <w:lang w:eastAsia="en-US"/>
        </w:rPr>
        <w:t>i</w:t>
      </w:r>
      <w:r w:rsidR="0093518F" w:rsidRPr="00904894">
        <w:rPr>
          <w:rFonts w:eastAsia="Calibri"/>
          <w:color w:val="000000"/>
          <w:lang w:eastAsia="en-US"/>
        </w:rPr>
        <w:t>šorini</w:t>
      </w:r>
      <w:r w:rsidR="0093518F">
        <w:rPr>
          <w:rFonts w:eastAsia="Calibri"/>
          <w:color w:val="000000"/>
          <w:lang w:eastAsia="en-US"/>
        </w:rPr>
        <w:t>o</w:t>
      </w:r>
      <w:r w:rsidR="0093518F" w:rsidRPr="00904894">
        <w:rPr>
          <w:rFonts w:eastAsia="Calibri"/>
          <w:color w:val="000000"/>
          <w:lang w:eastAsia="en-US"/>
        </w:rPr>
        <w:t xml:space="preserve"> EFSI </w:t>
      </w:r>
      <w:r w:rsidR="0093518F">
        <w:rPr>
          <w:rFonts w:eastAsia="Calibri"/>
          <w:color w:val="000000"/>
          <w:lang w:eastAsia="en-US"/>
        </w:rPr>
        <w:t>kontekste, teikti techninę pagalbą Afrikos ir kitoms ES kaimynystės šalims kuriant tokią mokėjimų sistemą, kuomet p</w:t>
      </w:r>
      <w:r w:rsidR="00634DF1">
        <w:rPr>
          <w:rFonts w:eastAsia="Calibri"/>
          <w:color w:val="000000"/>
          <w:lang w:eastAsia="en-US"/>
        </w:rPr>
        <w:t>rekyboje būtų atsiskaitoma euru;</w:t>
      </w:r>
    </w:p>
    <w:p w:rsidR="0093518F" w:rsidRDefault="00F90228" w:rsidP="00F90228">
      <w:pPr>
        <w:pStyle w:val="prastasistinklapis"/>
        <w:jc w:val="both"/>
        <w:rPr>
          <w:rFonts w:eastAsia="Calibri"/>
          <w:color w:val="000000"/>
          <w:lang w:eastAsia="en-US"/>
        </w:rPr>
      </w:pPr>
      <w:r>
        <w:rPr>
          <w:rFonts w:eastAsia="Calibri"/>
          <w:color w:val="000000"/>
          <w:lang w:eastAsia="en-US"/>
        </w:rPr>
        <w:t xml:space="preserve">● </w:t>
      </w:r>
      <w:r w:rsidR="001B180A">
        <w:rPr>
          <w:rFonts w:eastAsia="Calibri"/>
          <w:color w:val="000000"/>
          <w:lang w:eastAsia="en-US"/>
        </w:rPr>
        <w:t>p</w:t>
      </w:r>
      <w:r w:rsidR="0093518F" w:rsidRPr="00281BBE">
        <w:rPr>
          <w:rFonts w:eastAsia="Calibri"/>
          <w:color w:val="000000"/>
          <w:lang w:eastAsia="en-US"/>
        </w:rPr>
        <w:t>apildomos priemonės strateginiuose sektoriuose kaip energetika, prekės, orlaivių gamyba (80 proc. ES energetikos importo sudaro atsiskaitymai doleriu): a)</w:t>
      </w:r>
      <w:r w:rsidR="001B180A">
        <w:rPr>
          <w:rFonts w:eastAsia="Calibri"/>
          <w:color w:val="000000"/>
          <w:lang w:eastAsia="en-US"/>
        </w:rPr>
        <w:t xml:space="preserve"> tarpvyriausybinėse energetikos </w:t>
      </w:r>
      <w:r w:rsidR="0093518F" w:rsidRPr="00281BBE">
        <w:rPr>
          <w:rFonts w:eastAsia="Calibri"/>
          <w:color w:val="000000"/>
          <w:lang w:eastAsia="en-US"/>
        </w:rPr>
        <w:t>sutartyse tarp E</w:t>
      </w:r>
      <w:r w:rsidR="001B180A">
        <w:rPr>
          <w:rFonts w:eastAsia="Calibri"/>
          <w:color w:val="000000"/>
          <w:lang w:eastAsia="en-US"/>
        </w:rPr>
        <w:t>S ir III šalių naudoti eurą. EK</w:t>
      </w:r>
      <w:r w:rsidR="0093518F" w:rsidRPr="00281BBE">
        <w:rPr>
          <w:rFonts w:eastAsia="Calibri"/>
          <w:color w:val="000000"/>
          <w:lang w:eastAsia="en-US"/>
        </w:rPr>
        <w:t xml:space="preserve"> ketina inicijuoti viešąsias konsultacijas, kurių metu skatins teikti nuomones dėl platesnio euro naudojimo naftos, dujų srityse. b) prekių srityje taip pat bus organizuojamos viešosios konsultacijos siekiant išsiaiškinti kokie galimi variantai eur</w:t>
      </w:r>
      <w:r w:rsidR="001B180A">
        <w:rPr>
          <w:rFonts w:eastAsia="Calibri"/>
          <w:color w:val="000000"/>
          <w:lang w:eastAsia="en-US"/>
        </w:rPr>
        <w:t>o stiprinimui šioje srityje; c)</w:t>
      </w:r>
      <w:r w:rsidR="0093518F" w:rsidRPr="00281BBE">
        <w:rPr>
          <w:rFonts w:eastAsia="Calibri"/>
          <w:color w:val="000000"/>
          <w:lang w:eastAsia="en-US"/>
        </w:rPr>
        <w:t xml:space="preserve"> taip pat bus konsultacijos ir trečioje - orlaivių gamybos srityje.</w:t>
      </w:r>
    </w:p>
    <w:p w:rsidR="0093518F" w:rsidRPr="0093518F" w:rsidRDefault="0093518F" w:rsidP="00F90228">
      <w:pPr>
        <w:pStyle w:val="prastasistinklapis"/>
        <w:jc w:val="both"/>
        <w:rPr>
          <w:rFonts w:eastAsia="Calibri"/>
          <w:color w:val="000000"/>
          <w:u w:val="single"/>
          <w:lang w:eastAsia="en-US"/>
        </w:rPr>
      </w:pPr>
      <w:r w:rsidRPr="0093518F">
        <w:rPr>
          <w:rFonts w:eastAsia="Calibri"/>
          <w:color w:val="000000"/>
          <w:u w:val="single"/>
          <w:lang w:eastAsia="en-US"/>
        </w:rPr>
        <w:t>EK apie pasiektą progresą informuos 2019 m. birželio mėnesį EVT.</w:t>
      </w:r>
    </w:p>
    <w:p w:rsidR="00863C8A" w:rsidRDefault="0093518F" w:rsidP="00F90228">
      <w:pPr>
        <w:autoSpaceDE w:val="0"/>
        <w:autoSpaceDN w:val="0"/>
        <w:adjustRightInd w:val="0"/>
        <w:spacing w:after="0" w:line="240" w:lineRule="auto"/>
        <w:jc w:val="both"/>
        <w:rPr>
          <w:rFonts w:cs="Times New Roman"/>
          <w:szCs w:val="24"/>
        </w:rPr>
      </w:pPr>
      <w:r w:rsidRPr="00DD2CB1">
        <w:rPr>
          <w:rFonts w:cs="Times New Roman"/>
          <w:b/>
          <w:color w:val="000000"/>
          <w:szCs w:val="24"/>
          <w:u w:val="single"/>
        </w:rPr>
        <w:t>Lietuvos pozicija</w:t>
      </w:r>
      <w:r w:rsidRPr="008F7763">
        <w:rPr>
          <w:rFonts w:cs="Times New Roman"/>
          <w:b/>
          <w:color w:val="000000"/>
          <w:szCs w:val="24"/>
        </w:rPr>
        <w:t xml:space="preserve">. </w:t>
      </w:r>
      <w:r w:rsidRPr="00DD2CB1">
        <w:rPr>
          <w:rFonts w:cs="Times New Roman"/>
          <w:color w:val="000000"/>
          <w:szCs w:val="24"/>
        </w:rPr>
        <w:t xml:space="preserve">Euro stiprinimas yra svarbi tema, ypač </w:t>
      </w:r>
      <w:proofErr w:type="spellStart"/>
      <w:r w:rsidRPr="00DD2CB1">
        <w:rPr>
          <w:rFonts w:cs="Times New Roman"/>
          <w:color w:val="000000"/>
          <w:szCs w:val="24"/>
        </w:rPr>
        <w:t>Brexit</w:t>
      </w:r>
      <w:proofErr w:type="spellEnd"/>
      <w:r w:rsidRPr="00DD2CB1">
        <w:rPr>
          <w:rFonts w:cs="Times New Roman"/>
          <w:color w:val="000000"/>
          <w:szCs w:val="24"/>
        </w:rPr>
        <w:t xml:space="preserve">, prekybos karų ir </w:t>
      </w:r>
      <w:r w:rsidR="00634DF1">
        <w:rPr>
          <w:rFonts w:cs="Times New Roman"/>
          <w:color w:val="000000"/>
          <w:szCs w:val="24"/>
        </w:rPr>
        <w:t>didėjančio protekcionizmo</w:t>
      </w:r>
      <w:r w:rsidRPr="00DD2CB1">
        <w:rPr>
          <w:rFonts w:cs="Times New Roman"/>
          <w:color w:val="000000"/>
          <w:szCs w:val="24"/>
        </w:rPr>
        <w:t xml:space="preserve"> kontekste. Sutinkame, kad </w:t>
      </w:r>
      <w:r>
        <w:rPr>
          <w:rFonts w:cs="Times New Roman"/>
          <w:color w:val="000000"/>
          <w:szCs w:val="24"/>
        </w:rPr>
        <w:t>tokio</w:t>
      </w:r>
      <w:r w:rsidR="00634DF1">
        <w:rPr>
          <w:rFonts w:cs="Times New Roman"/>
          <w:color w:val="000000"/>
          <w:szCs w:val="24"/>
        </w:rPr>
        <w:t>s priemonės kaip Bankų sąjungos ir</w:t>
      </w:r>
      <w:r w:rsidRPr="00DD2CB1">
        <w:rPr>
          <w:rFonts w:cs="Times New Roman"/>
          <w:color w:val="000000"/>
          <w:szCs w:val="24"/>
        </w:rPr>
        <w:t xml:space="preserve"> Kapitalo rinkų sąjungos</w:t>
      </w:r>
      <w:r>
        <w:rPr>
          <w:rFonts w:cs="Times New Roman"/>
          <w:color w:val="000000"/>
          <w:szCs w:val="24"/>
        </w:rPr>
        <w:t xml:space="preserve"> </w:t>
      </w:r>
      <w:r w:rsidRPr="00DD2CB1">
        <w:rPr>
          <w:rFonts w:cs="Times New Roman"/>
          <w:color w:val="000000"/>
          <w:szCs w:val="24"/>
        </w:rPr>
        <w:t>užbaigimas</w:t>
      </w:r>
      <w:r>
        <w:rPr>
          <w:rFonts w:cs="Times New Roman"/>
          <w:color w:val="000000"/>
          <w:szCs w:val="24"/>
        </w:rPr>
        <w:t xml:space="preserve"> gali sustiprinti euro vaidmenį, tačiau kitos priemonės, ypač </w:t>
      </w:r>
      <w:r w:rsidR="00634DF1">
        <w:rPr>
          <w:rFonts w:cs="Times New Roman"/>
          <w:color w:val="000000"/>
          <w:szCs w:val="24"/>
        </w:rPr>
        <w:t xml:space="preserve">susijusios su euro naudojimo skatinimu, </w:t>
      </w:r>
      <w:r>
        <w:rPr>
          <w:rFonts w:cs="Times New Roman"/>
          <w:color w:val="000000"/>
          <w:szCs w:val="24"/>
        </w:rPr>
        <w:t>reikalauja gilesnės analizės.</w:t>
      </w:r>
    </w:p>
    <w:p w:rsidR="00315CA2" w:rsidRDefault="00315CA2" w:rsidP="00F725F9">
      <w:pPr>
        <w:autoSpaceDE w:val="0"/>
        <w:autoSpaceDN w:val="0"/>
        <w:adjustRightInd w:val="0"/>
        <w:spacing w:after="0" w:line="240" w:lineRule="auto"/>
        <w:jc w:val="both"/>
        <w:rPr>
          <w:rFonts w:cs="Times New Roman"/>
          <w:szCs w:val="24"/>
        </w:rPr>
      </w:pPr>
    </w:p>
    <w:p w:rsidR="00634DF1" w:rsidRDefault="00634DF1" w:rsidP="00F725F9">
      <w:pPr>
        <w:autoSpaceDE w:val="0"/>
        <w:autoSpaceDN w:val="0"/>
        <w:adjustRightInd w:val="0"/>
        <w:spacing w:after="0" w:line="240" w:lineRule="auto"/>
        <w:jc w:val="both"/>
        <w:rPr>
          <w:rFonts w:cs="Times New Roman"/>
          <w:szCs w:val="24"/>
        </w:rPr>
      </w:pPr>
      <w:bookmarkStart w:id="0" w:name="_GoBack"/>
      <w:bookmarkEnd w:id="0"/>
    </w:p>
    <w:p w:rsidR="00323F70" w:rsidRPr="00546EBA" w:rsidRDefault="003B7DA9" w:rsidP="00F725F9">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b/>
          <w:szCs w:val="24"/>
        </w:rPr>
      </w:pPr>
      <w:r>
        <w:rPr>
          <w:b/>
          <w:szCs w:val="24"/>
        </w:rPr>
        <w:t>Europos V</w:t>
      </w:r>
      <w:r w:rsidR="00BE0F68">
        <w:rPr>
          <w:b/>
          <w:szCs w:val="24"/>
        </w:rPr>
        <w:t>adovų taryb</w:t>
      </w:r>
      <w:r w:rsidR="00DD2CB1">
        <w:rPr>
          <w:b/>
          <w:szCs w:val="24"/>
        </w:rPr>
        <w:t xml:space="preserve">os </w:t>
      </w:r>
      <w:r w:rsidR="00BE0F68">
        <w:rPr>
          <w:b/>
          <w:szCs w:val="24"/>
        </w:rPr>
        <w:t xml:space="preserve">(EVT) </w:t>
      </w:r>
      <w:r w:rsidR="00DD2CB1">
        <w:rPr>
          <w:b/>
          <w:szCs w:val="24"/>
        </w:rPr>
        <w:t>išvados</w:t>
      </w:r>
    </w:p>
    <w:p w:rsidR="00863C8A" w:rsidRDefault="00863C8A" w:rsidP="00F725F9">
      <w:pPr>
        <w:autoSpaceDE w:val="0"/>
        <w:autoSpaceDN w:val="0"/>
        <w:adjustRightInd w:val="0"/>
        <w:spacing w:after="0" w:line="240" w:lineRule="auto"/>
        <w:jc w:val="both"/>
        <w:rPr>
          <w:rFonts w:cs="Times New Roman"/>
          <w:szCs w:val="24"/>
        </w:rPr>
      </w:pPr>
    </w:p>
    <w:p w:rsidR="00D63FE8" w:rsidRPr="00CB5FE3" w:rsidRDefault="00D63FE8" w:rsidP="00D63FE8">
      <w:pPr>
        <w:spacing w:after="0" w:line="240" w:lineRule="auto"/>
        <w:jc w:val="both"/>
        <w:rPr>
          <w:rFonts w:cs="Times New Roman"/>
          <w:b/>
          <w:szCs w:val="24"/>
        </w:rPr>
      </w:pPr>
      <w:r w:rsidRPr="00CB5FE3">
        <w:rPr>
          <w:rFonts w:cs="Times New Roman"/>
          <w:b/>
          <w:szCs w:val="24"/>
          <w:u w:val="single"/>
        </w:rPr>
        <w:t>Klausimo esmė.</w:t>
      </w:r>
      <w:r w:rsidRPr="00CB5FE3">
        <w:rPr>
          <w:rFonts w:cs="Times New Roman"/>
          <w:b/>
          <w:szCs w:val="24"/>
        </w:rPr>
        <w:t xml:space="preserve"> </w:t>
      </w:r>
      <w:r w:rsidRPr="00CB5FE3">
        <w:rPr>
          <w:rFonts w:cs="Times New Roman"/>
          <w:szCs w:val="24"/>
        </w:rPr>
        <w:t>Posėdyje bus apsikeista nuomonėmis dėl tolesnių veiksmų po 2018 m. gruodžio 13-14</w:t>
      </w:r>
      <w:r w:rsidR="001B180A">
        <w:rPr>
          <w:rFonts w:cs="Times New Roman"/>
          <w:szCs w:val="24"/>
        </w:rPr>
        <w:t> </w:t>
      </w:r>
      <w:r w:rsidRPr="00CB5FE3">
        <w:rPr>
          <w:rFonts w:cs="Times New Roman"/>
          <w:szCs w:val="24"/>
        </w:rPr>
        <w:t xml:space="preserve"> d. Europos Vadovų Tarybos</w:t>
      </w:r>
      <w:r w:rsidRPr="00CB5FE3">
        <w:rPr>
          <w:rFonts w:cs="Times New Roman"/>
          <w:b/>
          <w:szCs w:val="24"/>
        </w:rPr>
        <w:t xml:space="preserve"> </w:t>
      </w:r>
      <w:r w:rsidRPr="00CB5FE3">
        <w:rPr>
          <w:rFonts w:cs="Times New Roman"/>
          <w:szCs w:val="24"/>
        </w:rPr>
        <w:t>(EVT).</w:t>
      </w:r>
      <w:r w:rsidRPr="00CB5FE3">
        <w:rPr>
          <w:rFonts w:cs="Times New Roman"/>
          <w:b/>
          <w:szCs w:val="24"/>
        </w:rPr>
        <w:t xml:space="preserve"> </w:t>
      </w:r>
    </w:p>
    <w:p w:rsidR="00D63FE8" w:rsidRDefault="00D63FE8" w:rsidP="00D63FE8">
      <w:pPr>
        <w:spacing w:after="0" w:line="240" w:lineRule="auto"/>
        <w:jc w:val="both"/>
        <w:rPr>
          <w:rFonts w:cs="Times New Roman"/>
          <w:szCs w:val="24"/>
        </w:rPr>
      </w:pPr>
      <w:r w:rsidRPr="00CB5FE3">
        <w:rPr>
          <w:rFonts w:cs="Times New Roman"/>
          <w:szCs w:val="24"/>
        </w:rPr>
        <w:t xml:space="preserve">EVT </w:t>
      </w:r>
      <w:r>
        <w:rPr>
          <w:rFonts w:cs="Times New Roman"/>
          <w:szCs w:val="24"/>
        </w:rPr>
        <w:t xml:space="preserve">Euro </w:t>
      </w:r>
      <w:proofErr w:type="spellStart"/>
      <w:r>
        <w:rPr>
          <w:rFonts w:cs="Times New Roman"/>
          <w:szCs w:val="24"/>
        </w:rPr>
        <w:t>Summit</w:t>
      </w:r>
      <w:proofErr w:type="spellEnd"/>
      <w:r>
        <w:rPr>
          <w:rFonts w:cs="Times New Roman"/>
          <w:szCs w:val="24"/>
        </w:rPr>
        <w:t xml:space="preserve"> formate </w:t>
      </w:r>
      <w:r w:rsidRPr="00CB5FE3">
        <w:rPr>
          <w:rFonts w:cs="Times New Roman"/>
          <w:szCs w:val="24"/>
        </w:rPr>
        <w:t xml:space="preserve">aptarė EPS gilinimo klausimus. Svarbiausi politiniai pasiekimai – sutarta dėl esminių Europos stabilumo mechanizmo (ESM) veikimo kaip </w:t>
      </w:r>
      <w:proofErr w:type="spellStart"/>
      <w:r w:rsidRPr="00CB5FE3">
        <w:rPr>
          <w:rFonts w:cs="Times New Roman"/>
          <w:i/>
          <w:szCs w:val="24"/>
        </w:rPr>
        <w:t>common</w:t>
      </w:r>
      <w:proofErr w:type="spellEnd"/>
      <w:r w:rsidRPr="00CB5FE3">
        <w:rPr>
          <w:rFonts w:cs="Times New Roman"/>
          <w:i/>
          <w:szCs w:val="24"/>
        </w:rPr>
        <w:t xml:space="preserve"> </w:t>
      </w:r>
      <w:proofErr w:type="spellStart"/>
      <w:r w:rsidRPr="00CB5FE3">
        <w:rPr>
          <w:rFonts w:cs="Times New Roman"/>
          <w:i/>
          <w:szCs w:val="24"/>
        </w:rPr>
        <w:t>backstop</w:t>
      </w:r>
      <w:proofErr w:type="spellEnd"/>
      <w:r w:rsidRPr="00CB5FE3">
        <w:rPr>
          <w:rFonts w:cs="Times New Roman"/>
          <w:szCs w:val="24"/>
        </w:rPr>
        <w:t xml:space="preserve"> (galutinė finansinio stabilumo užtikrinimo priemonė) Bendram pertvarkymo fondui elementų</w:t>
      </w:r>
      <w:r>
        <w:rPr>
          <w:rFonts w:cs="Times New Roman"/>
          <w:szCs w:val="24"/>
        </w:rPr>
        <w:t>.</w:t>
      </w:r>
    </w:p>
    <w:p w:rsidR="00D63FE8" w:rsidRPr="00CB5FE3" w:rsidRDefault="00D63FE8" w:rsidP="00D63FE8">
      <w:pPr>
        <w:spacing w:after="0" w:line="240" w:lineRule="auto"/>
        <w:jc w:val="both"/>
        <w:rPr>
          <w:rFonts w:cs="Times New Roman"/>
          <w:szCs w:val="24"/>
        </w:rPr>
      </w:pPr>
      <w:r>
        <w:rPr>
          <w:rFonts w:cs="Times New Roman"/>
          <w:szCs w:val="24"/>
        </w:rPr>
        <w:t>Konstatuotas progresas</w:t>
      </w:r>
      <w:r w:rsidRPr="00CB5FE3">
        <w:rPr>
          <w:rFonts w:cs="Times New Roman"/>
          <w:szCs w:val="24"/>
        </w:rPr>
        <w:t xml:space="preserve"> dėl rizikos mažinimo priemonių, ypatingai dėl neveiksnių paskolų (NPL) ir minimalių nuosavų lėšų ir tinkamų įsipareigojimų reikalavimo (MREL); </w:t>
      </w:r>
      <w:r>
        <w:rPr>
          <w:rFonts w:cs="Times New Roman"/>
          <w:szCs w:val="24"/>
        </w:rPr>
        <w:t>pasveikintas</w:t>
      </w:r>
      <w:r w:rsidRPr="00CB5FE3">
        <w:rPr>
          <w:rFonts w:cs="Times New Roman"/>
          <w:szCs w:val="24"/>
        </w:rPr>
        <w:t xml:space="preserve"> sutarimas dėl esminių Banko paketo nuostatų.</w:t>
      </w:r>
    </w:p>
    <w:p w:rsidR="00D63FE8" w:rsidRPr="00CB5FE3" w:rsidRDefault="00D63FE8" w:rsidP="00D63FE8">
      <w:pPr>
        <w:spacing w:after="0" w:line="240" w:lineRule="auto"/>
        <w:jc w:val="both"/>
        <w:rPr>
          <w:rFonts w:cs="Times New Roman"/>
          <w:szCs w:val="24"/>
        </w:rPr>
      </w:pPr>
      <w:r w:rsidRPr="00CB5FE3">
        <w:rPr>
          <w:rFonts w:cs="Times New Roman"/>
          <w:szCs w:val="24"/>
        </w:rPr>
        <w:t>Tačiau liko atviri klausimai, kurių nagrinėjimą planuojama tęsti per 2019 m. pirmąjį pusmetį. Pavyzdžiui, dėl Kapitalo rinkų sąjungos iki 2019  m. pavasario siekiama priimti pasiūlymus dėl pagrindinių teisės aktų; sukurti Aukšto lygio darbo grupę, su įgaliojimais toliau dirbti dėl Europos indėlių draudimo sistemos (EDIS) klausimų, kuri turėtų pateikti ataskaitą 2019 m. birželio mėn.</w:t>
      </w:r>
    </w:p>
    <w:p w:rsidR="00D63FE8" w:rsidRPr="00CB5FE3" w:rsidRDefault="00D63FE8" w:rsidP="00D63FE8">
      <w:pPr>
        <w:spacing w:after="0" w:line="240" w:lineRule="auto"/>
        <w:jc w:val="both"/>
        <w:rPr>
          <w:rFonts w:cs="Times New Roman"/>
          <w:szCs w:val="24"/>
        </w:rPr>
      </w:pPr>
      <w:r w:rsidRPr="00CB5FE3">
        <w:rPr>
          <w:rFonts w:cs="Times New Roman"/>
          <w:szCs w:val="24"/>
        </w:rPr>
        <w:t xml:space="preserve">Darbas toliau bus tęsiamas ir dėl ESM, siekiant parengti atitinkamus ESM sutarties pakeitimus iki 2019 m. birželio mėn. Taip pat iki 2019 m. birželio mėn. bus siekiama susitarimo dėl konvergencijos ir stabilizavimo </w:t>
      </w:r>
      <w:r w:rsidR="00634DF1">
        <w:rPr>
          <w:rFonts w:cs="Times New Roman"/>
          <w:szCs w:val="24"/>
        </w:rPr>
        <w:t>instrumento modalumų</w:t>
      </w:r>
      <w:r w:rsidRPr="00CB5FE3">
        <w:rPr>
          <w:rFonts w:cs="Times New Roman"/>
          <w:szCs w:val="24"/>
        </w:rPr>
        <w:t>.</w:t>
      </w:r>
    </w:p>
    <w:p w:rsidR="00D63FE8" w:rsidRPr="00CB5FE3" w:rsidRDefault="00D63FE8" w:rsidP="00D63FE8">
      <w:pPr>
        <w:spacing w:after="0" w:line="240" w:lineRule="auto"/>
        <w:jc w:val="both"/>
        <w:rPr>
          <w:rFonts w:cs="Times New Roman"/>
          <w:color w:val="000000"/>
          <w:szCs w:val="24"/>
        </w:rPr>
      </w:pPr>
      <w:r w:rsidRPr="00CB5FE3">
        <w:rPr>
          <w:rFonts w:cs="Times New Roman"/>
          <w:b/>
          <w:color w:val="000000"/>
          <w:szCs w:val="24"/>
          <w:u w:val="single"/>
        </w:rPr>
        <w:t>Lietuvos pozicija</w:t>
      </w:r>
      <w:r w:rsidRPr="00CB5FE3">
        <w:rPr>
          <w:rFonts w:cs="Times New Roman"/>
          <w:color w:val="000000"/>
          <w:szCs w:val="24"/>
        </w:rPr>
        <w:t xml:space="preserve">. Palaikome ankstyvą </w:t>
      </w:r>
      <w:proofErr w:type="spellStart"/>
      <w:r w:rsidRPr="00CB5FE3">
        <w:rPr>
          <w:rFonts w:cs="Times New Roman"/>
          <w:i/>
          <w:szCs w:val="24"/>
        </w:rPr>
        <w:t>common</w:t>
      </w:r>
      <w:proofErr w:type="spellEnd"/>
      <w:r w:rsidRPr="00CB5FE3">
        <w:rPr>
          <w:rFonts w:cs="Times New Roman"/>
          <w:i/>
          <w:szCs w:val="24"/>
        </w:rPr>
        <w:t xml:space="preserve"> </w:t>
      </w:r>
      <w:proofErr w:type="spellStart"/>
      <w:r w:rsidRPr="00CB5FE3">
        <w:rPr>
          <w:rFonts w:cs="Times New Roman"/>
          <w:i/>
          <w:szCs w:val="24"/>
        </w:rPr>
        <w:t>backstop</w:t>
      </w:r>
      <w:proofErr w:type="spellEnd"/>
      <w:r w:rsidRPr="00CB5FE3">
        <w:rPr>
          <w:rFonts w:cs="Times New Roman"/>
          <w:color w:val="000000"/>
          <w:szCs w:val="24"/>
        </w:rPr>
        <w:t xml:space="preserve"> aktyvavimą, nes tai </w:t>
      </w:r>
      <w:r>
        <w:rPr>
          <w:rFonts w:cs="Times New Roman"/>
          <w:color w:val="000000"/>
          <w:szCs w:val="24"/>
        </w:rPr>
        <w:t>sustiprintų</w:t>
      </w:r>
      <w:r w:rsidRPr="00CB5FE3">
        <w:rPr>
          <w:rFonts w:cs="Times New Roman"/>
          <w:color w:val="000000"/>
          <w:szCs w:val="24"/>
        </w:rPr>
        <w:t xml:space="preserve"> Bendr</w:t>
      </w:r>
      <w:r>
        <w:rPr>
          <w:rFonts w:cs="Times New Roman"/>
          <w:color w:val="000000"/>
          <w:szCs w:val="24"/>
        </w:rPr>
        <w:t>ąjį</w:t>
      </w:r>
      <w:r w:rsidRPr="00CB5FE3">
        <w:rPr>
          <w:rFonts w:cs="Times New Roman"/>
          <w:color w:val="000000"/>
          <w:szCs w:val="24"/>
        </w:rPr>
        <w:t xml:space="preserve"> pertvarkymo mechanizm</w:t>
      </w:r>
      <w:r>
        <w:rPr>
          <w:rFonts w:cs="Times New Roman"/>
          <w:color w:val="000000"/>
          <w:szCs w:val="24"/>
        </w:rPr>
        <w:t>ą</w:t>
      </w:r>
      <w:r w:rsidRPr="00CB5FE3">
        <w:rPr>
          <w:rFonts w:cs="Times New Roman"/>
          <w:color w:val="000000"/>
          <w:szCs w:val="24"/>
        </w:rPr>
        <w:t>, kurio tikslas – užtikrinti tvarkin</w:t>
      </w:r>
      <w:r>
        <w:rPr>
          <w:rFonts w:cs="Times New Roman"/>
          <w:color w:val="000000"/>
          <w:szCs w:val="24"/>
        </w:rPr>
        <w:t>gą žlungančių bankų pertvarkymą</w:t>
      </w:r>
      <w:r w:rsidRPr="00CB5FE3">
        <w:rPr>
          <w:rFonts w:cs="Times New Roman"/>
          <w:color w:val="000000"/>
          <w:szCs w:val="24"/>
        </w:rPr>
        <w:t xml:space="preserve">. Dėl EDIS – Lietuva pasisako už Bankų sąjungos užbaigimą ir visišką visų trijų jos pakopų įgyvendinimą ilgesnėje perspektyvoje. Klausimas dėl papildomų konvergencijos ir stabilizavimo mechanizmų pridėtinės vertės ir poreikio išlieka. Nuosekliai pasisakome už esamų instrumentų stiprinimą ES biudžeto kontekste, kurie yra skirti konvergencijai ir investicijoms. </w:t>
      </w:r>
    </w:p>
    <w:p w:rsidR="00DD2CB1" w:rsidRDefault="00DD2CB1" w:rsidP="00D63FE8">
      <w:pPr>
        <w:spacing w:after="0" w:line="240" w:lineRule="auto"/>
        <w:jc w:val="both"/>
        <w:rPr>
          <w:rFonts w:cs="Times New Roman"/>
          <w:color w:val="000000"/>
          <w:szCs w:val="24"/>
        </w:rPr>
      </w:pPr>
    </w:p>
    <w:sectPr w:rsidR="00DD2CB1" w:rsidSect="00F725F9">
      <w:footerReference w:type="default" r:id="rId9"/>
      <w:pgSz w:w="11906" w:h="16838"/>
      <w:pgMar w:top="709"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523" w:rsidRDefault="003A4523" w:rsidP="00CA70EF">
      <w:pPr>
        <w:spacing w:after="0" w:line="240" w:lineRule="auto"/>
      </w:pPr>
      <w:r>
        <w:separator/>
      </w:r>
    </w:p>
  </w:endnote>
  <w:endnote w:type="continuationSeparator" w:id="0">
    <w:p w:rsidR="003A4523" w:rsidRDefault="003A4523" w:rsidP="00CA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380986"/>
      <w:docPartObj>
        <w:docPartGallery w:val="Page Numbers (Bottom of Page)"/>
        <w:docPartUnique/>
      </w:docPartObj>
    </w:sdtPr>
    <w:sdtEndPr/>
    <w:sdtContent>
      <w:p w:rsidR="00315CA2" w:rsidRDefault="00315CA2">
        <w:pPr>
          <w:pStyle w:val="Porat"/>
          <w:jc w:val="right"/>
        </w:pPr>
        <w:r>
          <w:fldChar w:fldCharType="begin"/>
        </w:r>
        <w:r>
          <w:instrText>PAGE   \* MERGEFORMAT</w:instrText>
        </w:r>
        <w:r>
          <w:fldChar w:fldCharType="separate"/>
        </w:r>
        <w:r w:rsidR="00634DF1">
          <w:rPr>
            <w:noProof/>
          </w:rPr>
          <w:t>6</w:t>
        </w:r>
        <w:r>
          <w:fldChar w:fldCharType="end"/>
        </w:r>
      </w:p>
    </w:sdtContent>
  </w:sdt>
  <w:p w:rsidR="00315CA2" w:rsidRDefault="00315C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523" w:rsidRDefault="003A4523" w:rsidP="00CA70EF">
      <w:pPr>
        <w:spacing w:after="0" w:line="240" w:lineRule="auto"/>
      </w:pPr>
      <w:r>
        <w:separator/>
      </w:r>
    </w:p>
  </w:footnote>
  <w:footnote w:type="continuationSeparator" w:id="0">
    <w:p w:rsidR="003A4523" w:rsidRDefault="003A4523" w:rsidP="00CA70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59C3"/>
    <w:multiLevelType w:val="hybridMultilevel"/>
    <w:tmpl w:val="57AE3466"/>
    <w:lvl w:ilvl="0" w:tplc="2829F52C">
      <w:start w:val="1"/>
      <w:numFmt w:val="bullet"/>
      <w:lvlText w:val="·"/>
      <w:lvlJc w:val="left"/>
      <w:pPr>
        <w:ind w:left="720" w:hanging="360"/>
      </w:pPr>
      <w:rPr>
        <w:rFonts w:ascii="Symbol" w:hAnsi="Symbol"/>
      </w:rPr>
    </w:lvl>
    <w:lvl w:ilvl="1" w:tplc="4947271A">
      <w:start w:val="1"/>
      <w:numFmt w:val="bullet"/>
      <w:lvlText w:val="o"/>
      <w:lvlJc w:val="left"/>
      <w:pPr>
        <w:ind w:left="1440" w:hanging="360"/>
      </w:pPr>
      <w:rPr>
        <w:rFonts w:ascii="Symbol" w:hAnsi="Symbol"/>
      </w:rPr>
    </w:lvl>
    <w:lvl w:ilvl="2" w:tplc="09C6FE9D">
      <w:start w:val="1"/>
      <w:numFmt w:val="bullet"/>
      <w:lvlText w:val="·"/>
      <w:lvlJc w:val="left"/>
      <w:pPr>
        <w:ind w:left="2160" w:hanging="360"/>
      </w:pPr>
      <w:rPr>
        <w:rFonts w:ascii="Symbol" w:hAnsi="Symbol"/>
      </w:rPr>
    </w:lvl>
    <w:lvl w:ilvl="3" w:tplc="5465D9FE">
      <w:start w:val="1"/>
      <w:numFmt w:val="bullet"/>
      <w:lvlText w:val="o"/>
      <w:lvlJc w:val="left"/>
      <w:pPr>
        <w:ind w:left="2880" w:hanging="360"/>
      </w:pPr>
      <w:rPr>
        <w:rFonts w:ascii="Symbol" w:hAnsi="Symbol"/>
      </w:rPr>
    </w:lvl>
    <w:lvl w:ilvl="4" w:tplc="0BF99CF2">
      <w:start w:val="1"/>
      <w:numFmt w:val="bullet"/>
      <w:lvlText w:val="·"/>
      <w:lvlJc w:val="left"/>
      <w:pPr>
        <w:ind w:left="3600" w:hanging="360"/>
      </w:pPr>
      <w:rPr>
        <w:rFonts w:ascii="Symbol" w:hAnsi="Symbol"/>
      </w:rPr>
    </w:lvl>
    <w:lvl w:ilvl="5" w:tplc="08B5CB76">
      <w:start w:val="1"/>
      <w:numFmt w:val="bullet"/>
      <w:lvlText w:val="o"/>
      <w:lvlJc w:val="left"/>
      <w:pPr>
        <w:ind w:left="4320" w:hanging="360"/>
      </w:pPr>
      <w:rPr>
        <w:rFonts w:ascii="Symbol" w:hAnsi="Symbol"/>
      </w:rPr>
    </w:lvl>
    <w:lvl w:ilvl="6" w:tplc="1AEDEFE3">
      <w:start w:val="1"/>
      <w:numFmt w:val="bullet"/>
      <w:lvlText w:val="·"/>
      <w:lvlJc w:val="left"/>
      <w:pPr>
        <w:ind w:left="5040" w:hanging="360"/>
      </w:pPr>
      <w:rPr>
        <w:rFonts w:ascii="Symbol" w:hAnsi="Symbol"/>
      </w:rPr>
    </w:lvl>
    <w:lvl w:ilvl="7" w:tplc="13B893EE">
      <w:start w:val="1"/>
      <w:numFmt w:val="bullet"/>
      <w:lvlText w:val="o"/>
      <w:lvlJc w:val="left"/>
      <w:pPr>
        <w:ind w:left="5760" w:hanging="360"/>
      </w:pPr>
      <w:rPr>
        <w:rFonts w:ascii="Symbol" w:hAnsi="Symbol"/>
      </w:rPr>
    </w:lvl>
    <w:lvl w:ilvl="8" w:tplc="72D96613">
      <w:start w:val="1"/>
      <w:numFmt w:val="bullet"/>
      <w:lvlText w:val="·"/>
      <w:lvlJc w:val="left"/>
      <w:pPr>
        <w:ind w:left="6480" w:hanging="360"/>
      </w:pPr>
      <w:rPr>
        <w:rFonts w:ascii="Symbol" w:hAnsi="Symbol"/>
      </w:rPr>
    </w:lvl>
  </w:abstractNum>
  <w:abstractNum w:abstractNumId="1">
    <w:nsid w:val="22C45ED6"/>
    <w:multiLevelType w:val="hybridMultilevel"/>
    <w:tmpl w:val="F682754A"/>
    <w:lvl w:ilvl="0" w:tplc="F652337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92C6E4C"/>
    <w:multiLevelType w:val="multilevel"/>
    <w:tmpl w:val="60DC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80108E"/>
    <w:multiLevelType w:val="hybridMultilevel"/>
    <w:tmpl w:val="8A06A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790723C6"/>
    <w:multiLevelType w:val="hybridMultilevel"/>
    <w:tmpl w:val="5D48E94E"/>
    <w:lvl w:ilvl="0" w:tplc="3FF04744">
      <w:start w:val="1"/>
      <w:numFmt w:val="bullet"/>
      <w:lvlText w:val="·"/>
      <w:lvlJc w:val="left"/>
      <w:pPr>
        <w:ind w:left="720" w:hanging="360"/>
      </w:pPr>
      <w:rPr>
        <w:rFonts w:ascii="Symbol" w:hAnsi="Symbol"/>
      </w:rPr>
    </w:lvl>
    <w:lvl w:ilvl="1" w:tplc="6FDA30BD">
      <w:start w:val="1"/>
      <w:numFmt w:val="bullet"/>
      <w:lvlText w:val="o"/>
      <w:lvlJc w:val="left"/>
      <w:pPr>
        <w:ind w:left="1440" w:hanging="360"/>
      </w:pPr>
      <w:rPr>
        <w:rFonts w:ascii="Symbol" w:hAnsi="Symbol"/>
      </w:rPr>
    </w:lvl>
    <w:lvl w:ilvl="2" w:tplc="2B2776A4">
      <w:start w:val="1"/>
      <w:numFmt w:val="bullet"/>
      <w:lvlText w:val="·"/>
      <w:lvlJc w:val="left"/>
      <w:pPr>
        <w:ind w:left="2160" w:hanging="360"/>
      </w:pPr>
      <w:rPr>
        <w:rFonts w:ascii="Symbol" w:hAnsi="Symbol"/>
      </w:rPr>
    </w:lvl>
    <w:lvl w:ilvl="3" w:tplc="11404CA8">
      <w:start w:val="1"/>
      <w:numFmt w:val="bullet"/>
      <w:lvlText w:val="o"/>
      <w:lvlJc w:val="left"/>
      <w:pPr>
        <w:ind w:left="2880" w:hanging="360"/>
      </w:pPr>
      <w:rPr>
        <w:rFonts w:ascii="Symbol" w:hAnsi="Symbol"/>
      </w:rPr>
    </w:lvl>
    <w:lvl w:ilvl="4" w:tplc="7F570474">
      <w:start w:val="1"/>
      <w:numFmt w:val="bullet"/>
      <w:lvlText w:val="·"/>
      <w:lvlJc w:val="left"/>
      <w:pPr>
        <w:ind w:left="3600" w:hanging="360"/>
      </w:pPr>
      <w:rPr>
        <w:rFonts w:ascii="Symbol" w:hAnsi="Symbol"/>
      </w:rPr>
    </w:lvl>
    <w:lvl w:ilvl="5" w:tplc="6E429DED">
      <w:start w:val="1"/>
      <w:numFmt w:val="bullet"/>
      <w:lvlText w:val="o"/>
      <w:lvlJc w:val="left"/>
      <w:pPr>
        <w:ind w:left="4320" w:hanging="360"/>
      </w:pPr>
      <w:rPr>
        <w:rFonts w:ascii="Symbol" w:hAnsi="Symbol"/>
      </w:rPr>
    </w:lvl>
    <w:lvl w:ilvl="6" w:tplc="6EF8EC77">
      <w:start w:val="1"/>
      <w:numFmt w:val="bullet"/>
      <w:lvlText w:val="·"/>
      <w:lvlJc w:val="left"/>
      <w:pPr>
        <w:ind w:left="5040" w:hanging="360"/>
      </w:pPr>
      <w:rPr>
        <w:rFonts w:ascii="Symbol" w:hAnsi="Symbol"/>
      </w:rPr>
    </w:lvl>
    <w:lvl w:ilvl="7" w:tplc="4F1836BF">
      <w:start w:val="1"/>
      <w:numFmt w:val="bullet"/>
      <w:lvlText w:val="o"/>
      <w:lvlJc w:val="left"/>
      <w:pPr>
        <w:ind w:left="5760" w:hanging="360"/>
      </w:pPr>
      <w:rPr>
        <w:rFonts w:ascii="Symbol" w:hAnsi="Symbol"/>
      </w:rPr>
    </w:lvl>
    <w:lvl w:ilvl="8" w:tplc="767960D6">
      <w:start w:val="1"/>
      <w:numFmt w:val="bullet"/>
      <w:lvlText w:val="·"/>
      <w:lvlJc w:val="left"/>
      <w:pPr>
        <w:ind w:left="6480" w:hanging="360"/>
      </w:pPr>
      <w:rPr>
        <w:rFonts w:ascii="Symbol" w:hAnsi="Symbol"/>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40"/>
    <w:rsid w:val="00036C9B"/>
    <w:rsid w:val="000A6246"/>
    <w:rsid w:val="00120D14"/>
    <w:rsid w:val="001517F4"/>
    <w:rsid w:val="00173C4E"/>
    <w:rsid w:val="00196D2C"/>
    <w:rsid w:val="001B180A"/>
    <w:rsid w:val="00251724"/>
    <w:rsid w:val="002572F3"/>
    <w:rsid w:val="00267738"/>
    <w:rsid w:val="002907CC"/>
    <w:rsid w:val="0029554C"/>
    <w:rsid w:val="00297D77"/>
    <w:rsid w:val="002F5336"/>
    <w:rsid w:val="00315CA2"/>
    <w:rsid w:val="00323F70"/>
    <w:rsid w:val="003316EF"/>
    <w:rsid w:val="00351711"/>
    <w:rsid w:val="00364BD5"/>
    <w:rsid w:val="00375E81"/>
    <w:rsid w:val="00380CB2"/>
    <w:rsid w:val="00382E88"/>
    <w:rsid w:val="003A4523"/>
    <w:rsid w:val="003B7DA9"/>
    <w:rsid w:val="004952B0"/>
    <w:rsid w:val="004E56FE"/>
    <w:rsid w:val="00523C46"/>
    <w:rsid w:val="00546EBA"/>
    <w:rsid w:val="00563C6C"/>
    <w:rsid w:val="00590243"/>
    <w:rsid w:val="005C1381"/>
    <w:rsid w:val="00613C5B"/>
    <w:rsid w:val="00634DF1"/>
    <w:rsid w:val="00646CDD"/>
    <w:rsid w:val="00676CED"/>
    <w:rsid w:val="00687257"/>
    <w:rsid w:val="006A5604"/>
    <w:rsid w:val="00725FE5"/>
    <w:rsid w:val="007424A4"/>
    <w:rsid w:val="00744CC1"/>
    <w:rsid w:val="007668C2"/>
    <w:rsid w:val="007D319A"/>
    <w:rsid w:val="007E1F06"/>
    <w:rsid w:val="0084520E"/>
    <w:rsid w:val="00861D50"/>
    <w:rsid w:val="00863C8A"/>
    <w:rsid w:val="008C3792"/>
    <w:rsid w:val="008F18CC"/>
    <w:rsid w:val="008F7763"/>
    <w:rsid w:val="009038E8"/>
    <w:rsid w:val="0093518F"/>
    <w:rsid w:val="00960522"/>
    <w:rsid w:val="009C7F6C"/>
    <w:rsid w:val="009D4DFA"/>
    <w:rsid w:val="00A47A9A"/>
    <w:rsid w:val="00A7013E"/>
    <w:rsid w:val="00AF438B"/>
    <w:rsid w:val="00B249C7"/>
    <w:rsid w:val="00B57322"/>
    <w:rsid w:val="00B577B4"/>
    <w:rsid w:val="00B720FA"/>
    <w:rsid w:val="00B87ADC"/>
    <w:rsid w:val="00BE0F68"/>
    <w:rsid w:val="00BE2E6B"/>
    <w:rsid w:val="00C01740"/>
    <w:rsid w:val="00C05BBA"/>
    <w:rsid w:val="00CA70EF"/>
    <w:rsid w:val="00CC76C0"/>
    <w:rsid w:val="00CE2FE8"/>
    <w:rsid w:val="00D05CC5"/>
    <w:rsid w:val="00D108B2"/>
    <w:rsid w:val="00D609E6"/>
    <w:rsid w:val="00D63FE8"/>
    <w:rsid w:val="00D93099"/>
    <w:rsid w:val="00DD26BC"/>
    <w:rsid w:val="00DD2CB1"/>
    <w:rsid w:val="00F725F9"/>
    <w:rsid w:val="00F90228"/>
    <w:rsid w:val="00F92876"/>
    <w:rsid w:val="00FB6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63C8A"/>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basedOn w:val="prastasis"/>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63C8A"/>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basedOn w:val="prastasis"/>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872405">
      <w:bodyDiv w:val="1"/>
      <w:marLeft w:val="0"/>
      <w:marRight w:val="0"/>
      <w:marTop w:val="0"/>
      <w:marBottom w:val="0"/>
      <w:divBdr>
        <w:top w:val="none" w:sz="0" w:space="0" w:color="auto"/>
        <w:left w:val="none" w:sz="0" w:space="0" w:color="auto"/>
        <w:bottom w:val="none" w:sz="0" w:space="0" w:color="auto"/>
        <w:right w:val="none" w:sz="0" w:space="0" w:color="auto"/>
      </w:divBdr>
    </w:div>
    <w:div w:id="2071800983">
      <w:bodyDiv w:val="1"/>
      <w:marLeft w:val="0"/>
      <w:marRight w:val="0"/>
      <w:marTop w:val="0"/>
      <w:marBottom w:val="0"/>
      <w:divBdr>
        <w:top w:val="none" w:sz="0" w:space="0" w:color="auto"/>
        <w:left w:val="none" w:sz="0" w:space="0" w:color="auto"/>
        <w:bottom w:val="none" w:sz="0" w:space="0" w:color="auto"/>
        <w:right w:val="none" w:sz="0" w:space="0" w:color="auto"/>
      </w:divBdr>
      <w:divsChild>
        <w:div w:id="407508289">
          <w:marLeft w:val="0"/>
          <w:marRight w:val="0"/>
          <w:marTop w:val="0"/>
          <w:marBottom w:val="0"/>
          <w:divBdr>
            <w:top w:val="none" w:sz="0" w:space="0" w:color="auto"/>
            <w:left w:val="none" w:sz="0" w:space="0" w:color="auto"/>
            <w:bottom w:val="none" w:sz="0" w:space="0" w:color="auto"/>
            <w:right w:val="none" w:sz="0" w:space="0" w:color="auto"/>
          </w:divBdr>
          <w:divsChild>
            <w:div w:id="490827250">
              <w:marLeft w:val="0"/>
              <w:marRight w:val="0"/>
              <w:marTop w:val="0"/>
              <w:marBottom w:val="0"/>
              <w:divBdr>
                <w:top w:val="none" w:sz="0" w:space="0" w:color="auto"/>
                <w:left w:val="none" w:sz="0" w:space="0" w:color="auto"/>
                <w:bottom w:val="none" w:sz="0" w:space="0" w:color="auto"/>
                <w:right w:val="none" w:sz="0" w:space="0" w:color="auto"/>
              </w:divBdr>
              <w:divsChild>
                <w:div w:id="1926068837">
                  <w:marLeft w:val="0"/>
                  <w:marRight w:val="0"/>
                  <w:marTop w:val="0"/>
                  <w:marBottom w:val="0"/>
                  <w:divBdr>
                    <w:top w:val="none" w:sz="0" w:space="0" w:color="auto"/>
                    <w:left w:val="none" w:sz="0" w:space="0" w:color="auto"/>
                    <w:bottom w:val="none" w:sz="0" w:space="0" w:color="auto"/>
                    <w:right w:val="none" w:sz="0" w:space="0" w:color="auto"/>
                  </w:divBdr>
                  <w:divsChild>
                    <w:div w:id="895094491">
                      <w:marLeft w:val="0"/>
                      <w:marRight w:val="0"/>
                      <w:marTop w:val="0"/>
                      <w:marBottom w:val="0"/>
                      <w:divBdr>
                        <w:top w:val="none" w:sz="0" w:space="0" w:color="auto"/>
                        <w:left w:val="none" w:sz="0" w:space="0" w:color="auto"/>
                        <w:bottom w:val="none" w:sz="0" w:space="0" w:color="auto"/>
                        <w:right w:val="none" w:sz="0" w:space="0" w:color="auto"/>
                      </w:divBdr>
                      <w:divsChild>
                        <w:div w:id="1682272695">
                          <w:marLeft w:val="0"/>
                          <w:marRight w:val="0"/>
                          <w:marTop w:val="0"/>
                          <w:marBottom w:val="0"/>
                          <w:divBdr>
                            <w:top w:val="none" w:sz="0" w:space="0" w:color="auto"/>
                            <w:left w:val="none" w:sz="0" w:space="0" w:color="auto"/>
                            <w:bottom w:val="none" w:sz="0" w:space="0" w:color="auto"/>
                            <w:right w:val="none" w:sz="0" w:space="0" w:color="auto"/>
                          </w:divBdr>
                        </w:div>
                        <w:div w:id="1574850277">
                          <w:marLeft w:val="0"/>
                          <w:marRight w:val="0"/>
                          <w:marTop w:val="0"/>
                          <w:marBottom w:val="0"/>
                          <w:divBdr>
                            <w:top w:val="none" w:sz="0" w:space="0" w:color="auto"/>
                            <w:left w:val="none" w:sz="0" w:space="0" w:color="auto"/>
                            <w:bottom w:val="none" w:sz="0" w:space="0" w:color="auto"/>
                            <w:right w:val="none" w:sz="0" w:space="0" w:color="auto"/>
                          </w:divBdr>
                          <w:divsChild>
                            <w:div w:id="553197089">
                              <w:marLeft w:val="0"/>
                              <w:marRight w:val="300"/>
                              <w:marTop w:val="180"/>
                              <w:marBottom w:val="0"/>
                              <w:divBdr>
                                <w:top w:val="none" w:sz="0" w:space="0" w:color="auto"/>
                                <w:left w:val="none" w:sz="0" w:space="0" w:color="auto"/>
                                <w:bottom w:val="none" w:sz="0" w:space="0" w:color="auto"/>
                                <w:right w:val="none" w:sz="0" w:space="0" w:color="auto"/>
                              </w:divBdr>
                              <w:divsChild>
                                <w:div w:id="5283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074713">
          <w:marLeft w:val="0"/>
          <w:marRight w:val="0"/>
          <w:marTop w:val="0"/>
          <w:marBottom w:val="0"/>
          <w:divBdr>
            <w:top w:val="none" w:sz="0" w:space="0" w:color="auto"/>
            <w:left w:val="none" w:sz="0" w:space="0" w:color="auto"/>
            <w:bottom w:val="none" w:sz="0" w:space="0" w:color="auto"/>
            <w:right w:val="none" w:sz="0" w:space="0" w:color="auto"/>
          </w:divBdr>
          <w:divsChild>
            <w:div w:id="1496073497">
              <w:marLeft w:val="0"/>
              <w:marRight w:val="0"/>
              <w:marTop w:val="0"/>
              <w:marBottom w:val="0"/>
              <w:divBdr>
                <w:top w:val="none" w:sz="0" w:space="0" w:color="auto"/>
                <w:left w:val="none" w:sz="0" w:space="0" w:color="auto"/>
                <w:bottom w:val="none" w:sz="0" w:space="0" w:color="auto"/>
                <w:right w:val="none" w:sz="0" w:space="0" w:color="auto"/>
              </w:divBdr>
              <w:divsChild>
                <w:div w:id="1190878957">
                  <w:marLeft w:val="0"/>
                  <w:marRight w:val="0"/>
                  <w:marTop w:val="0"/>
                  <w:marBottom w:val="0"/>
                  <w:divBdr>
                    <w:top w:val="none" w:sz="0" w:space="0" w:color="auto"/>
                    <w:left w:val="none" w:sz="0" w:space="0" w:color="auto"/>
                    <w:bottom w:val="none" w:sz="0" w:space="0" w:color="auto"/>
                    <w:right w:val="none" w:sz="0" w:space="0" w:color="auto"/>
                  </w:divBdr>
                  <w:divsChild>
                    <w:div w:id="769012965">
                      <w:marLeft w:val="0"/>
                      <w:marRight w:val="0"/>
                      <w:marTop w:val="0"/>
                      <w:marBottom w:val="0"/>
                      <w:divBdr>
                        <w:top w:val="none" w:sz="0" w:space="0" w:color="auto"/>
                        <w:left w:val="none" w:sz="0" w:space="0" w:color="auto"/>
                        <w:bottom w:val="none" w:sz="0" w:space="0" w:color="auto"/>
                        <w:right w:val="none" w:sz="0" w:space="0" w:color="auto"/>
                      </w:divBdr>
                      <w:divsChild>
                        <w:div w:id="1512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FA06B-BEB8-4D5D-A767-B34585A1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6</Pages>
  <Words>14354</Words>
  <Characters>8182</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Vysockaja-Mockienė</dc:creator>
  <cp:lastModifiedBy>Audronė Pavlovičienė</cp:lastModifiedBy>
  <cp:revision>18</cp:revision>
  <cp:lastPrinted>2019-01-14T08:33:00Z</cp:lastPrinted>
  <dcterms:created xsi:type="dcterms:W3CDTF">2019-01-10T08:46:00Z</dcterms:created>
  <dcterms:modified xsi:type="dcterms:W3CDTF">2019-01-14T11:30:00Z</dcterms:modified>
</cp:coreProperties>
</file>