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874B" w14:textId="462EDEAE" w:rsidR="006D093E" w:rsidRPr="00CD720C" w:rsidRDefault="00DB62A6" w:rsidP="0029297D">
      <w:pPr>
        <w:widowControl/>
        <w:tabs>
          <w:tab w:val="left" w:pos="6379"/>
        </w:tabs>
        <w:wordWrap/>
        <w:spacing w:line="276" w:lineRule="auto"/>
        <w:jc w:val="left"/>
        <w:rPr>
          <w:rFonts w:ascii="Times New Roman" w:eastAsia="Calibri"/>
          <w:sz w:val="24"/>
          <w:lang w:val="lt-LT"/>
        </w:rPr>
      </w:pPr>
      <w:r w:rsidRPr="00CD720C">
        <w:rPr>
          <w:rFonts w:ascii="Times New Roman" w:eastAsia="Calibri"/>
          <w:sz w:val="24"/>
          <w:lang w:val="lt-LT"/>
        </w:rPr>
        <w:tab/>
      </w:r>
    </w:p>
    <w:p w14:paraId="0558874C" w14:textId="77777777" w:rsidR="00D8582E" w:rsidRPr="00CD720C" w:rsidRDefault="00D8582E" w:rsidP="00DB62A6">
      <w:pPr>
        <w:widowControl/>
        <w:tabs>
          <w:tab w:val="left" w:pos="6379"/>
        </w:tabs>
        <w:wordWrap/>
        <w:spacing w:line="276" w:lineRule="auto"/>
        <w:ind w:firstLine="1298"/>
        <w:jc w:val="left"/>
        <w:rPr>
          <w:rFonts w:ascii="Times New Roman" w:eastAsia="Calibri"/>
          <w:sz w:val="24"/>
          <w:lang w:val="lt-LT"/>
        </w:rPr>
      </w:pPr>
    </w:p>
    <w:p w14:paraId="41010612" w14:textId="77777777" w:rsidR="00EA1A01" w:rsidRPr="00CD720C" w:rsidRDefault="006D093E">
      <w:pPr>
        <w:widowControl/>
        <w:wordWrap/>
        <w:spacing w:line="276" w:lineRule="auto"/>
        <w:jc w:val="center"/>
        <w:rPr>
          <w:rFonts w:ascii="Times New Roman" w:eastAsia="Calibri"/>
          <w:b/>
          <w:sz w:val="24"/>
          <w:lang w:val="lt-LT"/>
        </w:rPr>
      </w:pPr>
      <w:r w:rsidRPr="00CD720C">
        <w:rPr>
          <w:rFonts w:ascii="Times New Roman" w:eastAsia="Calibri"/>
          <w:b/>
          <w:sz w:val="24"/>
          <w:lang w:val="lt-LT"/>
        </w:rPr>
        <w:t>LIETUVOS KAIMO PLĖTROS 20</w:t>
      </w:r>
      <w:r w:rsidR="008F7163" w:rsidRPr="00CD720C">
        <w:rPr>
          <w:rFonts w:ascii="Times New Roman" w:eastAsia="Calibri"/>
          <w:b/>
          <w:sz w:val="24"/>
          <w:lang w:val="lt-LT"/>
        </w:rPr>
        <w:t>14</w:t>
      </w:r>
      <w:r w:rsidRPr="00CD720C">
        <w:rPr>
          <w:rFonts w:ascii="Times New Roman" w:eastAsia="Calibri"/>
          <w:b/>
          <w:sz w:val="24"/>
          <w:lang w:val="lt-LT"/>
        </w:rPr>
        <w:t>–20</w:t>
      </w:r>
      <w:r w:rsidR="008F7163" w:rsidRPr="00CD720C">
        <w:rPr>
          <w:rFonts w:ascii="Times New Roman" w:eastAsia="Calibri"/>
          <w:b/>
          <w:sz w:val="24"/>
          <w:lang w:val="lt-LT"/>
        </w:rPr>
        <w:t>20</w:t>
      </w:r>
      <w:r w:rsidRPr="00CD720C">
        <w:rPr>
          <w:rFonts w:ascii="Times New Roman" w:eastAsia="Calibri"/>
          <w:b/>
          <w:sz w:val="24"/>
          <w:lang w:val="lt-LT"/>
        </w:rPr>
        <w:t xml:space="preserve"> M. PROGRAMOS </w:t>
      </w:r>
    </w:p>
    <w:p w14:paraId="42D0CB2F" w14:textId="60735007" w:rsidR="00EA1A01" w:rsidRPr="00CD720C" w:rsidRDefault="00EA1A01">
      <w:pPr>
        <w:widowControl/>
        <w:wordWrap/>
        <w:spacing w:line="276" w:lineRule="auto"/>
        <w:jc w:val="center"/>
        <w:rPr>
          <w:rFonts w:ascii="Times New Roman" w:eastAsia="Calibri"/>
          <w:b/>
          <w:sz w:val="24"/>
          <w:lang w:val="lt-LT"/>
        </w:rPr>
      </w:pPr>
      <w:r w:rsidRPr="00CD720C">
        <w:rPr>
          <w:rFonts w:ascii="Times New Roman" w:eastAsia="Calibri"/>
          <w:b/>
          <w:sz w:val="24"/>
          <w:lang w:val="lt-LT"/>
        </w:rPr>
        <w:t>201</w:t>
      </w:r>
      <w:r w:rsidR="00B949EC" w:rsidRPr="00CD720C">
        <w:rPr>
          <w:rFonts w:ascii="Times New Roman" w:eastAsia="Calibri"/>
          <w:b/>
          <w:sz w:val="24"/>
          <w:lang w:val="lt-LT"/>
        </w:rPr>
        <w:t>8</w:t>
      </w:r>
      <w:r w:rsidRPr="00CD720C">
        <w:rPr>
          <w:rFonts w:ascii="Times New Roman" w:eastAsia="Calibri"/>
          <w:b/>
          <w:sz w:val="24"/>
          <w:lang w:val="lt-LT"/>
        </w:rPr>
        <w:t xml:space="preserve"> METŲ </w:t>
      </w:r>
      <w:r w:rsidR="0003058B">
        <w:rPr>
          <w:rFonts w:ascii="Times New Roman" w:eastAsia="Calibri"/>
          <w:b/>
          <w:sz w:val="24"/>
          <w:lang w:val="lt-LT"/>
        </w:rPr>
        <w:t>I</w:t>
      </w:r>
      <w:r w:rsidRPr="00CD720C">
        <w:rPr>
          <w:rFonts w:ascii="Times New Roman" w:eastAsia="Calibri"/>
          <w:b/>
          <w:sz w:val="24"/>
          <w:lang w:val="lt-LT"/>
        </w:rPr>
        <w:t>I KETVIRČIO ĮGYVENDINIMO ATASKAITA</w:t>
      </w:r>
    </w:p>
    <w:p w14:paraId="0558874D" w14:textId="730DBC56" w:rsidR="006D093E" w:rsidRPr="00CD720C" w:rsidRDefault="006D093E">
      <w:pPr>
        <w:widowControl/>
        <w:wordWrap/>
        <w:spacing w:line="276" w:lineRule="auto"/>
        <w:jc w:val="center"/>
        <w:rPr>
          <w:rFonts w:ascii="Times New Roman" w:eastAsia="Calibri"/>
          <w:b/>
          <w:sz w:val="24"/>
          <w:lang w:val="lt-LT"/>
        </w:rPr>
      </w:pPr>
    </w:p>
    <w:p w14:paraId="0558874E" w14:textId="77777777" w:rsidR="006D093E" w:rsidRPr="00CD720C" w:rsidRDefault="006D093E" w:rsidP="007411DA">
      <w:pPr>
        <w:widowControl/>
        <w:wordWrap/>
        <w:spacing w:line="276" w:lineRule="auto"/>
        <w:rPr>
          <w:rFonts w:ascii="Times New Roman" w:eastAsia="Calibri"/>
          <w:b/>
          <w:sz w:val="24"/>
          <w:lang w:val="lt-LT"/>
        </w:rPr>
      </w:pPr>
    </w:p>
    <w:p w14:paraId="05588750" w14:textId="77777777" w:rsidR="00DA7945" w:rsidRPr="00CD720C" w:rsidRDefault="006D093E" w:rsidP="001259C4">
      <w:pPr>
        <w:widowControl/>
        <w:wordWrap/>
        <w:ind w:firstLine="1134"/>
        <w:rPr>
          <w:rFonts w:ascii="Times New Roman" w:eastAsia="Times New Roman"/>
          <w:b/>
          <w:sz w:val="24"/>
          <w:lang w:val="lt-LT"/>
        </w:rPr>
      </w:pPr>
      <w:r w:rsidRPr="00CD720C">
        <w:rPr>
          <w:rFonts w:ascii="Times New Roman" w:eastAsia="Times New Roman"/>
          <w:b/>
          <w:sz w:val="24"/>
          <w:lang w:val="lt-LT"/>
        </w:rPr>
        <w:t xml:space="preserve">1. Bendra informacija apie </w:t>
      </w:r>
      <w:r w:rsidR="00483EA5" w:rsidRPr="00CD720C">
        <w:rPr>
          <w:rFonts w:ascii="Times New Roman" w:eastAsia="Times New Roman"/>
          <w:b/>
          <w:sz w:val="24"/>
          <w:lang w:val="lt-LT"/>
        </w:rPr>
        <w:t>Lietuvos kaimo plėtros 2014–2020 m.</w:t>
      </w:r>
      <w:r w:rsidR="00483EA5" w:rsidRPr="00CD720C">
        <w:rPr>
          <w:rFonts w:ascii="Times New Roman" w:eastAsia="Times New Roman"/>
          <w:sz w:val="24"/>
          <w:lang w:val="lt-LT"/>
        </w:rPr>
        <w:t xml:space="preserve"> p</w:t>
      </w:r>
      <w:r w:rsidRPr="00CD720C">
        <w:rPr>
          <w:rFonts w:ascii="Times New Roman" w:eastAsia="Times New Roman"/>
          <w:b/>
          <w:sz w:val="24"/>
          <w:lang w:val="lt-LT"/>
        </w:rPr>
        <w:t>rogramos įgyvendinimą</w:t>
      </w:r>
    </w:p>
    <w:p w14:paraId="05588751" w14:textId="7A7BCB66" w:rsidR="006D093E" w:rsidRPr="00CD720C" w:rsidRDefault="006D093E" w:rsidP="00D86066">
      <w:pPr>
        <w:widowControl/>
        <w:wordWrap/>
        <w:spacing w:line="276" w:lineRule="auto"/>
        <w:ind w:firstLine="1134"/>
        <w:rPr>
          <w:rFonts w:ascii="Times New Roman" w:eastAsia="Times New Roman"/>
          <w:sz w:val="24"/>
          <w:lang w:val="lt-LT"/>
        </w:rPr>
      </w:pPr>
      <w:r w:rsidRPr="00CD720C">
        <w:rPr>
          <w:rFonts w:ascii="Times New Roman" w:eastAsia="Times New Roman"/>
          <w:sz w:val="24"/>
          <w:lang w:val="lt-LT"/>
        </w:rPr>
        <w:t>Lietuvos kaimo plėtros 20</w:t>
      </w:r>
      <w:r w:rsidR="008F7163" w:rsidRPr="00CD720C">
        <w:rPr>
          <w:rFonts w:ascii="Times New Roman" w:eastAsia="Times New Roman"/>
          <w:sz w:val="24"/>
          <w:lang w:val="lt-LT"/>
        </w:rPr>
        <w:t>14</w:t>
      </w:r>
      <w:r w:rsidRPr="00CD720C">
        <w:rPr>
          <w:rFonts w:ascii="Times New Roman" w:eastAsia="Times New Roman"/>
          <w:sz w:val="24"/>
          <w:lang w:val="lt-LT"/>
        </w:rPr>
        <w:t>–20</w:t>
      </w:r>
      <w:r w:rsidR="008F7163" w:rsidRPr="00CD720C">
        <w:rPr>
          <w:rFonts w:ascii="Times New Roman" w:eastAsia="Times New Roman"/>
          <w:sz w:val="24"/>
          <w:lang w:val="lt-LT"/>
        </w:rPr>
        <w:t>20</w:t>
      </w:r>
      <w:r w:rsidRPr="00CD720C">
        <w:rPr>
          <w:rFonts w:ascii="Times New Roman" w:eastAsia="Times New Roman"/>
          <w:sz w:val="24"/>
          <w:lang w:val="lt-LT"/>
        </w:rPr>
        <w:t xml:space="preserve"> m. programai (toliau – Programa) įgyvendinti skirta </w:t>
      </w:r>
      <w:r w:rsidR="008F7163" w:rsidRPr="00CD720C">
        <w:rPr>
          <w:rFonts w:ascii="Times New Roman" w:eastAsia="Times New Roman"/>
          <w:sz w:val="24"/>
          <w:lang w:val="lt-LT"/>
        </w:rPr>
        <w:t>beveik 1</w:t>
      </w:r>
      <w:r w:rsidRPr="00CD720C">
        <w:rPr>
          <w:rFonts w:ascii="Times New Roman" w:eastAsia="Times New Roman"/>
          <w:sz w:val="24"/>
          <w:lang w:val="lt-LT"/>
        </w:rPr>
        <w:t>,</w:t>
      </w:r>
      <w:r w:rsidR="008F7163" w:rsidRPr="00CD720C">
        <w:rPr>
          <w:rFonts w:ascii="Times New Roman" w:eastAsia="Times New Roman"/>
          <w:sz w:val="24"/>
          <w:lang w:val="lt-LT"/>
        </w:rPr>
        <w:t>978</w:t>
      </w:r>
      <w:r w:rsidRPr="00CD720C">
        <w:rPr>
          <w:rFonts w:ascii="Times New Roman" w:eastAsia="Times New Roman"/>
          <w:sz w:val="24"/>
          <w:lang w:val="lt-LT"/>
        </w:rPr>
        <w:t xml:space="preserve"> mlrd. </w:t>
      </w:r>
      <w:r w:rsidR="00386A46" w:rsidRPr="00CD720C">
        <w:rPr>
          <w:rFonts w:ascii="Times New Roman" w:eastAsia="Times New Roman"/>
          <w:sz w:val="24"/>
          <w:lang w:val="lt-LT"/>
        </w:rPr>
        <w:t>Eur</w:t>
      </w:r>
      <w:r w:rsidRPr="00CD720C">
        <w:rPr>
          <w:rFonts w:ascii="Times New Roman" w:eastAsia="Times New Roman"/>
          <w:sz w:val="24"/>
          <w:lang w:val="lt-LT"/>
        </w:rPr>
        <w:t xml:space="preserve"> (</w:t>
      </w:r>
      <w:r w:rsidR="005D3633" w:rsidRPr="00CD720C">
        <w:rPr>
          <w:rFonts w:ascii="Times New Roman" w:eastAsia="Times New Roman"/>
          <w:sz w:val="24"/>
          <w:lang w:val="lt-LT"/>
        </w:rPr>
        <w:t>1</w:t>
      </w:r>
      <w:r w:rsidRPr="00CD720C">
        <w:rPr>
          <w:rFonts w:ascii="Times New Roman" w:eastAsia="Times New Roman"/>
          <w:sz w:val="24"/>
          <w:lang w:val="lt-LT"/>
        </w:rPr>
        <w:t>,</w:t>
      </w:r>
      <w:r w:rsidR="008F7163" w:rsidRPr="00CD720C">
        <w:rPr>
          <w:rFonts w:ascii="Times New Roman" w:eastAsia="Times New Roman"/>
          <w:sz w:val="24"/>
          <w:lang w:val="lt-LT"/>
        </w:rPr>
        <w:t>613</w:t>
      </w:r>
      <w:r w:rsidRPr="00CD720C">
        <w:rPr>
          <w:rFonts w:ascii="Times New Roman" w:eastAsia="Times New Roman"/>
          <w:sz w:val="24"/>
          <w:lang w:val="lt-LT"/>
        </w:rPr>
        <w:t xml:space="preserve"> mlrd. </w:t>
      </w:r>
      <w:r w:rsidR="005D3633" w:rsidRPr="00CD720C">
        <w:rPr>
          <w:rFonts w:ascii="Times New Roman" w:eastAsia="Times New Roman"/>
          <w:sz w:val="24"/>
          <w:lang w:val="lt-LT"/>
        </w:rPr>
        <w:t>Eur</w:t>
      </w:r>
      <w:r w:rsidRPr="00CD720C">
        <w:rPr>
          <w:rFonts w:ascii="Times New Roman" w:eastAsia="Times New Roman"/>
          <w:sz w:val="24"/>
          <w:lang w:val="lt-LT"/>
        </w:rPr>
        <w:t xml:space="preserve"> – </w:t>
      </w:r>
      <w:r w:rsidR="00C96794" w:rsidRPr="00CD720C">
        <w:rPr>
          <w:rFonts w:ascii="Times New Roman" w:eastAsia="Times New Roman"/>
          <w:sz w:val="24"/>
          <w:lang w:val="lt-LT"/>
        </w:rPr>
        <w:t xml:space="preserve">Europos žemės ūkio fondo kaimo plėtrai (toliau – EŽŪFKP arba </w:t>
      </w:r>
      <w:r w:rsidRPr="00CD720C">
        <w:rPr>
          <w:rFonts w:ascii="Times New Roman" w:eastAsia="Times New Roman"/>
          <w:sz w:val="24"/>
          <w:lang w:val="lt-LT"/>
        </w:rPr>
        <w:t xml:space="preserve">ES lėšos). </w:t>
      </w:r>
      <w:r w:rsidR="008C1F3E" w:rsidRPr="00CD720C">
        <w:rPr>
          <w:rFonts w:ascii="Times New Roman" w:eastAsia="Times New Roman"/>
          <w:sz w:val="24"/>
          <w:lang w:val="lt-LT"/>
        </w:rPr>
        <w:t>Programos lėšų paskirstymas pavaizduotas 1 pav.</w:t>
      </w:r>
    </w:p>
    <w:p w14:paraId="05588753" w14:textId="77777777" w:rsidR="003F31E2" w:rsidRPr="00CD720C" w:rsidRDefault="003F31E2" w:rsidP="001259C4">
      <w:pPr>
        <w:widowControl/>
        <w:wordWrap/>
        <w:ind w:firstLine="1134"/>
        <w:rPr>
          <w:rFonts w:ascii="Times New Roman" w:eastAsia="Times New Roman"/>
          <w:sz w:val="24"/>
          <w:lang w:val="lt-LT"/>
        </w:rPr>
      </w:pPr>
    </w:p>
    <w:p w14:paraId="05588754" w14:textId="77777777" w:rsidR="003F31E2" w:rsidRPr="00CD720C" w:rsidRDefault="00513234" w:rsidP="00255AC1">
      <w:pPr>
        <w:widowControl/>
        <w:wordWrap/>
        <w:jc w:val="left"/>
        <w:rPr>
          <w:rFonts w:ascii="Times New Roman" w:eastAsia="Times New Roman"/>
          <w:sz w:val="24"/>
          <w:lang w:val="lt-LT"/>
        </w:rPr>
      </w:pPr>
      <w:r w:rsidRPr="00CD720C">
        <w:rPr>
          <w:rFonts w:ascii="Times New Roman" w:eastAsia="Times New Roman"/>
          <w:noProof/>
          <w:sz w:val="24"/>
          <w:lang w:val="lt-LT" w:eastAsia="lt-LT"/>
        </w:rPr>
        <w:drawing>
          <wp:inline distT="0" distB="0" distL="0" distR="0" wp14:anchorId="0558883D" wp14:editId="7B9ED6C6">
            <wp:extent cx="6077496" cy="4562475"/>
            <wp:effectExtent l="19050" t="19050" r="1905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4352" cy="4612665"/>
                    </a:xfrm>
                    <a:prstGeom prst="rect">
                      <a:avLst/>
                    </a:prstGeom>
                    <a:noFill/>
                    <a:ln w="6350" cmpd="sng">
                      <a:solidFill>
                        <a:srgbClr val="000000"/>
                      </a:solidFill>
                      <a:miter lim="800000"/>
                      <a:headEnd/>
                      <a:tailEnd/>
                    </a:ln>
                    <a:effectLst/>
                  </pic:spPr>
                </pic:pic>
              </a:graphicData>
            </a:graphic>
          </wp:inline>
        </w:drawing>
      </w:r>
    </w:p>
    <w:p w14:paraId="05588755" w14:textId="231C2BEE" w:rsidR="003F31E2" w:rsidRPr="00CD720C" w:rsidRDefault="00B949EC" w:rsidP="002F7A3B">
      <w:pPr>
        <w:widowControl/>
        <w:wordWrap/>
        <w:ind w:firstLine="2694"/>
        <w:rPr>
          <w:rFonts w:ascii="Times New Roman" w:eastAsia="Times New Roman"/>
          <w:b/>
          <w:szCs w:val="20"/>
          <w:lang w:val="lt-LT"/>
        </w:rPr>
      </w:pPr>
      <w:r w:rsidRPr="00CD720C">
        <w:rPr>
          <w:rFonts w:ascii="Times New Roman" w:eastAsia="Times New Roman"/>
          <w:b/>
          <w:szCs w:val="20"/>
          <w:lang w:val="lt-LT"/>
        </w:rPr>
        <w:t xml:space="preserve">  </w:t>
      </w:r>
      <w:r w:rsidR="00D65F49" w:rsidRPr="00CD720C">
        <w:rPr>
          <w:rFonts w:ascii="Times New Roman" w:eastAsia="Times New Roman"/>
          <w:b/>
          <w:szCs w:val="20"/>
          <w:lang w:val="lt-LT"/>
        </w:rPr>
        <w:t xml:space="preserve">     </w:t>
      </w:r>
      <w:r w:rsidR="003F31E2" w:rsidRPr="00CD720C">
        <w:rPr>
          <w:rFonts w:ascii="Times New Roman" w:eastAsia="Times New Roman"/>
          <w:b/>
          <w:szCs w:val="20"/>
          <w:lang w:val="lt-LT"/>
        </w:rPr>
        <w:t xml:space="preserve">1 pav. </w:t>
      </w:r>
      <w:r w:rsidR="00483EA5" w:rsidRPr="00CD720C">
        <w:rPr>
          <w:rFonts w:ascii="Times New Roman" w:eastAsia="Times New Roman"/>
          <w:b/>
          <w:szCs w:val="20"/>
          <w:lang w:val="lt-LT"/>
        </w:rPr>
        <w:t>P</w:t>
      </w:r>
      <w:r w:rsidR="003F31E2" w:rsidRPr="00CD720C">
        <w:rPr>
          <w:rFonts w:ascii="Times New Roman" w:eastAsia="Times New Roman"/>
          <w:b/>
          <w:szCs w:val="20"/>
          <w:lang w:val="lt-LT"/>
        </w:rPr>
        <w:t>rogramos lėšų paskirstymas</w:t>
      </w:r>
    </w:p>
    <w:p w14:paraId="7FE499F9" w14:textId="77777777" w:rsidR="00C7058B" w:rsidRPr="00CD720C" w:rsidRDefault="00C7058B" w:rsidP="00D86066">
      <w:pPr>
        <w:widowControl/>
        <w:tabs>
          <w:tab w:val="num" w:pos="720"/>
        </w:tabs>
        <w:wordWrap/>
        <w:spacing w:line="276" w:lineRule="auto"/>
        <w:ind w:firstLine="1134"/>
        <w:rPr>
          <w:rFonts w:ascii="Times New Roman" w:eastAsia="Times New Roman"/>
          <w:sz w:val="24"/>
          <w:lang w:val="lt-LT"/>
        </w:rPr>
      </w:pPr>
    </w:p>
    <w:p w14:paraId="05588758" w14:textId="3F521FE6" w:rsidR="006D093E" w:rsidRPr="00CD720C" w:rsidRDefault="009D549B" w:rsidP="00D86066">
      <w:pPr>
        <w:widowControl/>
        <w:tabs>
          <w:tab w:val="num" w:pos="720"/>
        </w:tabs>
        <w:wordWrap/>
        <w:spacing w:line="276" w:lineRule="auto"/>
        <w:ind w:firstLine="1134"/>
        <w:rPr>
          <w:rFonts w:ascii="Times New Roman" w:eastAsia="Times New Roman"/>
          <w:sz w:val="24"/>
          <w:lang w:val="lt-LT"/>
        </w:rPr>
      </w:pPr>
      <w:r w:rsidRPr="00CD720C">
        <w:rPr>
          <w:rFonts w:ascii="Times New Roman" w:eastAsia="Times New Roman"/>
          <w:sz w:val="24"/>
          <w:lang w:val="lt-LT"/>
        </w:rPr>
        <w:t xml:space="preserve">Nuo Programos įgyvendinimo pradžios iki </w:t>
      </w:r>
      <w:r w:rsidR="00E05018" w:rsidRPr="00CD720C">
        <w:rPr>
          <w:rFonts w:ascii="Times New Roman" w:eastAsia="Times New Roman"/>
          <w:sz w:val="24"/>
          <w:lang w:val="lt-LT"/>
        </w:rPr>
        <w:t>201</w:t>
      </w:r>
      <w:r w:rsidR="00B949EC" w:rsidRPr="00CD720C">
        <w:rPr>
          <w:rFonts w:ascii="Times New Roman" w:eastAsia="Times New Roman"/>
          <w:sz w:val="24"/>
          <w:lang w:val="lt-LT"/>
        </w:rPr>
        <w:t>8</w:t>
      </w:r>
      <w:r w:rsidRPr="00CD720C">
        <w:rPr>
          <w:rFonts w:ascii="Times New Roman" w:eastAsia="Times New Roman"/>
          <w:sz w:val="24"/>
          <w:lang w:val="lt-LT"/>
        </w:rPr>
        <w:t xml:space="preserve"> </w:t>
      </w:r>
      <w:r w:rsidR="00E05018" w:rsidRPr="00CD720C">
        <w:rPr>
          <w:rFonts w:ascii="Times New Roman" w:eastAsia="Times New Roman"/>
          <w:sz w:val="24"/>
          <w:lang w:val="lt-LT"/>
        </w:rPr>
        <w:t xml:space="preserve">m. </w:t>
      </w:r>
      <w:r w:rsidR="009B6D11">
        <w:rPr>
          <w:rFonts w:ascii="Times New Roman" w:eastAsia="Times New Roman"/>
          <w:sz w:val="24"/>
          <w:lang w:val="lt-LT"/>
        </w:rPr>
        <w:t>birželio</w:t>
      </w:r>
      <w:r w:rsidRPr="00CD720C">
        <w:rPr>
          <w:rFonts w:ascii="Times New Roman" w:eastAsia="Times New Roman"/>
          <w:sz w:val="24"/>
          <w:lang w:val="lt-LT"/>
        </w:rPr>
        <w:t xml:space="preserve"> 3</w:t>
      </w:r>
      <w:r w:rsidR="009B6D11">
        <w:rPr>
          <w:rFonts w:ascii="Times New Roman" w:eastAsia="Times New Roman"/>
          <w:sz w:val="24"/>
          <w:lang w:val="lt-LT"/>
        </w:rPr>
        <w:t>0</w:t>
      </w:r>
      <w:r w:rsidRPr="00CD720C">
        <w:rPr>
          <w:rFonts w:ascii="Times New Roman" w:eastAsia="Times New Roman"/>
          <w:sz w:val="24"/>
          <w:lang w:val="lt-LT"/>
        </w:rPr>
        <w:t xml:space="preserve"> d. </w:t>
      </w:r>
      <w:r w:rsidR="00E05018" w:rsidRPr="00CD720C">
        <w:rPr>
          <w:rFonts w:ascii="Times New Roman" w:eastAsia="Times New Roman"/>
          <w:sz w:val="24"/>
          <w:lang w:val="lt-LT"/>
        </w:rPr>
        <w:t>i</w:t>
      </w:r>
      <w:r w:rsidR="00483EA5" w:rsidRPr="00CD720C">
        <w:rPr>
          <w:rFonts w:ascii="Times New Roman" w:eastAsia="Times New Roman"/>
          <w:sz w:val="24"/>
          <w:lang w:val="lt-LT"/>
        </w:rPr>
        <w:t>š viso</w:t>
      </w:r>
      <w:r w:rsidR="006D093E" w:rsidRPr="00CD720C">
        <w:rPr>
          <w:rFonts w:ascii="Times New Roman" w:eastAsia="Times New Roman"/>
          <w:sz w:val="24"/>
          <w:lang w:val="lt-LT"/>
        </w:rPr>
        <w:t xml:space="preserve"> gaut</w:t>
      </w:r>
      <w:r w:rsidR="009768D0" w:rsidRPr="00CD720C">
        <w:rPr>
          <w:rFonts w:ascii="Times New Roman" w:eastAsia="Times New Roman"/>
          <w:sz w:val="24"/>
          <w:lang w:val="lt-LT"/>
        </w:rPr>
        <w:t>os</w:t>
      </w:r>
      <w:r w:rsidR="006D093E" w:rsidRPr="00CD720C">
        <w:rPr>
          <w:rFonts w:ascii="Times New Roman" w:eastAsia="Times New Roman"/>
          <w:sz w:val="24"/>
          <w:lang w:val="lt-LT"/>
        </w:rPr>
        <w:t xml:space="preserve"> </w:t>
      </w:r>
      <w:r w:rsidR="002F200F" w:rsidRPr="00CD720C">
        <w:rPr>
          <w:rFonts w:ascii="Times New Roman" w:eastAsia="Times New Roman"/>
          <w:b/>
          <w:sz w:val="24"/>
          <w:lang w:val="lt-LT"/>
        </w:rPr>
        <w:t>40</w:t>
      </w:r>
      <w:r w:rsidR="00D31DB1">
        <w:rPr>
          <w:rFonts w:ascii="Times New Roman" w:eastAsia="Times New Roman"/>
          <w:b/>
          <w:sz w:val="24"/>
          <w:lang w:val="lt-LT"/>
        </w:rPr>
        <w:t>3</w:t>
      </w:r>
      <w:r w:rsidR="000A1FE2" w:rsidRPr="00CD720C">
        <w:rPr>
          <w:rFonts w:ascii="Times New Roman" w:eastAsia="Times New Roman"/>
          <w:b/>
          <w:sz w:val="24"/>
          <w:lang w:val="lt-LT"/>
        </w:rPr>
        <w:t xml:space="preserve"> </w:t>
      </w:r>
      <w:r w:rsidR="00D31DB1">
        <w:rPr>
          <w:rFonts w:ascii="Times New Roman" w:eastAsia="Times New Roman"/>
          <w:b/>
          <w:sz w:val="24"/>
          <w:lang w:val="lt-LT"/>
        </w:rPr>
        <w:t>259</w:t>
      </w:r>
      <w:r w:rsidR="0086192D" w:rsidRPr="00CD720C">
        <w:rPr>
          <w:rFonts w:ascii="Times New Roman" w:eastAsia="Times New Roman"/>
          <w:b/>
          <w:sz w:val="24"/>
          <w:lang w:val="lt-LT"/>
        </w:rPr>
        <w:t xml:space="preserve"> </w:t>
      </w:r>
      <w:r w:rsidR="006D093E" w:rsidRPr="00CD720C">
        <w:rPr>
          <w:rFonts w:ascii="Times New Roman" w:eastAsia="Times New Roman"/>
          <w:b/>
          <w:sz w:val="24"/>
          <w:lang w:val="lt-LT"/>
        </w:rPr>
        <w:t>paraišk</w:t>
      </w:r>
      <w:r w:rsidR="009768D0" w:rsidRPr="00CD720C">
        <w:rPr>
          <w:rFonts w:ascii="Times New Roman" w:eastAsia="Times New Roman"/>
          <w:b/>
          <w:sz w:val="24"/>
          <w:lang w:val="lt-LT"/>
        </w:rPr>
        <w:t>os</w:t>
      </w:r>
      <w:r w:rsidR="006D093E" w:rsidRPr="00CD720C">
        <w:rPr>
          <w:rFonts w:ascii="Times New Roman" w:eastAsia="Times New Roman"/>
          <w:sz w:val="24"/>
          <w:lang w:val="lt-LT"/>
        </w:rPr>
        <w:t>, prašoma</w:t>
      </w:r>
      <w:r w:rsidR="007C0B8A" w:rsidRPr="00CD720C">
        <w:rPr>
          <w:rFonts w:ascii="Times New Roman" w:eastAsia="Times New Roman"/>
          <w:sz w:val="24"/>
          <w:lang w:val="lt-LT"/>
        </w:rPr>
        <w:t xml:space="preserve"> paramos suma –</w:t>
      </w:r>
      <w:r w:rsidR="00641884" w:rsidRPr="00CD720C">
        <w:rPr>
          <w:rFonts w:ascii="Times New Roman" w:eastAsia="Times New Roman"/>
          <w:sz w:val="24"/>
          <w:lang w:val="lt-LT"/>
        </w:rPr>
        <w:t xml:space="preserve"> </w:t>
      </w:r>
      <w:r w:rsidR="0086192D" w:rsidRPr="00CD720C">
        <w:rPr>
          <w:rFonts w:ascii="Times New Roman" w:eastAsia="Times New Roman"/>
          <w:b/>
          <w:sz w:val="24"/>
          <w:lang w:val="lt-LT"/>
        </w:rPr>
        <w:t xml:space="preserve">1 </w:t>
      </w:r>
      <w:r w:rsidR="002E7238">
        <w:rPr>
          <w:rFonts w:ascii="Times New Roman" w:eastAsia="Times New Roman"/>
          <w:b/>
          <w:sz w:val="24"/>
          <w:lang w:val="lt-LT"/>
        </w:rPr>
        <w:t>650</w:t>
      </w:r>
      <w:r w:rsidR="006D093E" w:rsidRPr="00CD720C">
        <w:rPr>
          <w:rFonts w:ascii="Times New Roman" w:eastAsia="Times New Roman"/>
          <w:b/>
          <w:sz w:val="24"/>
          <w:lang w:val="lt-LT"/>
        </w:rPr>
        <w:t xml:space="preserve"> mln. </w:t>
      </w:r>
      <w:r w:rsidR="00F51CED" w:rsidRPr="00CD720C">
        <w:rPr>
          <w:rFonts w:ascii="Times New Roman" w:eastAsia="Times New Roman"/>
          <w:b/>
          <w:sz w:val="24"/>
          <w:lang w:val="lt-LT"/>
        </w:rPr>
        <w:t>Eur</w:t>
      </w:r>
      <w:r w:rsidR="006D093E" w:rsidRPr="00CD720C">
        <w:rPr>
          <w:rFonts w:ascii="Times New Roman" w:eastAsia="Times New Roman"/>
          <w:sz w:val="24"/>
          <w:lang w:val="lt-LT"/>
        </w:rPr>
        <w:t xml:space="preserve">. </w:t>
      </w:r>
      <w:r w:rsidR="00D326B3" w:rsidRPr="00CD720C">
        <w:rPr>
          <w:rFonts w:ascii="Times New Roman" w:eastAsia="Times New Roman"/>
          <w:sz w:val="24"/>
          <w:lang w:val="lt-LT"/>
        </w:rPr>
        <w:t>P</w:t>
      </w:r>
      <w:r w:rsidR="006D093E" w:rsidRPr="00CD720C">
        <w:rPr>
          <w:rFonts w:ascii="Times New Roman" w:eastAsia="Times New Roman"/>
          <w:sz w:val="24"/>
          <w:lang w:val="lt-LT"/>
        </w:rPr>
        <w:t xml:space="preserve">agal pateiktas paraiškas </w:t>
      </w:r>
      <w:r w:rsidR="006D093E" w:rsidRPr="00CD720C">
        <w:rPr>
          <w:rFonts w:ascii="Times New Roman" w:eastAsia="Times New Roman"/>
          <w:b/>
          <w:sz w:val="24"/>
          <w:lang w:val="lt-LT"/>
        </w:rPr>
        <w:t>pasirašyt</w:t>
      </w:r>
      <w:r w:rsidR="007C0B8A" w:rsidRPr="00CD720C">
        <w:rPr>
          <w:rFonts w:ascii="Times New Roman" w:eastAsia="Times New Roman"/>
          <w:b/>
          <w:sz w:val="24"/>
          <w:lang w:val="lt-LT"/>
        </w:rPr>
        <w:t>os</w:t>
      </w:r>
      <w:r w:rsidR="00BA3F4C" w:rsidRPr="00CD720C">
        <w:rPr>
          <w:rFonts w:ascii="Times New Roman" w:eastAsia="Times New Roman"/>
          <w:b/>
          <w:sz w:val="24"/>
          <w:lang w:val="lt-LT"/>
        </w:rPr>
        <w:t xml:space="preserve"> </w:t>
      </w:r>
      <w:r w:rsidR="00651FA0" w:rsidRPr="00CD720C">
        <w:rPr>
          <w:rFonts w:ascii="Times New Roman" w:eastAsia="Times New Roman"/>
          <w:b/>
          <w:sz w:val="24"/>
          <w:lang w:val="lt-LT"/>
        </w:rPr>
        <w:t>3</w:t>
      </w:r>
      <w:r w:rsidR="002E7238">
        <w:rPr>
          <w:rFonts w:ascii="Times New Roman" w:eastAsia="Times New Roman"/>
          <w:b/>
          <w:sz w:val="24"/>
          <w:lang w:val="lt-LT"/>
        </w:rPr>
        <w:t>90</w:t>
      </w:r>
      <w:r w:rsidR="00403587" w:rsidRPr="00CD720C">
        <w:rPr>
          <w:rFonts w:ascii="Times New Roman" w:eastAsia="Times New Roman"/>
          <w:b/>
          <w:sz w:val="24"/>
          <w:lang w:val="lt-LT"/>
        </w:rPr>
        <w:t xml:space="preserve"> </w:t>
      </w:r>
      <w:r w:rsidR="002E7238">
        <w:rPr>
          <w:rFonts w:ascii="Times New Roman" w:eastAsia="Times New Roman"/>
          <w:b/>
          <w:sz w:val="24"/>
          <w:lang w:val="lt-LT"/>
        </w:rPr>
        <w:t>329</w:t>
      </w:r>
      <w:r w:rsidR="00580D31" w:rsidRPr="00CD720C">
        <w:rPr>
          <w:rFonts w:ascii="Times New Roman" w:eastAsia="Times New Roman"/>
          <w:b/>
          <w:sz w:val="24"/>
          <w:lang w:val="lt-LT"/>
        </w:rPr>
        <w:t xml:space="preserve"> </w:t>
      </w:r>
      <w:r w:rsidR="006D093E" w:rsidRPr="00CD720C">
        <w:rPr>
          <w:rFonts w:ascii="Times New Roman" w:eastAsia="Times New Roman"/>
          <w:b/>
          <w:sz w:val="24"/>
          <w:lang w:val="lt-LT"/>
        </w:rPr>
        <w:t>paramos sutar</w:t>
      </w:r>
      <w:r w:rsidR="008F7163" w:rsidRPr="00CD720C">
        <w:rPr>
          <w:rFonts w:ascii="Times New Roman" w:eastAsia="Times New Roman"/>
          <w:b/>
          <w:sz w:val="24"/>
          <w:lang w:val="lt-LT"/>
        </w:rPr>
        <w:t>t</w:t>
      </w:r>
      <w:r w:rsidR="007C0B8A" w:rsidRPr="00CD720C">
        <w:rPr>
          <w:rFonts w:ascii="Times New Roman" w:eastAsia="Times New Roman"/>
          <w:b/>
          <w:sz w:val="24"/>
          <w:lang w:val="lt-LT"/>
        </w:rPr>
        <w:t>y</w:t>
      </w:r>
      <w:r w:rsidR="008F7163" w:rsidRPr="00CD720C">
        <w:rPr>
          <w:rFonts w:ascii="Times New Roman" w:eastAsia="Times New Roman"/>
          <w:b/>
          <w:sz w:val="24"/>
          <w:lang w:val="lt-LT"/>
        </w:rPr>
        <w:t>s arba patvirtint</w:t>
      </w:r>
      <w:r w:rsidR="007C0B8A" w:rsidRPr="00CD720C">
        <w:rPr>
          <w:rFonts w:ascii="Times New Roman" w:eastAsia="Times New Roman"/>
          <w:b/>
          <w:sz w:val="24"/>
          <w:lang w:val="lt-LT"/>
        </w:rPr>
        <w:t>os</w:t>
      </w:r>
      <w:r w:rsidR="008F7163" w:rsidRPr="00CD720C">
        <w:rPr>
          <w:rFonts w:ascii="Times New Roman" w:eastAsia="Times New Roman"/>
          <w:b/>
          <w:sz w:val="24"/>
          <w:lang w:val="lt-LT"/>
        </w:rPr>
        <w:t xml:space="preserve"> paraišk</w:t>
      </w:r>
      <w:r w:rsidR="007C0B8A" w:rsidRPr="00CD720C">
        <w:rPr>
          <w:rFonts w:ascii="Times New Roman" w:eastAsia="Times New Roman"/>
          <w:b/>
          <w:sz w:val="24"/>
          <w:lang w:val="lt-LT"/>
        </w:rPr>
        <w:t>os</w:t>
      </w:r>
      <w:r w:rsidR="006D093E" w:rsidRPr="00CD720C">
        <w:rPr>
          <w:rFonts w:ascii="Times New Roman" w:eastAsia="Times New Roman"/>
          <w:sz w:val="24"/>
          <w:lang w:val="lt-LT"/>
        </w:rPr>
        <w:t xml:space="preserve">, kurių paramos suma </w:t>
      </w:r>
      <w:r w:rsidR="00D326B3" w:rsidRPr="00CD720C">
        <w:rPr>
          <w:rFonts w:ascii="Times New Roman" w:eastAsia="Times New Roman"/>
          <w:sz w:val="24"/>
          <w:lang w:val="lt-LT"/>
        </w:rPr>
        <w:t>–</w:t>
      </w:r>
      <w:r w:rsidR="00651FA0" w:rsidRPr="00CD720C">
        <w:rPr>
          <w:rFonts w:ascii="Times New Roman" w:eastAsia="Times New Roman"/>
          <w:sz w:val="24"/>
          <w:lang w:val="lt-LT"/>
        </w:rPr>
        <w:t xml:space="preserve"> </w:t>
      </w:r>
      <w:r w:rsidR="00651FA0" w:rsidRPr="00CD720C">
        <w:rPr>
          <w:rFonts w:ascii="Times New Roman" w:eastAsia="Times New Roman"/>
          <w:b/>
          <w:sz w:val="24"/>
          <w:lang w:val="lt-LT"/>
        </w:rPr>
        <w:t xml:space="preserve">1 </w:t>
      </w:r>
      <w:r w:rsidR="002E7238">
        <w:rPr>
          <w:rFonts w:ascii="Times New Roman" w:eastAsia="Times New Roman"/>
          <w:b/>
          <w:sz w:val="24"/>
          <w:lang w:val="lt-LT"/>
        </w:rPr>
        <w:t>138</w:t>
      </w:r>
      <w:r w:rsidR="00F802F0" w:rsidRPr="00CD720C">
        <w:rPr>
          <w:rFonts w:ascii="Times New Roman" w:eastAsia="Times New Roman"/>
          <w:b/>
          <w:sz w:val="24"/>
          <w:lang w:val="lt-LT"/>
        </w:rPr>
        <w:t>,</w:t>
      </w:r>
      <w:r w:rsidR="002E7238">
        <w:rPr>
          <w:rFonts w:ascii="Times New Roman" w:eastAsia="Times New Roman"/>
          <w:b/>
          <w:sz w:val="24"/>
          <w:lang w:val="lt-LT"/>
        </w:rPr>
        <w:t>44</w:t>
      </w:r>
      <w:r w:rsidR="003A450D" w:rsidRPr="00CD720C">
        <w:rPr>
          <w:rFonts w:ascii="Times New Roman" w:eastAsia="Times New Roman"/>
          <w:b/>
          <w:sz w:val="24"/>
          <w:lang w:val="lt-LT"/>
        </w:rPr>
        <w:t xml:space="preserve"> mln</w:t>
      </w:r>
      <w:r w:rsidR="006D093E" w:rsidRPr="00CD720C">
        <w:rPr>
          <w:rFonts w:ascii="Times New Roman" w:eastAsia="Times New Roman"/>
          <w:b/>
          <w:sz w:val="24"/>
          <w:lang w:val="lt-LT"/>
        </w:rPr>
        <w:t xml:space="preserve">. </w:t>
      </w:r>
      <w:r w:rsidR="0005024D" w:rsidRPr="00CD720C">
        <w:rPr>
          <w:rFonts w:ascii="Times New Roman" w:eastAsia="Times New Roman"/>
          <w:b/>
          <w:sz w:val="24"/>
          <w:lang w:val="lt-LT"/>
        </w:rPr>
        <w:t>Eur</w:t>
      </w:r>
      <w:r w:rsidR="006D093E" w:rsidRPr="00CD720C">
        <w:rPr>
          <w:rFonts w:ascii="Times New Roman" w:eastAsia="Times New Roman"/>
          <w:sz w:val="24"/>
          <w:lang w:val="lt-LT"/>
        </w:rPr>
        <w:t xml:space="preserve">, t. y. </w:t>
      </w:r>
      <w:r w:rsidR="002E7238">
        <w:rPr>
          <w:rFonts w:ascii="Times New Roman" w:eastAsia="Times New Roman"/>
          <w:sz w:val="24"/>
          <w:lang w:val="lt-LT"/>
        </w:rPr>
        <w:t xml:space="preserve">beveik </w:t>
      </w:r>
      <w:r w:rsidR="002E7238">
        <w:rPr>
          <w:rFonts w:ascii="Times New Roman" w:eastAsia="Times New Roman"/>
          <w:b/>
          <w:sz w:val="24"/>
          <w:lang w:val="lt-LT"/>
        </w:rPr>
        <w:t>58</w:t>
      </w:r>
      <w:r w:rsidR="006D093E" w:rsidRPr="00CD720C">
        <w:rPr>
          <w:rFonts w:ascii="Times New Roman" w:eastAsia="Times New Roman"/>
          <w:b/>
          <w:sz w:val="24"/>
          <w:lang w:val="lt-LT"/>
        </w:rPr>
        <w:t xml:space="preserve"> proc.</w:t>
      </w:r>
      <w:r w:rsidR="006D093E" w:rsidRPr="00CD720C">
        <w:rPr>
          <w:rFonts w:ascii="Times New Roman" w:eastAsia="Times New Roman"/>
          <w:sz w:val="24"/>
          <w:lang w:val="lt-LT"/>
        </w:rPr>
        <w:t xml:space="preserve"> visam laikotarpiui Programoje skirtų lėšų</w:t>
      </w:r>
      <w:r w:rsidR="002F4AF8" w:rsidRPr="00CD720C">
        <w:rPr>
          <w:rFonts w:ascii="Times New Roman" w:eastAsia="Times New Roman"/>
          <w:sz w:val="24"/>
          <w:lang w:val="lt-LT"/>
        </w:rPr>
        <w:t>.</w:t>
      </w:r>
      <w:r w:rsidR="006D093E" w:rsidRPr="00CD720C">
        <w:rPr>
          <w:rFonts w:ascii="Times New Roman" w:eastAsia="Times New Roman"/>
          <w:sz w:val="24"/>
          <w:lang w:val="lt-LT"/>
        </w:rPr>
        <w:t xml:space="preserve"> </w:t>
      </w:r>
      <w:r w:rsidR="002F4AF8" w:rsidRPr="00CD720C">
        <w:rPr>
          <w:rFonts w:ascii="Times New Roman" w:eastAsia="Times New Roman"/>
          <w:sz w:val="24"/>
          <w:lang w:val="lt-LT"/>
        </w:rPr>
        <w:t>Per visą laikotarpį</w:t>
      </w:r>
      <w:r w:rsidR="006D093E" w:rsidRPr="00CD720C">
        <w:rPr>
          <w:rFonts w:ascii="Times New Roman" w:eastAsia="Times New Roman"/>
          <w:sz w:val="24"/>
          <w:lang w:val="lt-LT"/>
        </w:rPr>
        <w:t xml:space="preserve"> </w:t>
      </w:r>
      <w:r w:rsidR="006D093E" w:rsidRPr="00CD720C">
        <w:rPr>
          <w:rFonts w:ascii="Times New Roman" w:eastAsia="Times New Roman"/>
          <w:b/>
          <w:sz w:val="24"/>
          <w:lang w:val="lt-LT"/>
        </w:rPr>
        <w:t xml:space="preserve">išmokėta </w:t>
      </w:r>
      <w:r w:rsidR="002F200F" w:rsidRPr="00CD720C">
        <w:rPr>
          <w:rFonts w:ascii="Times New Roman" w:eastAsia="Times New Roman"/>
          <w:b/>
          <w:sz w:val="24"/>
          <w:lang w:val="lt-LT"/>
        </w:rPr>
        <w:t>8</w:t>
      </w:r>
      <w:r w:rsidR="009E1F30">
        <w:rPr>
          <w:rFonts w:ascii="Times New Roman" w:eastAsia="Times New Roman"/>
          <w:b/>
          <w:sz w:val="24"/>
          <w:lang w:val="lt-LT"/>
        </w:rPr>
        <w:t>52</w:t>
      </w:r>
      <w:r w:rsidR="002F200F" w:rsidRPr="00CD720C">
        <w:rPr>
          <w:rFonts w:ascii="Times New Roman" w:eastAsia="Times New Roman"/>
          <w:b/>
          <w:sz w:val="24"/>
          <w:lang w:val="lt-LT"/>
        </w:rPr>
        <w:t>,</w:t>
      </w:r>
      <w:r w:rsidR="009E1F30">
        <w:rPr>
          <w:rFonts w:ascii="Times New Roman" w:eastAsia="Times New Roman"/>
          <w:b/>
          <w:sz w:val="24"/>
          <w:lang w:val="lt-LT"/>
        </w:rPr>
        <w:t>53</w:t>
      </w:r>
      <w:r w:rsidR="002F200F" w:rsidRPr="00CD720C">
        <w:rPr>
          <w:rFonts w:ascii="Times New Roman" w:eastAsia="Times New Roman"/>
          <w:b/>
          <w:sz w:val="24"/>
          <w:lang w:val="lt-LT"/>
        </w:rPr>
        <w:t xml:space="preserve"> </w:t>
      </w:r>
      <w:r w:rsidR="006D093E" w:rsidRPr="00CD720C">
        <w:rPr>
          <w:rFonts w:ascii="Times New Roman" w:eastAsia="Times New Roman"/>
          <w:b/>
          <w:sz w:val="24"/>
          <w:lang w:val="lt-LT"/>
        </w:rPr>
        <w:t xml:space="preserve">mln. </w:t>
      </w:r>
      <w:r w:rsidR="0005024D" w:rsidRPr="00CD720C">
        <w:rPr>
          <w:rFonts w:ascii="Times New Roman" w:eastAsia="Times New Roman"/>
          <w:b/>
          <w:sz w:val="24"/>
          <w:lang w:val="lt-LT"/>
        </w:rPr>
        <w:t>Eur</w:t>
      </w:r>
      <w:r w:rsidR="009768D0" w:rsidRPr="00CD720C">
        <w:rPr>
          <w:rFonts w:ascii="Times New Roman" w:eastAsia="Times New Roman"/>
          <w:sz w:val="24"/>
          <w:lang w:val="lt-LT"/>
        </w:rPr>
        <w:t>,</w:t>
      </w:r>
      <w:r w:rsidR="006D093E" w:rsidRPr="00CD720C">
        <w:rPr>
          <w:rFonts w:ascii="Times New Roman" w:eastAsia="Times New Roman"/>
          <w:sz w:val="24"/>
          <w:lang w:val="lt-LT"/>
        </w:rPr>
        <w:t xml:space="preserve"> t. y. </w:t>
      </w:r>
      <w:r w:rsidR="002F200F" w:rsidRPr="00CD720C">
        <w:rPr>
          <w:rFonts w:ascii="Times New Roman" w:eastAsia="Times New Roman"/>
          <w:b/>
          <w:sz w:val="24"/>
          <w:lang w:val="lt-LT"/>
        </w:rPr>
        <w:t>4</w:t>
      </w:r>
      <w:r w:rsidR="009E1F30">
        <w:rPr>
          <w:rFonts w:ascii="Times New Roman" w:eastAsia="Times New Roman"/>
          <w:b/>
          <w:sz w:val="24"/>
          <w:lang w:val="lt-LT"/>
        </w:rPr>
        <w:t>3</w:t>
      </w:r>
      <w:r w:rsidR="006D093E" w:rsidRPr="00CD720C">
        <w:rPr>
          <w:rFonts w:ascii="Times New Roman" w:eastAsia="Times New Roman"/>
          <w:b/>
          <w:sz w:val="24"/>
          <w:lang w:val="lt-LT"/>
        </w:rPr>
        <w:t xml:space="preserve"> proc.</w:t>
      </w:r>
      <w:r w:rsidR="006D093E" w:rsidRPr="00CD720C">
        <w:rPr>
          <w:rFonts w:ascii="Times New Roman" w:eastAsia="Times New Roman"/>
          <w:sz w:val="24"/>
          <w:lang w:val="lt-LT"/>
        </w:rPr>
        <w:t xml:space="preserve"> visų Programai skirtų lėšų. </w:t>
      </w:r>
      <w:r w:rsidR="00A147E4" w:rsidRPr="00CD720C">
        <w:rPr>
          <w:rFonts w:ascii="Times New Roman" w:eastAsia="Times New Roman"/>
          <w:sz w:val="24"/>
          <w:lang w:val="lt-LT"/>
        </w:rPr>
        <w:t xml:space="preserve">Per ataskaitinį ketvirtį išmokėtų paramos lėšų dalis padidėjo </w:t>
      </w:r>
      <w:r w:rsidR="002F200F" w:rsidRPr="00CD720C">
        <w:rPr>
          <w:rFonts w:ascii="Times New Roman" w:eastAsia="Times New Roman"/>
          <w:sz w:val="24"/>
          <w:lang w:val="lt-LT"/>
        </w:rPr>
        <w:t>4</w:t>
      </w:r>
      <w:r w:rsidR="00A147E4" w:rsidRPr="00CD720C">
        <w:rPr>
          <w:rFonts w:ascii="Times New Roman" w:eastAsia="Times New Roman"/>
          <w:sz w:val="24"/>
          <w:lang w:val="lt-LT"/>
        </w:rPr>
        <w:t xml:space="preserve"> proc. punktais.</w:t>
      </w:r>
      <w:r w:rsidR="00D65F49" w:rsidRPr="00CD720C">
        <w:rPr>
          <w:rFonts w:ascii="Times New Roman" w:eastAsia="Times New Roman"/>
          <w:sz w:val="24"/>
          <w:lang w:val="lt-LT"/>
        </w:rPr>
        <w:t xml:space="preserve"> </w:t>
      </w:r>
      <w:r w:rsidR="00E05018" w:rsidRPr="00CD720C">
        <w:rPr>
          <w:rFonts w:ascii="Times New Roman" w:eastAsia="Times New Roman"/>
          <w:sz w:val="24"/>
          <w:lang w:val="lt-LT"/>
        </w:rPr>
        <w:t>Programos įgyvendinim</w:t>
      </w:r>
      <w:r w:rsidR="00785998" w:rsidRPr="00CD720C">
        <w:rPr>
          <w:rFonts w:ascii="Times New Roman" w:eastAsia="Times New Roman"/>
          <w:sz w:val="24"/>
          <w:lang w:val="lt-LT"/>
        </w:rPr>
        <w:t>o būklė</w:t>
      </w:r>
      <w:r w:rsidR="00362A01" w:rsidRPr="00CD720C">
        <w:rPr>
          <w:rFonts w:ascii="Times New Roman" w:eastAsia="Times New Roman"/>
          <w:sz w:val="24"/>
          <w:lang w:val="lt-LT"/>
        </w:rPr>
        <w:t xml:space="preserve"> </w:t>
      </w:r>
      <w:r w:rsidR="00B3768D">
        <w:rPr>
          <w:rFonts w:ascii="Times New Roman" w:eastAsia="Times New Roman"/>
          <w:sz w:val="24"/>
          <w:lang w:val="lt-LT"/>
        </w:rPr>
        <w:t xml:space="preserve">iki </w:t>
      </w:r>
      <w:r w:rsidR="00B3768D" w:rsidRPr="00CD720C">
        <w:rPr>
          <w:rFonts w:ascii="Times New Roman" w:eastAsia="Times New Roman"/>
          <w:sz w:val="24"/>
          <w:lang w:val="lt-LT"/>
        </w:rPr>
        <w:t xml:space="preserve">2018 m. </w:t>
      </w:r>
      <w:r w:rsidR="00B3768D">
        <w:rPr>
          <w:rFonts w:ascii="Times New Roman" w:eastAsia="Times New Roman"/>
          <w:sz w:val="24"/>
          <w:lang w:val="lt-LT"/>
        </w:rPr>
        <w:t>birželio</w:t>
      </w:r>
      <w:r w:rsidR="00B3768D" w:rsidRPr="00CD720C">
        <w:rPr>
          <w:rFonts w:ascii="Times New Roman" w:eastAsia="Times New Roman"/>
          <w:sz w:val="24"/>
          <w:lang w:val="lt-LT"/>
        </w:rPr>
        <w:t xml:space="preserve"> 3</w:t>
      </w:r>
      <w:r w:rsidR="00B3768D">
        <w:rPr>
          <w:rFonts w:ascii="Times New Roman" w:eastAsia="Times New Roman"/>
          <w:sz w:val="24"/>
          <w:lang w:val="lt-LT"/>
        </w:rPr>
        <w:t>0</w:t>
      </w:r>
      <w:r w:rsidR="00B3768D" w:rsidRPr="00CD720C">
        <w:rPr>
          <w:rFonts w:ascii="Times New Roman" w:eastAsia="Times New Roman"/>
          <w:sz w:val="24"/>
          <w:lang w:val="lt-LT"/>
        </w:rPr>
        <w:t xml:space="preserve"> d. </w:t>
      </w:r>
      <w:r w:rsidR="00E05018" w:rsidRPr="00CD720C">
        <w:rPr>
          <w:rFonts w:ascii="Times New Roman" w:eastAsia="Times New Roman"/>
          <w:sz w:val="24"/>
          <w:lang w:val="lt-LT"/>
        </w:rPr>
        <w:t>pavaizduota 2 pav.</w:t>
      </w:r>
    </w:p>
    <w:p w14:paraId="17DCCDC0" w14:textId="3E2180BB" w:rsidR="00003183" w:rsidRPr="00CD720C" w:rsidRDefault="000537D9" w:rsidP="00C03350">
      <w:pPr>
        <w:widowControl/>
        <w:tabs>
          <w:tab w:val="num" w:pos="720"/>
        </w:tabs>
        <w:wordWrap/>
        <w:spacing w:line="276" w:lineRule="auto"/>
        <w:rPr>
          <w:rFonts w:ascii="Times New Roman" w:eastAsia="Times New Roman"/>
          <w:sz w:val="24"/>
          <w:lang w:val="lt-LT"/>
        </w:rPr>
      </w:pPr>
      <w:r w:rsidRPr="00CD720C">
        <w:rPr>
          <w:rFonts w:ascii="Times New Roman" w:eastAsia="Times New Roman"/>
          <w:noProof/>
          <w:sz w:val="24"/>
        </w:rPr>
        <w:lastRenderedPageBreak/>
        <w:drawing>
          <wp:inline distT="0" distB="0" distL="0" distR="0" wp14:anchorId="26546445" wp14:editId="5DBA990D">
            <wp:extent cx="6120130" cy="3658235"/>
            <wp:effectExtent l="0" t="0" r="13970" b="18415"/>
            <wp:docPr id="2" name="Diagrama 2">
              <a:extLst xmlns:a="http://schemas.openxmlformats.org/drawingml/2006/main">
                <a:ext uri="{FF2B5EF4-FFF2-40B4-BE49-F238E27FC236}">
                  <a16:creationId xmlns:a16="http://schemas.microsoft.com/office/drawing/2014/main" id="{1AE825E6-CB3F-4968-8AC7-4974A7BF6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CAA0F" w14:textId="78B66D85" w:rsidR="00A4187F" w:rsidRPr="00CD720C" w:rsidRDefault="00483EA5" w:rsidP="00FC3CFA">
      <w:pPr>
        <w:widowControl/>
        <w:wordWrap/>
        <w:ind w:right="282" w:firstLine="567"/>
        <w:jc w:val="center"/>
        <w:rPr>
          <w:rFonts w:ascii="Times New Roman" w:eastAsia="Times New Roman"/>
          <w:b/>
          <w:szCs w:val="20"/>
          <w:lang w:val="lt-LT"/>
        </w:rPr>
      </w:pPr>
      <w:r w:rsidRPr="00CD720C">
        <w:rPr>
          <w:rFonts w:ascii="Times New Roman" w:eastAsia="Times New Roman"/>
          <w:b/>
          <w:szCs w:val="20"/>
          <w:lang w:val="lt-LT"/>
        </w:rPr>
        <w:t xml:space="preserve">2 pav. Programos </w:t>
      </w:r>
      <w:r w:rsidR="00785998" w:rsidRPr="00CD720C">
        <w:rPr>
          <w:rFonts w:ascii="Times New Roman" w:eastAsia="Times New Roman"/>
          <w:b/>
          <w:szCs w:val="20"/>
          <w:lang w:val="lt-LT"/>
        </w:rPr>
        <w:t>įgyvendini</w:t>
      </w:r>
      <w:r w:rsidRPr="00CD720C">
        <w:rPr>
          <w:rFonts w:ascii="Times New Roman" w:eastAsia="Times New Roman"/>
          <w:b/>
          <w:szCs w:val="20"/>
          <w:lang w:val="lt-LT"/>
        </w:rPr>
        <w:t xml:space="preserve">mas </w:t>
      </w:r>
      <w:r w:rsidR="00EA004C" w:rsidRPr="00CD720C">
        <w:rPr>
          <w:rFonts w:ascii="Times New Roman" w:eastAsia="Times New Roman"/>
          <w:b/>
          <w:szCs w:val="20"/>
          <w:lang w:val="lt-LT"/>
        </w:rPr>
        <w:t>iki 201</w:t>
      </w:r>
      <w:r w:rsidR="00706B57" w:rsidRPr="00CD720C">
        <w:rPr>
          <w:rFonts w:ascii="Times New Roman" w:eastAsia="Times New Roman"/>
          <w:b/>
          <w:szCs w:val="20"/>
          <w:lang w:val="lt-LT"/>
        </w:rPr>
        <w:t>8</w:t>
      </w:r>
      <w:r w:rsidR="00EA004C" w:rsidRPr="00CD720C">
        <w:rPr>
          <w:rFonts w:ascii="Times New Roman" w:eastAsia="Times New Roman"/>
          <w:b/>
          <w:szCs w:val="20"/>
          <w:lang w:val="lt-LT"/>
        </w:rPr>
        <w:t>-</w:t>
      </w:r>
      <w:r w:rsidR="00706B57" w:rsidRPr="00CD720C">
        <w:rPr>
          <w:rFonts w:ascii="Times New Roman" w:eastAsia="Times New Roman"/>
          <w:b/>
          <w:szCs w:val="20"/>
          <w:lang w:val="lt-LT"/>
        </w:rPr>
        <w:t>03</w:t>
      </w:r>
      <w:r w:rsidR="00EA004C" w:rsidRPr="00CD720C">
        <w:rPr>
          <w:rFonts w:ascii="Times New Roman" w:eastAsia="Times New Roman"/>
          <w:b/>
          <w:szCs w:val="20"/>
          <w:lang w:val="lt-LT"/>
        </w:rPr>
        <w:t>-3</w:t>
      </w:r>
      <w:r w:rsidR="00544482" w:rsidRPr="00CD720C">
        <w:rPr>
          <w:rFonts w:ascii="Times New Roman" w:eastAsia="Times New Roman"/>
          <w:b/>
          <w:szCs w:val="20"/>
          <w:lang w:val="lt-LT"/>
        </w:rPr>
        <w:t>1</w:t>
      </w:r>
      <w:r w:rsidR="00B37E46" w:rsidRPr="00CD720C">
        <w:rPr>
          <w:rFonts w:ascii="Times New Roman" w:eastAsia="Times New Roman"/>
          <w:b/>
          <w:szCs w:val="20"/>
          <w:lang w:val="lt-LT"/>
        </w:rPr>
        <w:t>, Eur</w:t>
      </w:r>
      <w:r w:rsidR="00EA004C" w:rsidRPr="00CD720C">
        <w:rPr>
          <w:rFonts w:ascii="Times New Roman" w:eastAsia="Times New Roman"/>
          <w:b/>
          <w:szCs w:val="20"/>
          <w:lang w:val="lt-LT"/>
        </w:rPr>
        <w:t xml:space="preserve"> </w:t>
      </w:r>
      <w:r w:rsidR="00A4187F" w:rsidRPr="00CD720C">
        <w:rPr>
          <w:rFonts w:ascii="Times New Roman" w:eastAsia="Times New Roman"/>
          <w:b/>
          <w:szCs w:val="20"/>
          <w:lang w:val="lt-LT"/>
        </w:rPr>
        <w:t>/ proc. nuo 2014</w:t>
      </w:r>
      <w:r w:rsidR="00C03350" w:rsidRPr="00CD720C">
        <w:rPr>
          <w:rFonts w:ascii="Times New Roman" w:eastAsia="Times New Roman"/>
          <w:b/>
          <w:szCs w:val="20"/>
          <w:lang w:val="lt-LT"/>
        </w:rPr>
        <w:t>–</w:t>
      </w:r>
      <w:r w:rsidR="00A4187F" w:rsidRPr="00CD720C">
        <w:rPr>
          <w:rFonts w:ascii="Times New Roman" w:eastAsia="Times New Roman"/>
          <w:b/>
          <w:szCs w:val="20"/>
          <w:lang w:val="lt-LT"/>
        </w:rPr>
        <w:t>2020 m. skirtų lėšų</w:t>
      </w:r>
    </w:p>
    <w:p w14:paraId="0558875E" w14:textId="2FA1AAEE" w:rsidR="009B5EC0" w:rsidRPr="00CD720C" w:rsidRDefault="009B5EC0" w:rsidP="00D86066">
      <w:pPr>
        <w:widowControl/>
        <w:tabs>
          <w:tab w:val="num" w:pos="720"/>
        </w:tabs>
        <w:wordWrap/>
        <w:spacing w:line="276" w:lineRule="auto"/>
        <w:ind w:firstLine="1134"/>
        <w:rPr>
          <w:rFonts w:ascii="Times New Roman" w:eastAsia="Times New Roman"/>
          <w:b/>
          <w:sz w:val="24"/>
          <w:lang w:val="lt-LT"/>
        </w:rPr>
      </w:pPr>
    </w:p>
    <w:p w14:paraId="664A48F3" w14:textId="2B86D5C1" w:rsidR="00453140" w:rsidRPr="00CD720C" w:rsidRDefault="00453140" w:rsidP="007D5236">
      <w:pPr>
        <w:tabs>
          <w:tab w:val="num" w:pos="720"/>
          <w:tab w:val="left" w:pos="1560"/>
        </w:tabs>
        <w:spacing w:line="276" w:lineRule="auto"/>
        <w:ind w:firstLine="1134"/>
        <w:rPr>
          <w:rFonts w:ascii="Times New Roman" w:eastAsia="Times New Roman"/>
          <w:b/>
          <w:sz w:val="24"/>
          <w:lang w:val="lt-LT"/>
        </w:rPr>
      </w:pPr>
      <w:r w:rsidRPr="00CD720C">
        <w:rPr>
          <w:rFonts w:ascii="Times New Roman" w:eastAsia="Times New Roman"/>
          <w:b/>
          <w:sz w:val="24"/>
          <w:lang w:val="lt-LT"/>
        </w:rPr>
        <w:t xml:space="preserve">2. Programos </w:t>
      </w:r>
      <w:r w:rsidR="00E26C35" w:rsidRPr="00CD720C">
        <w:rPr>
          <w:rFonts w:ascii="Times New Roman" w:eastAsia="Times New Roman"/>
          <w:b/>
          <w:sz w:val="24"/>
          <w:lang w:val="lt-LT"/>
        </w:rPr>
        <w:t xml:space="preserve">veiklos rezultatų plano </w:t>
      </w:r>
      <w:r w:rsidRPr="00CD720C">
        <w:rPr>
          <w:rFonts w:ascii="Times New Roman" w:eastAsia="Times New Roman"/>
          <w:b/>
          <w:sz w:val="24"/>
          <w:lang w:val="lt-LT"/>
        </w:rPr>
        <w:t>įgyvendinimo apžvalga</w:t>
      </w:r>
    </w:p>
    <w:p w14:paraId="7ED14E32" w14:textId="230766F7" w:rsidR="007D5236" w:rsidRPr="00CD720C" w:rsidRDefault="007D5236" w:rsidP="007D5236">
      <w:pPr>
        <w:tabs>
          <w:tab w:val="num" w:pos="720"/>
          <w:tab w:val="left" w:pos="1560"/>
        </w:tabs>
        <w:spacing w:line="276" w:lineRule="auto"/>
        <w:rPr>
          <w:rFonts w:ascii="Times New Roman" w:eastAsia="Times New Roman"/>
          <w:b/>
          <w:sz w:val="24"/>
        </w:rPr>
      </w:pPr>
    </w:p>
    <w:p w14:paraId="0245670A" w14:textId="06BC6241" w:rsidR="00487E4F" w:rsidRPr="00CD720C" w:rsidRDefault="00487E4F" w:rsidP="008856D5">
      <w:pPr>
        <w:widowControl/>
        <w:tabs>
          <w:tab w:val="num" w:pos="720"/>
        </w:tabs>
        <w:wordWrap/>
        <w:spacing w:line="276" w:lineRule="auto"/>
        <w:ind w:firstLine="1134"/>
        <w:rPr>
          <w:rFonts w:ascii="Times New Roman" w:eastAsia="Times New Roman"/>
          <w:sz w:val="24"/>
          <w:lang w:val="lt-LT"/>
        </w:rPr>
      </w:pPr>
      <w:r w:rsidRPr="00CD720C">
        <w:rPr>
          <w:rFonts w:ascii="Times New Roman" w:eastAsia="Times New Roman"/>
          <w:sz w:val="24"/>
          <w:lang w:val="lt-LT"/>
        </w:rPr>
        <w:t>Remiantis Europos Parlamento ir Tarybos reglamento Nr. 1303/2013 (kuriuo nustatomos ES fondams taikytinos bendros nuostatos) 20 str</w:t>
      </w:r>
      <w:r w:rsidR="006C6B64" w:rsidRPr="00CD720C">
        <w:rPr>
          <w:rFonts w:ascii="Times New Roman" w:eastAsia="Times New Roman"/>
          <w:sz w:val="24"/>
          <w:lang w:val="lt-LT"/>
        </w:rPr>
        <w:t>. 6 proc. EŽŪFKP lėšų sudaro veiklos lėšų rezervą, kuris nustatomas Programoje kiekvienam prioritetui.</w:t>
      </w:r>
      <w:r w:rsidR="00263BAF" w:rsidRPr="00CD720C">
        <w:rPr>
          <w:rFonts w:ascii="Times New Roman" w:eastAsia="Times New Roman"/>
          <w:sz w:val="24"/>
          <w:lang w:val="lt-LT"/>
        </w:rPr>
        <w:t xml:space="preserve"> 2019 m. EK atliks Programos įgyvendinimo rezultatų peržiūrą atsižvelgdama į Programoje nustatytą veiklos rezultatų planą, kuriame nurodyti peržiūros rodikliai ir iki 2018 m. pabaigos siektinos reikšmės (orientyrai).</w:t>
      </w:r>
      <w:r w:rsidR="00C46803" w:rsidRPr="00CD720C">
        <w:rPr>
          <w:rFonts w:ascii="Times New Roman" w:eastAsia="Times New Roman"/>
          <w:sz w:val="24"/>
          <w:lang w:val="lt-LT"/>
        </w:rPr>
        <w:t xml:space="preserve"> Veiklos lėšų rezervas liks (lėšos nebus sumažintos) tiems prioritetams, kurių veiklos rezultatų peržiūros plane nustatyti orientyrai </w:t>
      </w:r>
      <w:r w:rsidR="00CA05B2" w:rsidRPr="00CD720C">
        <w:rPr>
          <w:rFonts w:ascii="Times New Roman" w:eastAsia="Times New Roman"/>
          <w:sz w:val="24"/>
          <w:lang w:val="lt-LT"/>
        </w:rPr>
        <w:t xml:space="preserve">bus </w:t>
      </w:r>
      <w:r w:rsidR="00C46803" w:rsidRPr="00CD720C">
        <w:rPr>
          <w:rFonts w:ascii="Times New Roman" w:eastAsia="Times New Roman"/>
          <w:sz w:val="24"/>
          <w:lang w:val="lt-LT"/>
        </w:rPr>
        <w:t>pasiekti.</w:t>
      </w:r>
      <w:r w:rsidR="00A515CE" w:rsidRPr="00CD720C">
        <w:rPr>
          <w:rFonts w:ascii="Times New Roman" w:eastAsia="Times New Roman"/>
          <w:sz w:val="24"/>
          <w:lang w:val="lt-LT"/>
        </w:rPr>
        <w:t xml:space="preserve"> Pažymėtina, kad remiantis Europos Komisijos 2018 m. vasario 23 d. reglamento Nr. 2018/276 1 straipsniu, Programoje nustatytų orientyrų reikšmių pasiekimas bus vertinamas ne tik pagal </w:t>
      </w:r>
      <w:r w:rsidR="00AF2A2C" w:rsidRPr="00CD720C">
        <w:rPr>
          <w:rFonts w:ascii="Times New Roman" w:eastAsia="Times New Roman"/>
          <w:sz w:val="24"/>
          <w:lang w:val="lt-LT"/>
        </w:rPr>
        <w:t xml:space="preserve">visiškai įgyvendintus </w:t>
      </w:r>
      <w:r w:rsidR="00A515CE" w:rsidRPr="00CD720C">
        <w:rPr>
          <w:rFonts w:ascii="Times New Roman" w:eastAsia="Times New Roman"/>
          <w:sz w:val="24"/>
          <w:lang w:val="lt-LT"/>
        </w:rPr>
        <w:t>veiksm</w:t>
      </w:r>
      <w:r w:rsidR="00AF2A2C" w:rsidRPr="00CD720C">
        <w:rPr>
          <w:rFonts w:ascii="Times New Roman" w:eastAsia="Times New Roman"/>
          <w:sz w:val="24"/>
          <w:lang w:val="lt-LT"/>
        </w:rPr>
        <w:t>us, bet ir pagal veiksmus, kurie yra pradėti įgyvendinti,</w:t>
      </w:r>
      <w:r w:rsidR="006B226E" w:rsidRPr="00CD720C">
        <w:rPr>
          <w:rFonts w:ascii="Times New Roman" w:eastAsia="Times New Roman"/>
          <w:sz w:val="24"/>
          <w:lang w:val="lt-LT"/>
        </w:rPr>
        <w:t xml:space="preserve"> t. y., </w:t>
      </w:r>
      <w:r w:rsidR="00AF2A2C" w:rsidRPr="00CD720C">
        <w:rPr>
          <w:rFonts w:ascii="Times New Roman" w:eastAsia="Times New Roman"/>
          <w:sz w:val="24"/>
          <w:lang w:val="lt-LT"/>
        </w:rPr>
        <w:t xml:space="preserve">kai </w:t>
      </w:r>
      <w:r w:rsidR="003B1AC5" w:rsidRPr="00CD720C">
        <w:rPr>
          <w:rFonts w:ascii="Times New Roman" w:eastAsia="Times New Roman"/>
          <w:sz w:val="24"/>
          <w:lang w:val="lt-LT"/>
        </w:rPr>
        <w:t>dalis sutartyje numatytų investicijų jau atlikta, o likusios</w:t>
      </w:r>
      <w:r w:rsidR="00AF2A2C" w:rsidRPr="00CD720C">
        <w:rPr>
          <w:rFonts w:ascii="Times New Roman" w:eastAsia="Times New Roman"/>
          <w:sz w:val="24"/>
          <w:lang w:val="lt-LT"/>
        </w:rPr>
        <w:t xml:space="preserve"> dar tebevykdomos.</w:t>
      </w:r>
    </w:p>
    <w:p w14:paraId="68D06E9E" w14:textId="77777777" w:rsidR="00003E87" w:rsidRPr="00CD720C" w:rsidRDefault="006973E3" w:rsidP="008856D5">
      <w:pPr>
        <w:widowControl/>
        <w:tabs>
          <w:tab w:val="num" w:pos="720"/>
        </w:tabs>
        <w:wordWrap/>
        <w:spacing w:line="276" w:lineRule="auto"/>
        <w:ind w:firstLine="1134"/>
        <w:rPr>
          <w:rFonts w:ascii="Times New Roman"/>
          <w:bCs/>
          <w:sz w:val="24"/>
          <w:lang w:val="lt-LT"/>
        </w:rPr>
      </w:pPr>
      <w:r w:rsidRPr="00CD720C">
        <w:rPr>
          <w:rFonts w:ascii="Times New Roman" w:eastAsia="Times New Roman"/>
          <w:sz w:val="24"/>
          <w:lang w:val="lt-LT"/>
        </w:rPr>
        <w:t>Programos veiklos rezultatų plano įgyvendinimo situacija pateikta</w:t>
      </w:r>
      <w:r w:rsidRPr="00CD720C">
        <w:rPr>
          <w:rFonts w:ascii="Times New Roman"/>
          <w:bCs/>
          <w:sz w:val="24"/>
          <w:lang w:val="lt-LT"/>
        </w:rPr>
        <w:t xml:space="preserve"> 1 lentelėje.</w:t>
      </w:r>
      <w:r w:rsidR="00B96A52" w:rsidRPr="00CD720C">
        <w:rPr>
          <w:rFonts w:ascii="Times New Roman"/>
          <w:bCs/>
          <w:sz w:val="24"/>
          <w:lang w:val="lt-LT"/>
        </w:rPr>
        <w:t xml:space="preserve"> </w:t>
      </w:r>
      <w:r w:rsidR="00A43910" w:rsidRPr="00CD720C">
        <w:rPr>
          <w:rFonts w:ascii="Times New Roman"/>
          <w:bCs/>
          <w:sz w:val="24"/>
          <w:lang w:val="lt-LT"/>
        </w:rPr>
        <w:t>Joje</w:t>
      </w:r>
      <w:r w:rsidR="00003E87" w:rsidRPr="00CD720C">
        <w:rPr>
          <w:rFonts w:ascii="Times New Roman"/>
          <w:bCs/>
          <w:sz w:val="24"/>
          <w:lang w:val="lt-LT"/>
        </w:rPr>
        <w:t>:</w:t>
      </w:r>
    </w:p>
    <w:p w14:paraId="68389601" w14:textId="77777777" w:rsidR="00003E87" w:rsidRPr="00CD720C" w:rsidRDefault="00A43910" w:rsidP="00A312CC">
      <w:pPr>
        <w:pStyle w:val="Sraopastraipa"/>
        <w:numPr>
          <w:ilvl w:val="0"/>
          <w:numId w:val="3"/>
        </w:numPr>
        <w:tabs>
          <w:tab w:val="num" w:pos="720"/>
          <w:tab w:val="left" w:pos="1560"/>
        </w:tabs>
        <w:spacing w:line="276" w:lineRule="auto"/>
        <w:rPr>
          <w:rFonts w:ascii="Times New Roman" w:hAnsi="Times New Roman"/>
          <w:bCs/>
          <w:sz w:val="24"/>
        </w:rPr>
      </w:pPr>
      <w:r w:rsidRPr="00CD720C">
        <w:rPr>
          <w:rFonts w:ascii="Times New Roman" w:hAnsi="Times New Roman"/>
          <w:b/>
          <w:bCs/>
          <w:color w:val="5C8E26"/>
          <w:sz w:val="24"/>
        </w:rPr>
        <w:t>ž</w:t>
      </w:r>
      <w:r w:rsidR="00B96A52" w:rsidRPr="00CD720C">
        <w:rPr>
          <w:rFonts w:ascii="Times New Roman" w:hAnsi="Times New Roman"/>
          <w:b/>
          <w:bCs/>
          <w:color w:val="5C8E26"/>
          <w:sz w:val="24"/>
        </w:rPr>
        <w:t>alia</w:t>
      </w:r>
      <w:r w:rsidR="00B96A52" w:rsidRPr="00CD720C">
        <w:rPr>
          <w:rFonts w:ascii="Times New Roman" w:hAnsi="Times New Roman"/>
          <w:bCs/>
          <w:color w:val="92D050"/>
          <w:sz w:val="24"/>
        </w:rPr>
        <w:t xml:space="preserve"> </w:t>
      </w:r>
      <w:r w:rsidR="00B96A52" w:rsidRPr="00CD720C">
        <w:rPr>
          <w:rFonts w:ascii="Times New Roman" w:hAnsi="Times New Roman"/>
          <w:bCs/>
          <w:sz w:val="24"/>
        </w:rPr>
        <w:t>spalva</w:t>
      </w:r>
      <w:r w:rsidRPr="00CD720C">
        <w:rPr>
          <w:rFonts w:ascii="Times New Roman" w:hAnsi="Times New Roman"/>
          <w:bCs/>
          <w:sz w:val="24"/>
        </w:rPr>
        <w:t xml:space="preserve"> pažymėti rodikliai, kurie jau yra </w:t>
      </w:r>
      <w:r w:rsidRPr="00CD720C">
        <w:rPr>
          <w:rFonts w:ascii="Times New Roman" w:hAnsi="Times New Roman"/>
          <w:b/>
          <w:bCs/>
          <w:color w:val="5C8E26"/>
          <w:sz w:val="24"/>
        </w:rPr>
        <w:t>pasiekti</w:t>
      </w:r>
      <w:r w:rsidR="00A25CE9" w:rsidRPr="00CD720C">
        <w:rPr>
          <w:rFonts w:ascii="Times New Roman" w:hAnsi="Times New Roman"/>
          <w:bCs/>
          <w:sz w:val="24"/>
        </w:rPr>
        <w:t xml:space="preserve">, </w:t>
      </w:r>
    </w:p>
    <w:p w14:paraId="29A226F2" w14:textId="77777777" w:rsidR="00003E87" w:rsidRPr="00CD720C" w:rsidRDefault="00A25CE9" w:rsidP="00A312CC">
      <w:pPr>
        <w:pStyle w:val="Sraopastraipa"/>
        <w:numPr>
          <w:ilvl w:val="0"/>
          <w:numId w:val="3"/>
        </w:numPr>
        <w:tabs>
          <w:tab w:val="num" w:pos="720"/>
          <w:tab w:val="left" w:pos="1560"/>
        </w:tabs>
        <w:spacing w:line="276" w:lineRule="auto"/>
        <w:rPr>
          <w:rFonts w:ascii="Times New Roman" w:hAnsi="Times New Roman"/>
          <w:bCs/>
          <w:sz w:val="24"/>
        </w:rPr>
      </w:pPr>
      <w:r w:rsidRPr="00CD720C">
        <w:rPr>
          <w:rFonts w:ascii="Times New Roman" w:hAnsi="Times New Roman"/>
          <w:b/>
          <w:bCs/>
          <w:color w:val="E2AC00"/>
          <w:sz w:val="24"/>
        </w:rPr>
        <w:t>geltona</w:t>
      </w:r>
      <w:r w:rsidR="00003E87" w:rsidRPr="00CD720C">
        <w:rPr>
          <w:rFonts w:ascii="Times New Roman" w:hAnsi="Times New Roman"/>
          <w:bCs/>
          <w:color w:val="FFC000"/>
          <w:sz w:val="24"/>
        </w:rPr>
        <w:t xml:space="preserve"> </w:t>
      </w:r>
      <w:r w:rsidR="00003E87" w:rsidRPr="00CD720C">
        <w:rPr>
          <w:rFonts w:ascii="Times New Roman" w:hAnsi="Times New Roman"/>
          <w:bCs/>
          <w:sz w:val="24"/>
        </w:rPr>
        <w:t>spalva</w:t>
      </w:r>
      <w:r w:rsidRPr="00CD720C">
        <w:rPr>
          <w:rFonts w:ascii="Times New Roman" w:hAnsi="Times New Roman"/>
          <w:bCs/>
          <w:sz w:val="24"/>
        </w:rPr>
        <w:t xml:space="preserve"> –</w:t>
      </w:r>
      <w:r w:rsidR="00960439" w:rsidRPr="00CD720C">
        <w:rPr>
          <w:rFonts w:ascii="Times New Roman" w:hAnsi="Times New Roman"/>
          <w:bCs/>
          <w:sz w:val="24"/>
        </w:rPr>
        <w:t xml:space="preserve"> </w:t>
      </w:r>
      <w:r w:rsidR="00960439" w:rsidRPr="00CD720C">
        <w:rPr>
          <w:rFonts w:ascii="Times New Roman" w:hAnsi="Times New Roman"/>
          <w:b/>
          <w:bCs/>
          <w:color w:val="E2AC00"/>
          <w:sz w:val="24"/>
        </w:rPr>
        <w:t>tikimasi</w:t>
      </w:r>
      <w:r w:rsidRPr="00CD720C">
        <w:rPr>
          <w:rFonts w:ascii="Times New Roman" w:hAnsi="Times New Roman"/>
          <w:bCs/>
          <w:sz w:val="24"/>
        </w:rPr>
        <w:t xml:space="preserve"> </w:t>
      </w:r>
      <w:r w:rsidRPr="00CD720C">
        <w:rPr>
          <w:rFonts w:ascii="Times New Roman" w:hAnsi="Times New Roman"/>
          <w:b/>
          <w:bCs/>
          <w:color w:val="E2AC00"/>
          <w:sz w:val="24"/>
        </w:rPr>
        <w:t>pasiekti</w:t>
      </w:r>
      <w:r w:rsidR="00960439" w:rsidRPr="00CD720C">
        <w:rPr>
          <w:rFonts w:ascii="Times New Roman" w:hAnsi="Times New Roman"/>
          <w:bCs/>
          <w:sz w:val="24"/>
        </w:rPr>
        <w:t xml:space="preserve"> </w:t>
      </w:r>
      <w:r w:rsidR="00BB0091" w:rsidRPr="00CD720C">
        <w:rPr>
          <w:rFonts w:ascii="Times New Roman" w:hAnsi="Times New Roman"/>
          <w:bCs/>
          <w:sz w:val="24"/>
        </w:rPr>
        <w:t xml:space="preserve">(remiantis duomenimis apie patvirtintą paramą) </w:t>
      </w:r>
      <w:r w:rsidR="00960439" w:rsidRPr="00CD720C">
        <w:rPr>
          <w:rFonts w:ascii="Times New Roman" w:hAnsi="Times New Roman"/>
          <w:bCs/>
          <w:sz w:val="24"/>
        </w:rPr>
        <w:t>pasiekti iki 2018 m. pabaigos</w:t>
      </w:r>
      <w:r w:rsidR="00A43910" w:rsidRPr="00CD720C">
        <w:rPr>
          <w:rFonts w:ascii="Times New Roman" w:hAnsi="Times New Roman"/>
          <w:bCs/>
          <w:sz w:val="24"/>
        </w:rPr>
        <w:t xml:space="preserve">, </w:t>
      </w:r>
    </w:p>
    <w:p w14:paraId="54AC4E12" w14:textId="77777777" w:rsidR="00003E87" w:rsidRPr="00CD720C" w:rsidRDefault="00A43910" w:rsidP="00A312CC">
      <w:pPr>
        <w:pStyle w:val="Sraopastraipa"/>
        <w:numPr>
          <w:ilvl w:val="0"/>
          <w:numId w:val="3"/>
        </w:numPr>
        <w:tabs>
          <w:tab w:val="num" w:pos="720"/>
          <w:tab w:val="left" w:pos="1560"/>
        </w:tabs>
        <w:spacing w:line="276" w:lineRule="auto"/>
        <w:rPr>
          <w:rFonts w:ascii="Times New Roman" w:hAnsi="Times New Roman"/>
          <w:bCs/>
          <w:sz w:val="24"/>
        </w:rPr>
      </w:pPr>
      <w:r w:rsidRPr="00CD720C">
        <w:rPr>
          <w:rFonts w:ascii="Times New Roman" w:hAnsi="Times New Roman"/>
          <w:b/>
          <w:bCs/>
          <w:color w:val="C00000"/>
          <w:sz w:val="24"/>
        </w:rPr>
        <w:t>raudona</w:t>
      </w:r>
      <w:r w:rsidRPr="00CD720C">
        <w:rPr>
          <w:rFonts w:ascii="Times New Roman" w:hAnsi="Times New Roman"/>
          <w:bCs/>
          <w:color w:val="C00000"/>
          <w:sz w:val="24"/>
        </w:rPr>
        <w:t xml:space="preserve"> </w:t>
      </w:r>
      <w:r w:rsidRPr="00CD720C">
        <w:rPr>
          <w:rFonts w:ascii="Times New Roman" w:hAnsi="Times New Roman"/>
          <w:bCs/>
          <w:sz w:val="24"/>
        </w:rPr>
        <w:t xml:space="preserve">spalva – rodikliai, kurie </w:t>
      </w:r>
      <w:r w:rsidR="00003E87" w:rsidRPr="00CD720C">
        <w:rPr>
          <w:rFonts w:ascii="Times New Roman" w:hAnsi="Times New Roman"/>
          <w:bCs/>
          <w:sz w:val="24"/>
        </w:rPr>
        <w:t xml:space="preserve">ženkliai </w:t>
      </w:r>
      <w:r w:rsidRPr="00CD720C">
        <w:rPr>
          <w:rFonts w:ascii="Times New Roman" w:hAnsi="Times New Roman"/>
          <w:bCs/>
          <w:sz w:val="24"/>
        </w:rPr>
        <w:t xml:space="preserve">atsilieka nuo orientyrų ir yra </w:t>
      </w:r>
      <w:r w:rsidRPr="00CD720C">
        <w:rPr>
          <w:rFonts w:ascii="Times New Roman" w:hAnsi="Times New Roman"/>
          <w:b/>
          <w:bCs/>
          <w:color w:val="C00000"/>
          <w:sz w:val="24"/>
        </w:rPr>
        <w:t>grėsmė</w:t>
      </w:r>
      <w:r w:rsidRPr="00CD720C">
        <w:rPr>
          <w:rFonts w:ascii="Times New Roman" w:hAnsi="Times New Roman"/>
          <w:bCs/>
          <w:sz w:val="24"/>
        </w:rPr>
        <w:t xml:space="preserve"> jų </w:t>
      </w:r>
      <w:r w:rsidRPr="00CD720C">
        <w:rPr>
          <w:rFonts w:ascii="Times New Roman" w:hAnsi="Times New Roman"/>
          <w:b/>
          <w:bCs/>
          <w:color w:val="C00000"/>
          <w:sz w:val="24"/>
        </w:rPr>
        <w:t>nepasiekti</w:t>
      </w:r>
      <w:r w:rsidRPr="00CD720C">
        <w:rPr>
          <w:rFonts w:ascii="Times New Roman" w:hAnsi="Times New Roman"/>
          <w:bCs/>
          <w:sz w:val="24"/>
        </w:rPr>
        <w:t>.</w:t>
      </w:r>
      <w:r w:rsidR="006B226E" w:rsidRPr="00CD720C">
        <w:rPr>
          <w:rFonts w:ascii="Times New Roman" w:hAnsi="Times New Roman"/>
          <w:bCs/>
          <w:sz w:val="24"/>
        </w:rPr>
        <w:t xml:space="preserve"> </w:t>
      </w:r>
    </w:p>
    <w:p w14:paraId="6E05CF52" w14:textId="76B137F8" w:rsidR="00007611" w:rsidRPr="00CD720C" w:rsidRDefault="006B226E" w:rsidP="008856D5">
      <w:pPr>
        <w:widowControl/>
        <w:tabs>
          <w:tab w:val="num" w:pos="720"/>
        </w:tabs>
        <w:wordWrap/>
        <w:spacing w:line="276" w:lineRule="auto"/>
        <w:ind w:firstLine="1134"/>
        <w:rPr>
          <w:rFonts w:ascii="Times New Roman"/>
          <w:bCs/>
          <w:sz w:val="24"/>
          <w:lang w:val="lt-LT"/>
        </w:rPr>
      </w:pPr>
      <w:r w:rsidRPr="00CD720C">
        <w:rPr>
          <w:rFonts w:ascii="Times New Roman"/>
          <w:bCs/>
          <w:sz w:val="24"/>
          <w:lang w:val="lt-LT"/>
        </w:rPr>
        <w:t>Rengiant</w:t>
      </w:r>
      <w:r w:rsidR="0038558C" w:rsidRPr="00CD720C">
        <w:rPr>
          <w:rFonts w:ascii="Times New Roman"/>
          <w:bCs/>
          <w:sz w:val="24"/>
          <w:lang w:val="lt-LT"/>
        </w:rPr>
        <w:t xml:space="preserve"> </w:t>
      </w:r>
      <w:r w:rsidRPr="00CD720C">
        <w:rPr>
          <w:rFonts w:ascii="Times New Roman"/>
          <w:bCs/>
          <w:sz w:val="24"/>
          <w:lang w:val="lt-LT"/>
        </w:rPr>
        <w:t xml:space="preserve">veiklos rezultatų plano įgyvendinimo </w:t>
      </w:r>
      <w:r w:rsidR="0038558C" w:rsidRPr="00CD720C">
        <w:rPr>
          <w:rFonts w:ascii="Times New Roman"/>
          <w:bCs/>
          <w:sz w:val="24"/>
          <w:lang w:val="lt-LT"/>
        </w:rPr>
        <w:t>iki 2018 m. I</w:t>
      </w:r>
      <w:r w:rsidR="00563831">
        <w:rPr>
          <w:rFonts w:ascii="Times New Roman"/>
          <w:bCs/>
          <w:sz w:val="24"/>
          <w:lang w:val="lt-LT"/>
        </w:rPr>
        <w:t>I</w:t>
      </w:r>
      <w:r w:rsidR="0038558C" w:rsidRPr="00CD720C">
        <w:rPr>
          <w:rFonts w:ascii="Times New Roman"/>
          <w:bCs/>
          <w:sz w:val="24"/>
          <w:lang w:val="lt-LT"/>
        </w:rPr>
        <w:t xml:space="preserve"> ketvirčio </w:t>
      </w:r>
      <w:r w:rsidRPr="00CD720C">
        <w:rPr>
          <w:rFonts w:ascii="Times New Roman"/>
          <w:bCs/>
          <w:sz w:val="24"/>
          <w:lang w:val="lt-LT"/>
        </w:rPr>
        <w:t>situaciją</w:t>
      </w:r>
      <w:r w:rsidR="0038558C" w:rsidRPr="00CD720C">
        <w:rPr>
          <w:rFonts w:ascii="Times New Roman"/>
          <w:bCs/>
          <w:sz w:val="24"/>
          <w:lang w:val="lt-LT"/>
        </w:rPr>
        <w:t xml:space="preserve"> </w:t>
      </w:r>
      <w:r w:rsidRPr="00CD720C">
        <w:rPr>
          <w:rFonts w:ascii="Times New Roman"/>
          <w:bCs/>
          <w:sz w:val="24"/>
          <w:lang w:val="lt-LT"/>
        </w:rPr>
        <w:t xml:space="preserve">atsižvelgiama į </w:t>
      </w:r>
      <w:r w:rsidR="00615C01">
        <w:rPr>
          <w:rFonts w:ascii="Times New Roman"/>
          <w:bCs/>
          <w:sz w:val="24"/>
          <w:lang w:val="lt-LT"/>
        </w:rPr>
        <w:t>pirmiau</w:t>
      </w:r>
      <w:r w:rsidRPr="00CD720C">
        <w:rPr>
          <w:rFonts w:ascii="Times New Roman"/>
          <w:bCs/>
          <w:sz w:val="24"/>
          <w:lang w:val="lt-LT"/>
        </w:rPr>
        <w:t xml:space="preserve"> minėtą reglamento pakeitimą</w:t>
      </w:r>
      <w:r w:rsidR="00D46D7C" w:rsidRPr="00CD720C">
        <w:rPr>
          <w:rFonts w:ascii="Times New Roman"/>
          <w:bCs/>
          <w:sz w:val="24"/>
          <w:lang w:val="lt-LT"/>
        </w:rPr>
        <w:t xml:space="preserve">, t. y., įtraukiami </w:t>
      </w:r>
      <w:r w:rsidR="004577C9" w:rsidRPr="00CD720C">
        <w:rPr>
          <w:rFonts w:ascii="Times New Roman"/>
          <w:bCs/>
          <w:sz w:val="24"/>
          <w:lang w:val="lt-LT"/>
        </w:rPr>
        <w:t>ir pradėti įgyvendinti projektai bei pagal juos</w:t>
      </w:r>
      <w:r w:rsidRPr="00CD720C">
        <w:rPr>
          <w:rFonts w:ascii="Times New Roman"/>
          <w:bCs/>
          <w:sz w:val="24"/>
          <w:lang w:val="lt-LT"/>
        </w:rPr>
        <w:t xml:space="preserve"> </w:t>
      </w:r>
      <w:r w:rsidR="004577C9" w:rsidRPr="00CD720C">
        <w:rPr>
          <w:rFonts w:ascii="Times New Roman"/>
          <w:bCs/>
          <w:sz w:val="24"/>
          <w:lang w:val="lt-LT"/>
        </w:rPr>
        <w:t>jau išmokėta paramos dalis.</w:t>
      </w:r>
      <w:r w:rsidR="00E84152" w:rsidRPr="00E84152">
        <w:rPr>
          <w:rFonts w:ascii="Times New Roman"/>
          <w:bCs/>
          <w:sz w:val="24"/>
          <w:lang w:val="lt-LT"/>
        </w:rPr>
        <w:t xml:space="preserve"> </w:t>
      </w:r>
      <w:r w:rsidR="00E84152" w:rsidRPr="00CD720C">
        <w:rPr>
          <w:rFonts w:ascii="Times New Roman"/>
          <w:bCs/>
          <w:sz w:val="24"/>
          <w:lang w:val="lt-LT"/>
        </w:rPr>
        <w:t>Skliausteliuose nurodomi duomenys pagal patvirtintą paramą ir daroma prielaida, kai jie bus pradėti įgyvendinti iki 2018 m. pabaigos.</w:t>
      </w:r>
    </w:p>
    <w:p w14:paraId="5B0F1A1C" w14:textId="1D0164C6" w:rsidR="00AE11C0" w:rsidRPr="00CD720C" w:rsidRDefault="00AE11C0" w:rsidP="006973E3">
      <w:pPr>
        <w:tabs>
          <w:tab w:val="num" w:pos="720"/>
          <w:tab w:val="left" w:pos="1560"/>
        </w:tabs>
        <w:spacing w:line="276" w:lineRule="auto"/>
        <w:ind w:firstLine="1134"/>
        <w:rPr>
          <w:rFonts w:ascii="Times New Roman"/>
          <w:bCs/>
          <w:sz w:val="24"/>
          <w:lang w:val="lt-LT"/>
        </w:rPr>
      </w:pPr>
    </w:p>
    <w:p w14:paraId="5983BFB1" w14:textId="2E5DD93F" w:rsidR="00C1798B" w:rsidRPr="00CD720C" w:rsidRDefault="00C1798B" w:rsidP="006973E3">
      <w:pPr>
        <w:tabs>
          <w:tab w:val="num" w:pos="720"/>
          <w:tab w:val="left" w:pos="1560"/>
        </w:tabs>
        <w:spacing w:line="276" w:lineRule="auto"/>
        <w:ind w:firstLine="1134"/>
        <w:rPr>
          <w:rFonts w:ascii="Times New Roman"/>
          <w:bCs/>
          <w:sz w:val="24"/>
          <w:lang w:val="lt-LT"/>
        </w:rPr>
      </w:pPr>
    </w:p>
    <w:p w14:paraId="61640799" w14:textId="55845DE2" w:rsidR="00C1798B" w:rsidRPr="00CD720C" w:rsidRDefault="00C1798B" w:rsidP="006973E3">
      <w:pPr>
        <w:tabs>
          <w:tab w:val="num" w:pos="720"/>
          <w:tab w:val="left" w:pos="1560"/>
        </w:tabs>
        <w:spacing w:line="276" w:lineRule="auto"/>
        <w:ind w:firstLine="1134"/>
        <w:rPr>
          <w:rFonts w:ascii="Times New Roman"/>
          <w:bCs/>
          <w:sz w:val="24"/>
          <w:lang w:val="lt-LT"/>
        </w:rPr>
      </w:pPr>
    </w:p>
    <w:p w14:paraId="59C726BB" w14:textId="77777777" w:rsidR="00C1798B" w:rsidRPr="00CD720C" w:rsidRDefault="00C1798B" w:rsidP="006973E3">
      <w:pPr>
        <w:tabs>
          <w:tab w:val="num" w:pos="720"/>
          <w:tab w:val="left" w:pos="1560"/>
        </w:tabs>
        <w:spacing w:line="276" w:lineRule="auto"/>
        <w:ind w:firstLine="1134"/>
        <w:rPr>
          <w:rFonts w:ascii="Times New Roman"/>
          <w:bCs/>
          <w:sz w:val="24"/>
          <w:lang w:val="lt-LT"/>
        </w:rPr>
      </w:pPr>
    </w:p>
    <w:p w14:paraId="6914AE1F" w14:textId="48B87A01" w:rsidR="00AE11C0" w:rsidRPr="00CD720C" w:rsidRDefault="00AE11C0" w:rsidP="00AE11C0">
      <w:pPr>
        <w:tabs>
          <w:tab w:val="num" w:pos="720"/>
          <w:tab w:val="left" w:pos="1560"/>
        </w:tabs>
        <w:spacing w:line="276" w:lineRule="auto"/>
        <w:rPr>
          <w:rFonts w:ascii="Times New Roman"/>
          <w:bCs/>
          <w:sz w:val="24"/>
          <w:lang w:val="lt-LT"/>
        </w:rPr>
      </w:pPr>
      <w:r w:rsidRPr="00CD720C">
        <w:rPr>
          <w:rFonts w:ascii="Times New Roman"/>
          <w:b/>
          <w:bCs/>
          <w:i/>
          <w:sz w:val="22"/>
          <w:szCs w:val="22"/>
        </w:rPr>
        <w:lastRenderedPageBreak/>
        <w:t xml:space="preserve">1 </w:t>
      </w:r>
      <w:proofErr w:type="spellStart"/>
      <w:r w:rsidRPr="00CD720C">
        <w:rPr>
          <w:rFonts w:ascii="Times New Roman"/>
          <w:b/>
          <w:bCs/>
          <w:i/>
          <w:sz w:val="22"/>
          <w:szCs w:val="22"/>
        </w:rPr>
        <w:t>lentelė</w:t>
      </w:r>
      <w:proofErr w:type="spellEnd"/>
      <w:r w:rsidRPr="00CD720C">
        <w:rPr>
          <w:rFonts w:ascii="Times New Roman"/>
          <w:b/>
          <w:bCs/>
          <w:i/>
          <w:sz w:val="22"/>
          <w:szCs w:val="22"/>
        </w:rPr>
        <w:t xml:space="preserve">. </w:t>
      </w:r>
      <w:r w:rsidRPr="00CD720C">
        <w:rPr>
          <w:rFonts w:ascii="Times New Roman" w:eastAsia="Times New Roman"/>
          <w:b/>
          <w:i/>
          <w:sz w:val="22"/>
          <w:szCs w:val="22"/>
          <w:lang w:val="lt-LT"/>
        </w:rPr>
        <w:t>Veiklos rezultatų plano įgyvendinimas (orientyrų pasiekimas)</w:t>
      </w:r>
      <w:r w:rsidR="00191F99" w:rsidRPr="00CD720C">
        <w:rPr>
          <w:rFonts w:ascii="Times New Roman" w:eastAsia="Times New Roman"/>
          <w:b/>
          <w:i/>
          <w:sz w:val="22"/>
          <w:szCs w:val="22"/>
          <w:lang w:val="lt-LT"/>
        </w:rPr>
        <w:t xml:space="preserve"> iki 201</w:t>
      </w:r>
      <w:r w:rsidR="00544482" w:rsidRPr="00CD720C">
        <w:rPr>
          <w:rFonts w:ascii="Times New Roman" w:eastAsia="Times New Roman"/>
          <w:b/>
          <w:i/>
          <w:sz w:val="22"/>
          <w:szCs w:val="22"/>
          <w:lang w:val="lt-LT"/>
        </w:rPr>
        <w:t>8</w:t>
      </w:r>
      <w:r w:rsidR="00191F99" w:rsidRPr="00CD720C">
        <w:rPr>
          <w:rFonts w:ascii="Times New Roman" w:eastAsia="Times New Roman"/>
          <w:b/>
          <w:i/>
          <w:sz w:val="22"/>
          <w:szCs w:val="22"/>
          <w:lang w:val="lt-LT"/>
        </w:rPr>
        <w:t>-</w:t>
      </w:r>
      <w:r w:rsidR="00544482" w:rsidRPr="00CD720C">
        <w:rPr>
          <w:rFonts w:ascii="Times New Roman" w:eastAsia="Times New Roman"/>
          <w:b/>
          <w:i/>
          <w:sz w:val="22"/>
          <w:szCs w:val="22"/>
          <w:lang w:val="lt-LT"/>
        </w:rPr>
        <w:t>0</w:t>
      </w:r>
      <w:r w:rsidR="00E97F5C">
        <w:rPr>
          <w:rFonts w:ascii="Times New Roman" w:eastAsia="Times New Roman"/>
          <w:b/>
          <w:i/>
          <w:sz w:val="22"/>
          <w:szCs w:val="22"/>
          <w:lang w:val="lt-LT"/>
        </w:rPr>
        <w:t>6</w:t>
      </w:r>
      <w:r w:rsidR="00191F99" w:rsidRPr="00CD720C">
        <w:rPr>
          <w:rFonts w:ascii="Times New Roman" w:eastAsia="Times New Roman"/>
          <w:b/>
          <w:i/>
          <w:sz w:val="22"/>
          <w:szCs w:val="22"/>
          <w:lang w:val="lt-LT"/>
        </w:rPr>
        <w:t>-3</w:t>
      </w:r>
      <w:r w:rsidR="00E97F5C">
        <w:rPr>
          <w:rFonts w:ascii="Times New Roman" w:eastAsia="Times New Roman"/>
          <w:b/>
          <w:i/>
          <w:sz w:val="22"/>
          <w:szCs w:val="22"/>
          <w:lang w:val="lt-LT"/>
        </w:rPr>
        <w:t>0</w:t>
      </w:r>
    </w:p>
    <w:tbl>
      <w:tblPr>
        <w:tblW w:w="9606" w:type="dxa"/>
        <w:tblBorders>
          <w:top w:val="single" w:sz="4" w:space="0" w:color="auto"/>
          <w:left w:val="single" w:sz="4" w:space="0" w:color="auto"/>
          <w:bottom w:val="single" w:sz="4" w:space="0" w:color="auto"/>
          <w:right w:val="single" w:sz="4" w:space="0" w:color="auto"/>
          <w:insideH w:val="single" w:sz="4" w:space="0" w:color="808080" w:themeColor="background1" w:themeShade="80"/>
          <w:insideV w:val="single" w:sz="4" w:space="0" w:color="808080" w:themeColor="background1" w:themeShade="80"/>
        </w:tblBorders>
        <w:tblLayout w:type="fixed"/>
        <w:tblCellMar>
          <w:left w:w="0" w:type="dxa"/>
          <w:right w:w="0" w:type="dxa"/>
        </w:tblCellMar>
        <w:tblLook w:val="0420" w:firstRow="1" w:lastRow="0" w:firstColumn="0" w:lastColumn="0" w:noHBand="0" w:noVBand="1"/>
      </w:tblPr>
      <w:tblGrid>
        <w:gridCol w:w="1980"/>
        <w:gridCol w:w="2977"/>
        <w:gridCol w:w="1134"/>
        <w:gridCol w:w="1134"/>
        <w:gridCol w:w="1247"/>
        <w:gridCol w:w="1134"/>
      </w:tblGrid>
      <w:tr w:rsidR="00AE11C0" w:rsidRPr="00CD720C" w14:paraId="7A30D09B" w14:textId="77777777" w:rsidTr="00C458FC">
        <w:trPr>
          <w:trHeight w:val="851"/>
          <w:tblHeader/>
        </w:trPr>
        <w:tc>
          <w:tcPr>
            <w:tcW w:w="1980" w:type="dxa"/>
            <w:tcBorders>
              <w:bottom w:val="single" w:sz="4" w:space="0" w:color="auto"/>
            </w:tcBorders>
            <w:shd w:val="clear" w:color="auto" w:fill="D0CECE" w:themeFill="background2" w:themeFillShade="E6"/>
            <w:tcMar>
              <w:top w:w="72" w:type="dxa"/>
              <w:left w:w="144" w:type="dxa"/>
              <w:bottom w:w="72" w:type="dxa"/>
              <w:right w:w="144" w:type="dxa"/>
            </w:tcMar>
            <w:hideMark/>
          </w:tcPr>
          <w:p w14:paraId="5182EDA5" w14:textId="77777777" w:rsidR="00AE11C0" w:rsidRPr="00CD720C" w:rsidRDefault="00AE11C0" w:rsidP="004A4882">
            <w:pPr>
              <w:tabs>
                <w:tab w:val="num" w:pos="720"/>
                <w:tab w:val="left" w:pos="1560"/>
              </w:tabs>
              <w:rPr>
                <w:rFonts w:ascii="Times New Roman" w:eastAsia="Times New Roman"/>
                <w:b/>
                <w:bCs/>
                <w:sz w:val="16"/>
                <w:szCs w:val="16"/>
                <w:lang w:val="lt-LT"/>
              </w:rPr>
            </w:pPr>
            <w:r w:rsidRPr="00CD720C">
              <w:rPr>
                <w:rFonts w:ascii="Times New Roman" w:eastAsia="Times New Roman"/>
                <w:b/>
                <w:bCs/>
                <w:sz w:val="16"/>
                <w:szCs w:val="16"/>
                <w:lang w:val="lt-LT"/>
              </w:rPr>
              <w:t xml:space="preserve">Prioritetas </w:t>
            </w:r>
          </w:p>
          <w:p w14:paraId="26E3A18B" w14:textId="77777777" w:rsidR="00AE11C0" w:rsidRPr="00CD720C" w:rsidRDefault="00AE11C0" w:rsidP="004A4882">
            <w:pPr>
              <w:tabs>
                <w:tab w:val="num" w:pos="720"/>
                <w:tab w:val="left" w:pos="1560"/>
              </w:tabs>
              <w:rPr>
                <w:rFonts w:ascii="Times New Roman" w:eastAsia="Times New Roman"/>
                <w:b/>
                <w:sz w:val="16"/>
                <w:szCs w:val="16"/>
                <w:lang w:val="lt-LT"/>
              </w:rPr>
            </w:pPr>
          </w:p>
        </w:tc>
        <w:tc>
          <w:tcPr>
            <w:tcW w:w="2977" w:type="dxa"/>
            <w:tcBorders>
              <w:bottom w:val="single" w:sz="4" w:space="0" w:color="auto"/>
            </w:tcBorders>
            <w:shd w:val="clear" w:color="auto" w:fill="D0CECE" w:themeFill="background2" w:themeFillShade="E6"/>
            <w:tcMar>
              <w:top w:w="72" w:type="dxa"/>
              <w:left w:w="144" w:type="dxa"/>
              <w:bottom w:w="72" w:type="dxa"/>
              <w:right w:w="144" w:type="dxa"/>
            </w:tcMar>
            <w:hideMark/>
          </w:tcPr>
          <w:p w14:paraId="05B919BB" w14:textId="77777777" w:rsidR="00AE11C0" w:rsidRPr="00CD720C" w:rsidRDefault="00AE11C0" w:rsidP="004A4882">
            <w:pPr>
              <w:tabs>
                <w:tab w:val="num" w:pos="720"/>
                <w:tab w:val="left" w:pos="1560"/>
              </w:tabs>
              <w:ind w:right="-141"/>
              <w:rPr>
                <w:rFonts w:ascii="Times New Roman" w:eastAsia="Times New Roman"/>
                <w:b/>
                <w:sz w:val="16"/>
                <w:szCs w:val="16"/>
                <w:lang w:val="lt-LT"/>
              </w:rPr>
            </w:pPr>
            <w:r w:rsidRPr="00CD720C">
              <w:rPr>
                <w:rFonts w:ascii="Times New Roman" w:eastAsia="Times New Roman"/>
                <w:b/>
                <w:bCs/>
                <w:sz w:val="16"/>
                <w:szCs w:val="16"/>
                <w:lang w:val="lt-LT"/>
              </w:rPr>
              <w:t>Rodiklis</w:t>
            </w:r>
          </w:p>
        </w:tc>
        <w:tc>
          <w:tcPr>
            <w:tcW w:w="1134" w:type="dxa"/>
            <w:tcBorders>
              <w:bottom w:val="single" w:sz="4" w:space="0" w:color="auto"/>
            </w:tcBorders>
            <w:shd w:val="clear" w:color="auto" w:fill="D0CECE" w:themeFill="background2" w:themeFillShade="E6"/>
            <w:tcMar>
              <w:top w:w="72" w:type="dxa"/>
              <w:left w:w="144" w:type="dxa"/>
              <w:bottom w:w="72" w:type="dxa"/>
              <w:right w:w="144" w:type="dxa"/>
            </w:tcMar>
            <w:hideMark/>
          </w:tcPr>
          <w:p w14:paraId="291CD24F" w14:textId="77777777" w:rsidR="00AE11C0" w:rsidRPr="00CD720C" w:rsidRDefault="00AE11C0" w:rsidP="0019141D">
            <w:pPr>
              <w:tabs>
                <w:tab w:val="num" w:pos="720"/>
                <w:tab w:val="left" w:pos="1560"/>
              </w:tabs>
              <w:jc w:val="center"/>
              <w:rPr>
                <w:rFonts w:ascii="Times New Roman" w:eastAsia="Times New Roman"/>
                <w:b/>
                <w:sz w:val="16"/>
                <w:szCs w:val="16"/>
                <w:lang w:val="lt-LT"/>
              </w:rPr>
            </w:pPr>
            <w:r w:rsidRPr="00CD720C">
              <w:rPr>
                <w:rFonts w:ascii="Times New Roman" w:eastAsia="Times New Roman"/>
                <w:b/>
                <w:bCs/>
                <w:sz w:val="16"/>
                <w:szCs w:val="16"/>
                <w:lang w:val="lt-LT"/>
              </w:rPr>
              <w:t>Tikslas 2023 m.</w:t>
            </w:r>
          </w:p>
        </w:tc>
        <w:tc>
          <w:tcPr>
            <w:tcW w:w="1134" w:type="dxa"/>
            <w:tcBorders>
              <w:bottom w:val="single" w:sz="4" w:space="0" w:color="auto"/>
            </w:tcBorders>
            <w:shd w:val="clear" w:color="auto" w:fill="D0CECE" w:themeFill="background2" w:themeFillShade="E6"/>
            <w:tcMar>
              <w:top w:w="72" w:type="dxa"/>
              <w:left w:w="144" w:type="dxa"/>
              <w:bottom w:w="72" w:type="dxa"/>
              <w:right w:w="144" w:type="dxa"/>
            </w:tcMar>
            <w:hideMark/>
          </w:tcPr>
          <w:p w14:paraId="51BCDD17" w14:textId="44463FD0" w:rsidR="00AE11C0" w:rsidRPr="00CD720C" w:rsidRDefault="00AE11C0" w:rsidP="0019141D">
            <w:pPr>
              <w:tabs>
                <w:tab w:val="num" w:pos="720"/>
                <w:tab w:val="left" w:pos="1560"/>
              </w:tabs>
              <w:ind w:right="-151" w:hanging="7"/>
              <w:jc w:val="center"/>
              <w:rPr>
                <w:rFonts w:ascii="Times New Roman" w:eastAsia="Times New Roman"/>
                <w:b/>
                <w:sz w:val="16"/>
                <w:szCs w:val="16"/>
                <w:lang w:val="lt-LT"/>
              </w:rPr>
            </w:pPr>
            <w:r w:rsidRPr="00CD720C">
              <w:rPr>
                <w:rFonts w:ascii="Times New Roman" w:eastAsia="Times New Roman"/>
                <w:b/>
                <w:bCs/>
                <w:sz w:val="16"/>
                <w:szCs w:val="16"/>
                <w:lang w:val="lt-LT"/>
              </w:rPr>
              <w:t>Tikslo pasiekimas 201</w:t>
            </w:r>
            <w:r w:rsidR="00DD776B" w:rsidRPr="00CD720C">
              <w:rPr>
                <w:rFonts w:ascii="Times New Roman" w:eastAsia="Times New Roman"/>
                <w:b/>
                <w:bCs/>
                <w:sz w:val="16"/>
                <w:szCs w:val="16"/>
                <w:lang w:val="lt-LT"/>
              </w:rPr>
              <w:t>8</w:t>
            </w:r>
            <w:r w:rsidRPr="00CD720C">
              <w:rPr>
                <w:rFonts w:ascii="Times New Roman" w:eastAsia="Times New Roman"/>
                <w:b/>
                <w:bCs/>
                <w:sz w:val="16"/>
                <w:szCs w:val="16"/>
                <w:lang w:val="lt-LT"/>
              </w:rPr>
              <w:t>-</w:t>
            </w:r>
            <w:r w:rsidR="00DD776B" w:rsidRPr="00CD720C">
              <w:rPr>
                <w:rFonts w:ascii="Times New Roman" w:eastAsia="Times New Roman"/>
                <w:b/>
                <w:bCs/>
                <w:sz w:val="16"/>
                <w:szCs w:val="16"/>
                <w:lang w:val="lt-LT"/>
              </w:rPr>
              <w:t>0</w:t>
            </w:r>
            <w:r w:rsidR="007E6A97">
              <w:rPr>
                <w:rFonts w:ascii="Times New Roman" w:eastAsia="Times New Roman"/>
                <w:b/>
                <w:bCs/>
                <w:sz w:val="16"/>
                <w:szCs w:val="16"/>
                <w:lang w:val="lt-LT"/>
              </w:rPr>
              <w:t>6</w:t>
            </w:r>
            <w:r w:rsidRPr="00CD720C">
              <w:rPr>
                <w:rFonts w:ascii="Times New Roman" w:eastAsia="Times New Roman"/>
                <w:b/>
                <w:bCs/>
                <w:sz w:val="16"/>
                <w:szCs w:val="16"/>
                <w:lang w:val="lt-LT"/>
              </w:rPr>
              <w:t>-</w:t>
            </w:r>
            <w:r w:rsidR="007E6A97">
              <w:rPr>
                <w:rFonts w:ascii="Times New Roman" w:eastAsia="Times New Roman"/>
                <w:b/>
                <w:bCs/>
                <w:sz w:val="16"/>
                <w:szCs w:val="16"/>
                <w:lang w:val="lt-LT"/>
              </w:rPr>
              <w:t>30</w:t>
            </w:r>
          </w:p>
        </w:tc>
        <w:tc>
          <w:tcPr>
            <w:tcW w:w="1247" w:type="dxa"/>
            <w:tcBorders>
              <w:bottom w:val="single" w:sz="4" w:space="0" w:color="auto"/>
            </w:tcBorders>
            <w:shd w:val="clear" w:color="auto" w:fill="D0CECE" w:themeFill="background2" w:themeFillShade="E6"/>
            <w:tcMar>
              <w:top w:w="72" w:type="dxa"/>
              <w:left w:w="144" w:type="dxa"/>
              <w:bottom w:w="72" w:type="dxa"/>
              <w:right w:w="144" w:type="dxa"/>
            </w:tcMar>
            <w:hideMark/>
          </w:tcPr>
          <w:p w14:paraId="539D2330" w14:textId="109AC726" w:rsidR="0019141D" w:rsidRPr="00CD720C" w:rsidRDefault="00AE11C0" w:rsidP="0019141D">
            <w:pPr>
              <w:tabs>
                <w:tab w:val="num" w:pos="720"/>
              </w:tabs>
              <w:ind w:right="-150"/>
              <w:jc w:val="center"/>
              <w:rPr>
                <w:rFonts w:ascii="Times New Roman" w:eastAsia="Times New Roman"/>
                <w:b/>
                <w:bCs/>
                <w:sz w:val="16"/>
                <w:szCs w:val="16"/>
                <w:lang w:val="lt-LT"/>
              </w:rPr>
            </w:pPr>
            <w:r w:rsidRPr="00CD720C">
              <w:rPr>
                <w:rFonts w:ascii="Times New Roman" w:eastAsia="Times New Roman"/>
                <w:b/>
                <w:bCs/>
                <w:sz w:val="16"/>
                <w:szCs w:val="16"/>
                <w:lang w:val="lt-LT"/>
              </w:rPr>
              <w:t>Tikslo įgyvendinimas</w:t>
            </w:r>
          </w:p>
          <w:p w14:paraId="557AA4A1" w14:textId="368939C3" w:rsidR="00AE11C0" w:rsidRPr="00CD720C" w:rsidRDefault="00AE11C0" w:rsidP="0019141D">
            <w:pPr>
              <w:tabs>
                <w:tab w:val="num" w:pos="720"/>
              </w:tabs>
              <w:ind w:right="-150"/>
              <w:jc w:val="center"/>
              <w:rPr>
                <w:rFonts w:ascii="Times New Roman" w:eastAsia="Times New Roman"/>
                <w:b/>
                <w:sz w:val="16"/>
                <w:szCs w:val="16"/>
                <w:lang w:val="lt-LT"/>
              </w:rPr>
            </w:pPr>
            <w:r w:rsidRPr="00CD720C">
              <w:rPr>
                <w:rFonts w:ascii="Times New Roman" w:eastAsia="Times New Roman"/>
                <w:b/>
                <w:bCs/>
                <w:sz w:val="16"/>
                <w:szCs w:val="16"/>
                <w:lang w:val="lt-LT"/>
              </w:rPr>
              <w:t>201</w:t>
            </w:r>
            <w:r w:rsidR="00544482" w:rsidRPr="00CD720C">
              <w:rPr>
                <w:rFonts w:ascii="Times New Roman" w:eastAsia="Times New Roman"/>
                <w:b/>
                <w:bCs/>
                <w:sz w:val="16"/>
                <w:szCs w:val="16"/>
                <w:lang w:val="lt-LT"/>
              </w:rPr>
              <w:t>8</w:t>
            </w:r>
            <w:r w:rsidRPr="00CD720C">
              <w:rPr>
                <w:rFonts w:ascii="Times New Roman" w:eastAsia="Times New Roman"/>
                <w:b/>
                <w:bCs/>
                <w:sz w:val="16"/>
                <w:szCs w:val="16"/>
                <w:lang w:val="lt-LT"/>
              </w:rPr>
              <w:t>-</w:t>
            </w:r>
            <w:r w:rsidR="00544482" w:rsidRPr="00CD720C">
              <w:rPr>
                <w:rFonts w:ascii="Times New Roman" w:eastAsia="Times New Roman"/>
                <w:b/>
                <w:bCs/>
                <w:sz w:val="16"/>
                <w:szCs w:val="16"/>
                <w:lang w:val="lt-LT"/>
              </w:rPr>
              <w:t>0</w:t>
            </w:r>
            <w:r w:rsidR="007E6A97">
              <w:rPr>
                <w:rFonts w:ascii="Times New Roman" w:eastAsia="Times New Roman"/>
                <w:b/>
                <w:bCs/>
                <w:sz w:val="16"/>
                <w:szCs w:val="16"/>
                <w:lang w:val="lt-LT"/>
              </w:rPr>
              <w:t>6</w:t>
            </w:r>
            <w:r w:rsidRPr="00CD720C">
              <w:rPr>
                <w:rFonts w:ascii="Times New Roman" w:eastAsia="Times New Roman"/>
                <w:b/>
                <w:bCs/>
                <w:sz w:val="16"/>
                <w:szCs w:val="16"/>
                <w:lang w:val="lt-LT"/>
              </w:rPr>
              <w:t>-3</w:t>
            </w:r>
            <w:r w:rsidR="007E6A97">
              <w:rPr>
                <w:rFonts w:ascii="Times New Roman" w:eastAsia="Times New Roman"/>
                <w:b/>
                <w:bCs/>
                <w:sz w:val="16"/>
                <w:szCs w:val="16"/>
                <w:lang w:val="lt-LT"/>
              </w:rPr>
              <w:t>0</w:t>
            </w:r>
            <w:r w:rsidRPr="00CD720C">
              <w:rPr>
                <w:rFonts w:ascii="Times New Roman" w:eastAsia="Times New Roman"/>
                <w:b/>
                <w:bCs/>
                <w:sz w:val="16"/>
                <w:szCs w:val="16"/>
                <w:lang w:val="lt-LT"/>
              </w:rPr>
              <w:t>, proc.</w:t>
            </w:r>
          </w:p>
        </w:tc>
        <w:tc>
          <w:tcPr>
            <w:tcW w:w="1134" w:type="dxa"/>
            <w:tcBorders>
              <w:bottom w:val="single" w:sz="4" w:space="0" w:color="auto"/>
            </w:tcBorders>
            <w:shd w:val="clear" w:color="auto" w:fill="D0CECE" w:themeFill="background2" w:themeFillShade="E6"/>
            <w:tcMar>
              <w:top w:w="72" w:type="dxa"/>
              <w:left w:w="144" w:type="dxa"/>
              <w:bottom w:w="72" w:type="dxa"/>
              <w:right w:w="144" w:type="dxa"/>
            </w:tcMar>
            <w:hideMark/>
          </w:tcPr>
          <w:p w14:paraId="5D0A9631" w14:textId="77777777" w:rsidR="00AE11C0" w:rsidRPr="00CD720C" w:rsidRDefault="00AE11C0" w:rsidP="0019141D">
            <w:pPr>
              <w:tabs>
                <w:tab w:val="num" w:pos="720"/>
                <w:tab w:val="left" w:pos="1560"/>
              </w:tabs>
              <w:jc w:val="center"/>
              <w:rPr>
                <w:rFonts w:ascii="Times New Roman" w:eastAsia="Times New Roman"/>
                <w:b/>
                <w:sz w:val="16"/>
                <w:szCs w:val="16"/>
                <w:lang w:val="lt-LT"/>
              </w:rPr>
            </w:pPr>
            <w:r w:rsidRPr="00CD720C">
              <w:rPr>
                <w:rFonts w:ascii="Times New Roman" w:eastAsia="Times New Roman"/>
                <w:b/>
                <w:bCs/>
                <w:sz w:val="16"/>
                <w:szCs w:val="16"/>
                <w:lang w:val="lt-LT"/>
              </w:rPr>
              <w:t>Orientyras (tikslo pasiekimas iki 2018 m.), proc.</w:t>
            </w:r>
          </w:p>
        </w:tc>
      </w:tr>
      <w:tr w:rsidR="00AE11C0" w:rsidRPr="00CD720C" w14:paraId="15F038DA" w14:textId="77777777" w:rsidTr="00866B92">
        <w:trPr>
          <w:trHeight w:val="589"/>
        </w:trPr>
        <w:tc>
          <w:tcPr>
            <w:tcW w:w="1980" w:type="dxa"/>
            <w:vMerge w:val="restart"/>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14:paraId="3DBFBF59" w14:textId="77777777" w:rsidR="00AE11C0" w:rsidRPr="00CD720C" w:rsidRDefault="00AE11C0" w:rsidP="004A4882">
            <w:pPr>
              <w:tabs>
                <w:tab w:val="num" w:pos="720"/>
                <w:tab w:val="left" w:pos="1560"/>
              </w:tabs>
              <w:rPr>
                <w:rFonts w:ascii="Times New Roman" w:eastAsia="Times New Roman"/>
                <w:b/>
                <w:sz w:val="22"/>
                <w:szCs w:val="22"/>
                <w:lang w:val="lt-LT"/>
              </w:rPr>
            </w:pPr>
            <w:r w:rsidRPr="00CD720C">
              <w:rPr>
                <w:rFonts w:ascii="Times New Roman" w:eastAsia="Times New Roman"/>
                <w:b/>
                <w:bCs/>
                <w:sz w:val="22"/>
                <w:szCs w:val="22"/>
                <w:lang w:val="lt-LT"/>
              </w:rPr>
              <w:t xml:space="preserve">P2 </w:t>
            </w:r>
          </w:p>
          <w:p w14:paraId="001C88AF" w14:textId="77777777" w:rsidR="00AE11C0" w:rsidRPr="00CD720C" w:rsidRDefault="00AE11C0" w:rsidP="004A4882">
            <w:pPr>
              <w:tabs>
                <w:tab w:val="num" w:pos="720"/>
                <w:tab w:val="left" w:pos="1560"/>
              </w:tabs>
              <w:rPr>
                <w:rFonts w:ascii="Times New Roman" w:eastAsia="Times New Roman"/>
                <w:b/>
                <w:sz w:val="22"/>
                <w:szCs w:val="22"/>
                <w:lang w:val="lt-LT"/>
              </w:rPr>
            </w:pPr>
            <w:r w:rsidRPr="00CD720C">
              <w:rPr>
                <w:rFonts w:ascii="Times New Roman" w:eastAsia="Times New Roman"/>
                <w:b/>
                <w:i/>
                <w:iCs/>
                <w:sz w:val="22"/>
                <w:szCs w:val="22"/>
                <w:lang w:val="lt-LT"/>
              </w:rPr>
              <w:t>(Žemės ūkio konkurencingumas ir tvarus miškų valdymas)</w:t>
            </w:r>
          </w:p>
        </w:tc>
        <w:tc>
          <w:tcPr>
            <w:tcW w:w="2977"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14:paraId="61B462C3" w14:textId="77777777" w:rsidR="00AE11C0" w:rsidRPr="00CD720C" w:rsidRDefault="00AE11C0" w:rsidP="004A4882">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Bendros viešosios išlaidos, mln. Eur</w:t>
            </w:r>
          </w:p>
        </w:tc>
        <w:tc>
          <w:tcPr>
            <w:tcW w:w="1134"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14:paraId="603DADBA" w14:textId="77777777" w:rsidR="00AE11C0" w:rsidRPr="00CD720C" w:rsidRDefault="00AE11C0"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 xml:space="preserve">608,64 </w:t>
            </w:r>
          </w:p>
        </w:tc>
        <w:tc>
          <w:tcPr>
            <w:tcW w:w="1134"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14:paraId="393EAD76" w14:textId="5511DD5E" w:rsidR="00AE11C0" w:rsidRPr="00CD720C" w:rsidRDefault="00866B92" w:rsidP="004A4882">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lt-LT"/>
              </w:rPr>
              <w:t>306,78</w:t>
            </w:r>
          </w:p>
        </w:tc>
        <w:tc>
          <w:tcPr>
            <w:tcW w:w="1247" w:type="dxa"/>
            <w:tcBorders>
              <w:top w:val="single" w:sz="4" w:space="0" w:color="auto"/>
              <w:bottom w:val="single" w:sz="4" w:space="0" w:color="808080" w:themeColor="background1" w:themeShade="80"/>
            </w:tcBorders>
            <w:shd w:val="clear" w:color="auto" w:fill="92D050"/>
            <w:tcMar>
              <w:top w:w="15" w:type="dxa"/>
              <w:left w:w="108" w:type="dxa"/>
              <w:bottom w:w="0" w:type="dxa"/>
              <w:right w:w="108" w:type="dxa"/>
            </w:tcMar>
            <w:vAlign w:val="center"/>
            <w:hideMark/>
          </w:tcPr>
          <w:p w14:paraId="34914921" w14:textId="4E710886" w:rsidR="00AE11C0" w:rsidRPr="00CD720C" w:rsidRDefault="00292C6D" w:rsidP="004A4882">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lt-LT"/>
              </w:rPr>
              <w:t>50,4</w:t>
            </w:r>
          </w:p>
        </w:tc>
        <w:tc>
          <w:tcPr>
            <w:tcW w:w="1134" w:type="dxa"/>
            <w:tcBorders>
              <w:top w:val="single" w:sz="4" w:space="0" w:color="auto"/>
              <w:bottom w:val="single" w:sz="4" w:space="0" w:color="808080" w:themeColor="background1" w:themeShade="80"/>
            </w:tcBorders>
            <w:shd w:val="clear" w:color="auto" w:fill="BFBFBF" w:themeFill="background1" w:themeFillShade="BF"/>
            <w:tcMar>
              <w:top w:w="15" w:type="dxa"/>
              <w:left w:w="108" w:type="dxa"/>
              <w:bottom w:w="0" w:type="dxa"/>
              <w:right w:w="108" w:type="dxa"/>
            </w:tcMar>
            <w:vAlign w:val="center"/>
            <w:hideMark/>
          </w:tcPr>
          <w:p w14:paraId="44AF58D8" w14:textId="77777777" w:rsidR="00AE11C0" w:rsidRPr="00CD720C" w:rsidRDefault="00AE11C0"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35</w:t>
            </w:r>
          </w:p>
        </w:tc>
      </w:tr>
      <w:tr w:rsidR="00AE11C0" w:rsidRPr="00CD720C" w14:paraId="01078620" w14:textId="77777777" w:rsidTr="00866B92">
        <w:trPr>
          <w:trHeight w:val="20"/>
        </w:trPr>
        <w:tc>
          <w:tcPr>
            <w:tcW w:w="1980" w:type="dxa"/>
            <w:vMerge/>
            <w:tcBorders>
              <w:top w:val="single" w:sz="4" w:space="0" w:color="808080" w:themeColor="background1" w:themeShade="80"/>
              <w:bottom w:val="single" w:sz="4" w:space="0" w:color="auto"/>
            </w:tcBorders>
            <w:shd w:val="clear" w:color="auto" w:fill="D9D9D9" w:themeFill="background1" w:themeFillShade="D9"/>
            <w:vAlign w:val="center"/>
            <w:hideMark/>
          </w:tcPr>
          <w:p w14:paraId="3BC1C9A1" w14:textId="77777777" w:rsidR="00AE11C0" w:rsidRPr="00CD720C" w:rsidRDefault="00AE11C0" w:rsidP="004A4882">
            <w:pPr>
              <w:tabs>
                <w:tab w:val="num" w:pos="720"/>
                <w:tab w:val="left" w:pos="1560"/>
              </w:tabs>
              <w:rPr>
                <w:rFonts w:ascii="Times New Roman" w:eastAsia="Times New Roman"/>
                <w:b/>
                <w:sz w:val="22"/>
                <w:szCs w:val="22"/>
                <w:lang w:val="lt-LT"/>
              </w:rPr>
            </w:pPr>
          </w:p>
        </w:tc>
        <w:tc>
          <w:tcPr>
            <w:tcW w:w="2977" w:type="dxa"/>
            <w:tcBorders>
              <w:top w:val="single" w:sz="4" w:space="0" w:color="808080" w:themeColor="background1" w:themeShade="80"/>
              <w:bottom w:val="single" w:sz="4" w:space="0" w:color="auto"/>
            </w:tcBorders>
            <w:shd w:val="clear" w:color="auto" w:fill="D9D9D9" w:themeFill="background1" w:themeFillShade="D9"/>
            <w:tcMar>
              <w:top w:w="15" w:type="dxa"/>
              <w:left w:w="108" w:type="dxa"/>
              <w:bottom w:w="0" w:type="dxa"/>
              <w:right w:w="108" w:type="dxa"/>
            </w:tcMar>
            <w:vAlign w:val="center"/>
            <w:hideMark/>
          </w:tcPr>
          <w:p w14:paraId="1460F571" w14:textId="77777777" w:rsidR="00AE11C0" w:rsidRPr="00CD720C" w:rsidRDefault="00AE11C0" w:rsidP="004A4882">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 xml:space="preserve">Žemės ūkio valdų, gavusių paramą restruktūrizavimui ir modernizavimui + jaunųjų ūkininkų įsikūrimui, skaičius </w:t>
            </w:r>
          </w:p>
        </w:tc>
        <w:tc>
          <w:tcPr>
            <w:tcW w:w="1134" w:type="dxa"/>
            <w:tcBorders>
              <w:top w:val="single" w:sz="4" w:space="0" w:color="808080" w:themeColor="background1" w:themeShade="80"/>
              <w:bottom w:val="single" w:sz="4" w:space="0" w:color="auto"/>
            </w:tcBorders>
            <w:shd w:val="clear" w:color="auto" w:fill="D9D9D9" w:themeFill="background1" w:themeFillShade="D9"/>
            <w:tcMar>
              <w:top w:w="15" w:type="dxa"/>
              <w:left w:w="108" w:type="dxa"/>
              <w:bottom w:w="0" w:type="dxa"/>
              <w:right w:w="108" w:type="dxa"/>
            </w:tcMar>
            <w:vAlign w:val="center"/>
            <w:hideMark/>
          </w:tcPr>
          <w:p w14:paraId="66B49C42" w14:textId="77777777" w:rsidR="00AE11C0" w:rsidRPr="00CD720C" w:rsidRDefault="00AE11C0"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6 500</w:t>
            </w:r>
          </w:p>
        </w:tc>
        <w:tc>
          <w:tcPr>
            <w:tcW w:w="1134" w:type="dxa"/>
            <w:tcBorders>
              <w:top w:val="single" w:sz="4" w:space="0" w:color="808080" w:themeColor="background1" w:themeShade="80"/>
              <w:bottom w:val="single" w:sz="4" w:space="0" w:color="auto"/>
            </w:tcBorders>
            <w:shd w:val="clear" w:color="auto" w:fill="D9D9D9" w:themeFill="background1" w:themeFillShade="D9"/>
            <w:tcMar>
              <w:top w:w="15" w:type="dxa"/>
              <w:left w:w="108" w:type="dxa"/>
              <w:bottom w:w="0" w:type="dxa"/>
              <w:right w:w="108" w:type="dxa"/>
            </w:tcMar>
            <w:vAlign w:val="center"/>
            <w:hideMark/>
          </w:tcPr>
          <w:p w14:paraId="39DB7043" w14:textId="284DCA21" w:rsidR="00AE11C0" w:rsidRPr="00CD720C" w:rsidRDefault="00292C6D" w:rsidP="004A4882">
            <w:pPr>
              <w:tabs>
                <w:tab w:val="num" w:pos="720"/>
                <w:tab w:val="left" w:pos="1560"/>
              </w:tabs>
              <w:jc w:val="right"/>
              <w:rPr>
                <w:rFonts w:ascii="Times New Roman" w:eastAsia="Times New Roman"/>
                <w:sz w:val="22"/>
                <w:szCs w:val="22"/>
                <w:lang w:val="lt-LT"/>
              </w:rPr>
            </w:pPr>
            <w:r>
              <w:rPr>
                <w:rFonts w:ascii="Times New Roman" w:eastAsia="Times New Roman"/>
                <w:sz w:val="22"/>
                <w:szCs w:val="22"/>
              </w:rPr>
              <w:t>3 140</w:t>
            </w:r>
          </w:p>
        </w:tc>
        <w:tc>
          <w:tcPr>
            <w:tcW w:w="1247" w:type="dxa"/>
            <w:tcBorders>
              <w:top w:val="single" w:sz="4" w:space="0" w:color="808080" w:themeColor="background1" w:themeShade="80"/>
              <w:bottom w:val="single" w:sz="4" w:space="0" w:color="auto"/>
            </w:tcBorders>
            <w:shd w:val="clear" w:color="auto" w:fill="92D050"/>
            <w:tcMar>
              <w:top w:w="15" w:type="dxa"/>
              <w:left w:w="108" w:type="dxa"/>
              <w:bottom w:w="0" w:type="dxa"/>
              <w:right w:w="108" w:type="dxa"/>
            </w:tcMar>
            <w:vAlign w:val="center"/>
            <w:hideMark/>
          </w:tcPr>
          <w:p w14:paraId="326E7D7A" w14:textId="404EB5A2" w:rsidR="00AE11C0" w:rsidRPr="00CD720C" w:rsidRDefault="007C0E68"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rPr>
              <w:t>4</w:t>
            </w:r>
            <w:r w:rsidR="00EA52DD">
              <w:rPr>
                <w:rFonts w:ascii="Times New Roman" w:eastAsia="Times New Roman"/>
                <w:sz w:val="22"/>
                <w:szCs w:val="22"/>
              </w:rPr>
              <w:t>8</w:t>
            </w:r>
            <w:r w:rsidR="00BD3FBA" w:rsidRPr="00CD720C">
              <w:rPr>
                <w:rFonts w:ascii="Times New Roman" w:eastAsia="Times New Roman"/>
                <w:sz w:val="22"/>
                <w:szCs w:val="22"/>
              </w:rPr>
              <w:t>,</w:t>
            </w:r>
            <w:r w:rsidR="00EA52DD">
              <w:rPr>
                <w:rFonts w:ascii="Times New Roman" w:eastAsia="Times New Roman"/>
                <w:sz w:val="22"/>
                <w:szCs w:val="22"/>
              </w:rPr>
              <w:t>3</w:t>
            </w:r>
          </w:p>
        </w:tc>
        <w:tc>
          <w:tcPr>
            <w:tcW w:w="1134" w:type="dxa"/>
            <w:tcBorders>
              <w:top w:val="single" w:sz="4" w:space="0" w:color="808080" w:themeColor="background1" w:themeShade="80"/>
              <w:bottom w:val="single" w:sz="4" w:space="0" w:color="auto"/>
            </w:tcBorders>
            <w:shd w:val="clear" w:color="auto" w:fill="BFBFBF" w:themeFill="background1" w:themeFillShade="BF"/>
            <w:tcMar>
              <w:top w:w="15" w:type="dxa"/>
              <w:left w:w="108" w:type="dxa"/>
              <w:bottom w:w="0" w:type="dxa"/>
              <w:right w:w="108" w:type="dxa"/>
            </w:tcMar>
            <w:vAlign w:val="center"/>
            <w:hideMark/>
          </w:tcPr>
          <w:p w14:paraId="53D08191" w14:textId="77777777" w:rsidR="00AE11C0" w:rsidRPr="00CD720C" w:rsidRDefault="00AE11C0"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35</w:t>
            </w:r>
          </w:p>
        </w:tc>
      </w:tr>
      <w:tr w:rsidR="00FA42A3" w:rsidRPr="00CD720C" w14:paraId="6E1F1848" w14:textId="77777777" w:rsidTr="00866B92">
        <w:trPr>
          <w:cantSplit/>
          <w:trHeight w:val="783"/>
        </w:trPr>
        <w:tc>
          <w:tcPr>
            <w:tcW w:w="1980" w:type="dxa"/>
            <w:vMerge w:val="restart"/>
            <w:tcBorders>
              <w:top w:val="single" w:sz="4" w:space="0" w:color="auto"/>
            </w:tcBorders>
            <w:shd w:val="clear" w:color="auto" w:fill="F2F2F2" w:themeFill="background1" w:themeFillShade="F2"/>
            <w:tcMar>
              <w:top w:w="15" w:type="dxa"/>
              <w:left w:w="108" w:type="dxa"/>
              <w:bottom w:w="0" w:type="dxa"/>
              <w:right w:w="108" w:type="dxa"/>
            </w:tcMar>
            <w:vAlign w:val="center"/>
            <w:hideMark/>
          </w:tcPr>
          <w:p w14:paraId="0C9F3753" w14:textId="77777777" w:rsidR="00FA42A3" w:rsidRPr="00CD720C" w:rsidRDefault="00FA42A3" w:rsidP="004A4882">
            <w:pPr>
              <w:tabs>
                <w:tab w:val="num" w:pos="720"/>
                <w:tab w:val="left" w:pos="1560"/>
              </w:tabs>
              <w:rPr>
                <w:rFonts w:ascii="Times New Roman" w:eastAsia="Times New Roman"/>
                <w:b/>
                <w:sz w:val="22"/>
                <w:szCs w:val="22"/>
                <w:lang w:val="lt-LT"/>
              </w:rPr>
            </w:pPr>
            <w:r w:rsidRPr="00CD720C">
              <w:rPr>
                <w:rFonts w:ascii="Times New Roman" w:eastAsia="Times New Roman"/>
                <w:b/>
                <w:bCs/>
                <w:sz w:val="22"/>
                <w:szCs w:val="22"/>
                <w:lang w:val="lt-LT"/>
              </w:rPr>
              <w:t>P3</w:t>
            </w:r>
          </w:p>
          <w:p w14:paraId="531A1FC0" w14:textId="77777777" w:rsidR="00FA42A3" w:rsidRPr="00CD720C" w:rsidRDefault="00FA42A3" w:rsidP="004A4882">
            <w:pPr>
              <w:tabs>
                <w:tab w:val="num" w:pos="720"/>
                <w:tab w:val="left" w:pos="1560"/>
              </w:tabs>
              <w:rPr>
                <w:rFonts w:ascii="Times New Roman" w:eastAsia="Times New Roman"/>
                <w:b/>
                <w:sz w:val="22"/>
                <w:szCs w:val="22"/>
                <w:lang w:val="lt-LT"/>
              </w:rPr>
            </w:pPr>
            <w:r w:rsidRPr="00CD720C">
              <w:rPr>
                <w:rFonts w:ascii="Times New Roman" w:eastAsia="Times New Roman"/>
                <w:b/>
                <w:i/>
                <w:iCs/>
                <w:sz w:val="22"/>
                <w:szCs w:val="22"/>
                <w:lang w:val="lt-LT"/>
              </w:rPr>
              <w:t>(Maisto grandinės – perdirbimas, rizikų valdymas, maisto kokybės sistemos)</w:t>
            </w:r>
          </w:p>
        </w:tc>
        <w:tc>
          <w:tcPr>
            <w:tcW w:w="2977"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2C40F639" w14:textId="77777777" w:rsidR="00FA42A3" w:rsidRPr="00CD720C" w:rsidRDefault="00FA42A3" w:rsidP="004A4882">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Bendros viešosios išlaidos, mln. Eur</w:t>
            </w:r>
          </w:p>
        </w:tc>
        <w:tc>
          <w:tcPr>
            <w:tcW w:w="1134"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5332AAA5" w14:textId="77777777" w:rsidR="00FA42A3" w:rsidRPr="00CD720C" w:rsidRDefault="00FA42A3"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163,52</w:t>
            </w:r>
          </w:p>
        </w:tc>
        <w:tc>
          <w:tcPr>
            <w:tcW w:w="1134"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59C94FC9" w14:textId="61F4881A" w:rsidR="00FA42A3" w:rsidRPr="00CD720C" w:rsidRDefault="00FA42A3"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rPr>
              <w:t>2</w:t>
            </w:r>
            <w:r w:rsidR="00DB79B0">
              <w:rPr>
                <w:rFonts w:ascii="Times New Roman" w:eastAsia="Times New Roman"/>
                <w:sz w:val="22"/>
                <w:szCs w:val="22"/>
              </w:rPr>
              <w:t>5</w:t>
            </w:r>
            <w:r w:rsidRPr="00CD720C">
              <w:rPr>
                <w:rFonts w:ascii="Times New Roman" w:eastAsia="Times New Roman"/>
                <w:sz w:val="22"/>
                <w:szCs w:val="22"/>
              </w:rPr>
              <w:t>,</w:t>
            </w:r>
            <w:r w:rsidR="00DB79B0">
              <w:rPr>
                <w:rFonts w:ascii="Times New Roman" w:eastAsia="Times New Roman"/>
                <w:sz w:val="22"/>
                <w:szCs w:val="22"/>
              </w:rPr>
              <w:t>90</w:t>
            </w:r>
          </w:p>
        </w:tc>
        <w:tc>
          <w:tcPr>
            <w:tcW w:w="1247" w:type="dxa"/>
            <w:tcBorders>
              <w:top w:val="single" w:sz="4" w:space="0" w:color="auto"/>
              <w:bottom w:val="single" w:sz="4" w:space="0" w:color="808080" w:themeColor="background1" w:themeShade="80"/>
            </w:tcBorders>
            <w:shd w:val="clear" w:color="auto" w:fill="FFC000"/>
            <w:tcMar>
              <w:top w:w="15" w:type="dxa"/>
              <w:left w:w="108" w:type="dxa"/>
              <w:bottom w:w="0" w:type="dxa"/>
              <w:right w:w="108" w:type="dxa"/>
            </w:tcMar>
            <w:vAlign w:val="center"/>
            <w:hideMark/>
          </w:tcPr>
          <w:p w14:paraId="1B06B5AD" w14:textId="076BE8CE" w:rsidR="00FA42A3" w:rsidRPr="00CD720C" w:rsidRDefault="00FA42A3"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rPr>
              <w:t>1</w:t>
            </w:r>
            <w:r w:rsidR="00DB79B0">
              <w:rPr>
                <w:rFonts w:ascii="Times New Roman" w:eastAsia="Times New Roman"/>
                <w:sz w:val="22"/>
                <w:szCs w:val="22"/>
              </w:rPr>
              <w:t>5</w:t>
            </w:r>
            <w:r w:rsidRPr="00CD720C">
              <w:rPr>
                <w:rFonts w:ascii="Times New Roman" w:eastAsia="Times New Roman"/>
                <w:sz w:val="22"/>
                <w:szCs w:val="22"/>
              </w:rPr>
              <w:t>,</w:t>
            </w:r>
            <w:r w:rsidR="00DB79B0">
              <w:rPr>
                <w:rFonts w:ascii="Times New Roman" w:eastAsia="Times New Roman"/>
                <w:sz w:val="22"/>
                <w:szCs w:val="22"/>
              </w:rPr>
              <w:t>8</w:t>
            </w:r>
          </w:p>
        </w:tc>
        <w:tc>
          <w:tcPr>
            <w:tcW w:w="1134"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6B7477A6" w14:textId="71D4EC01" w:rsidR="00FA42A3" w:rsidRPr="00CD720C" w:rsidRDefault="00FA42A3" w:rsidP="004A4882">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25,0</w:t>
            </w:r>
          </w:p>
        </w:tc>
      </w:tr>
      <w:tr w:rsidR="00FA42A3" w:rsidRPr="00CD720C" w14:paraId="3D76907F" w14:textId="77777777" w:rsidTr="00866B92">
        <w:trPr>
          <w:cantSplit/>
          <w:trHeight w:val="20"/>
        </w:trPr>
        <w:tc>
          <w:tcPr>
            <w:tcW w:w="1980" w:type="dxa"/>
            <w:vMerge/>
            <w:shd w:val="clear" w:color="auto" w:fill="F2F2F2" w:themeFill="background1" w:themeFillShade="F2"/>
            <w:vAlign w:val="center"/>
            <w:hideMark/>
          </w:tcPr>
          <w:p w14:paraId="39F38176" w14:textId="77777777" w:rsidR="00FA42A3" w:rsidRPr="00CD720C" w:rsidRDefault="00FA42A3" w:rsidP="004A4882">
            <w:pPr>
              <w:tabs>
                <w:tab w:val="num" w:pos="720"/>
                <w:tab w:val="left" w:pos="1560"/>
              </w:tabs>
              <w:rPr>
                <w:rFonts w:ascii="Times New Roman" w:eastAsia="Times New Roman"/>
                <w:b/>
                <w:sz w:val="22"/>
                <w:szCs w:val="22"/>
                <w:lang w:val="lt-LT"/>
              </w:rPr>
            </w:pPr>
          </w:p>
        </w:tc>
        <w:tc>
          <w:tcPr>
            <w:tcW w:w="2977"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4DBA56B8" w14:textId="77777777" w:rsidR="00FA42A3" w:rsidRPr="00CD720C" w:rsidRDefault="00FA42A3" w:rsidP="004A4882">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Žemės ūkio valdų, gaunančių paramą už dalyvavimą kokybės sistemose, vietos rinkose, trumpose tiekimo grandinėse ir gamintojų grupėse, skaičius</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009DBC4C" w14:textId="77777777" w:rsidR="00FA42A3" w:rsidRPr="00CD720C" w:rsidRDefault="00FA42A3"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605</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3E4D4EDB" w14:textId="7FC939EE" w:rsidR="00FA42A3" w:rsidRPr="00CD720C" w:rsidRDefault="00FA42A3"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rPr>
              <w:t>22</w:t>
            </w:r>
            <w:r w:rsidR="00CC0E35">
              <w:rPr>
                <w:rFonts w:ascii="Times New Roman" w:eastAsia="Times New Roman"/>
                <w:sz w:val="22"/>
                <w:szCs w:val="22"/>
              </w:rPr>
              <w:t>7</w:t>
            </w:r>
          </w:p>
        </w:tc>
        <w:tc>
          <w:tcPr>
            <w:tcW w:w="1247" w:type="dxa"/>
            <w:tcBorders>
              <w:top w:val="single" w:sz="4" w:space="0" w:color="808080" w:themeColor="background1" w:themeShade="80"/>
              <w:bottom w:val="single" w:sz="4" w:space="0" w:color="808080" w:themeColor="background1" w:themeShade="80"/>
            </w:tcBorders>
            <w:shd w:val="clear" w:color="auto" w:fill="92D050"/>
            <w:tcMar>
              <w:top w:w="15" w:type="dxa"/>
              <w:left w:w="108" w:type="dxa"/>
              <w:bottom w:w="0" w:type="dxa"/>
              <w:right w:w="108" w:type="dxa"/>
            </w:tcMar>
            <w:vAlign w:val="center"/>
            <w:hideMark/>
          </w:tcPr>
          <w:p w14:paraId="36D6F796" w14:textId="06721728" w:rsidR="00FA42A3" w:rsidRPr="00CD720C" w:rsidRDefault="00FA42A3" w:rsidP="004A4882">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rPr>
              <w:t>3</w:t>
            </w:r>
            <w:r w:rsidR="00960672">
              <w:rPr>
                <w:rFonts w:ascii="Times New Roman" w:eastAsia="Times New Roman"/>
                <w:sz w:val="22"/>
                <w:szCs w:val="22"/>
              </w:rPr>
              <w:t>7</w:t>
            </w:r>
            <w:r w:rsidRPr="00CD720C">
              <w:rPr>
                <w:rFonts w:ascii="Times New Roman" w:eastAsia="Times New Roman"/>
                <w:sz w:val="22"/>
                <w:szCs w:val="22"/>
              </w:rPr>
              <w:t>,</w:t>
            </w:r>
            <w:r w:rsidR="00960672">
              <w:rPr>
                <w:rFonts w:ascii="Times New Roman" w:eastAsia="Times New Roman"/>
                <w:sz w:val="22"/>
                <w:szCs w:val="22"/>
              </w:rPr>
              <w:t>5</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6FE4F421" w14:textId="0533B1AD" w:rsidR="00FA42A3" w:rsidRPr="00CD720C" w:rsidRDefault="00FA42A3" w:rsidP="004A4882">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30,0</w:t>
            </w:r>
          </w:p>
        </w:tc>
      </w:tr>
      <w:tr w:rsidR="00D170F6" w:rsidRPr="00CD720C" w14:paraId="340575DD" w14:textId="77777777" w:rsidTr="00866B92">
        <w:trPr>
          <w:cantSplit/>
          <w:trHeight w:val="382"/>
        </w:trPr>
        <w:tc>
          <w:tcPr>
            <w:tcW w:w="1980" w:type="dxa"/>
            <w:vMerge/>
            <w:shd w:val="clear" w:color="auto" w:fill="F2F2F2" w:themeFill="background1" w:themeFillShade="F2"/>
            <w:vAlign w:val="center"/>
          </w:tcPr>
          <w:p w14:paraId="435B79FD"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2763BD79" w14:textId="1D7D0E67"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Žemės ūkio valdų, dalyvaujančių rizikos valdymo sistemose, skaičius</w:t>
            </w:r>
          </w:p>
        </w:tc>
        <w:tc>
          <w:tcPr>
            <w:tcW w:w="1134" w:type="dxa"/>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38688746" w14:textId="6D9800EE"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1 450</w:t>
            </w:r>
          </w:p>
        </w:tc>
        <w:tc>
          <w:tcPr>
            <w:tcW w:w="1134" w:type="dxa"/>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1D1A6ABD" w14:textId="56CC7C82" w:rsidR="00D170F6" w:rsidRPr="00CD720C" w:rsidRDefault="00D170F6" w:rsidP="00D170F6">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4</w:t>
            </w:r>
            <w:r w:rsidR="00EF0E7E">
              <w:rPr>
                <w:rFonts w:ascii="Times New Roman" w:eastAsia="Times New Roman"/>
                <w:sz w:val="22"/>
                <w:szCs w:val="22"/>
              </w:rPr>
              <w:t>3</w:t>
            </w:r>
            <w:r w:rsidRPr="00CD720C">
              <w:rPr>
                <w:rFonts w:ascii="Times New Roman" w:eastAsia="Times New Roman"/>
                <w:sz w:val="22"/>
                <w:szCs w:val="22"/>
              </w:rPr>
              <w:t>8</w:t>
            </w:r>
          </w:p>
        </w:tc>
        <w:tc>
          <w:tcPr>
            <w:tcW w:w="1247" w:type="dxa"/>
            <w:tcBorders>
              <w:top w:val="single" w:sz="4" w:space="0" w:color="808080" w:themeColor="background1" w:themeShade="80"/>
              <w:bottom w:val="single" w:sz="4" w:space="0" w:color="808080" w:themeColor="background1" w:themeShade="80"/>
            </w:tcBorders>
            <w:shd w:val="clear" w:color="auto" w:fill="FFC000"/>
            <w:tcMar>
              <w:top w:w="15" w:type="dxa"/>
              <w:left w:w="108" w:type="dxa"/>
              <w:bottom w:w="0" w:type="dxa"/>
              <w:right w:w="108" w:type="dxa"/>
            </w:tcMar>
            <w:vAlign w:val="center"/>
          </w:tcPr>
          <w:p w14:paraId="197D9421" w14:textId="428F0F14" w:rsidR="00D170F6" w:rsidRPr="00CD720C" w:rsidRDefault="00EF0E7E" w:rsidP="00D170F6">
            <w:pPr>
              <w:tabs>
                <w:tab w:val="num" w:pos="720"/>
                <w:tab w:val="left" w:pos="1560"/>
              </w:tabs>
              <w:jc w:val="right"/>
              <w:rPr>
                <w:rFonts w:ascii="Times New Roman" w:eastAsia="Times New Roman"/>
                <w:sz w:val="22"/>
                <w:szCs w:val="22"/>
              </w:rPr>
            </w:pPr>
            <w:r>
              <w:rPr>
                <w:rFonts w:ascii="Times New Roman" w:eastAsia="Times New Roman"/>
                <w:sz w:val="22"/>
                <w:szCs w:val="22"/>
              </w:rPr>
              <w:t>30,2</w:t>
            </w:r>
          </w:p>
        </w:tc>
        <w:tc>
          <w:tcPr>
            <w:tcW w:w="1134" w:type="dxa"/>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01A863B3" w14:textId="1CDB74AC" w:rsidR="00D170F6" w:rsidRPr="00D170F6" w:rsidRDefault="00D170F6" w:rsidP="00D170F6">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35,0</w:t>
            </w:r>
          </w:p>
        </w:tc>
      </w:tr>
      <w:tr w:rsidR="00D170F6" w:rsidRPr="00CD720C" w14:paraId="383BCFB1" w14:textId="77777777" w:rsidTr="00866B92">
        <w:trPr>
          <w:cantSplit/>
          <w:trHeight w:val="20"/>
        </w:trPr>
        <w:tc>
          <w:tcPr>
            <w:tcW w:w="1980" w:type="dxa"/>
            <w:vMerge/>
            <w:tcBorders>
              <w:bottom w:val="single" w:sz="4" w:space="0" w:color="auto"/>
            </w:tcBorders>
            <w:shd w:val="clear" w:color="auto" w:fill="F2F2F2" w:themeFill="background1" w:themeFillShade="F2"/>
            <w:vAlign w:val="center"/>
          </w:tcPr>
          <w:p w14:paraId="6F27B59E"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14:paraId="616F5460" w14:textId="2E29897B"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Veiksmų, kuriems skiriama parama investicijoms, skaičius (pvz., žemės ūkio valdose, žemės ūkio produktų perdirbimas ir rinkodara) (4.1 ir 4.2 punktai)</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14:paraId="0704C8F6" w14:textId="7E339E0B"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279</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14:paraId="1B36247D" w14:textId="3B8BF9DB" w:rsidR="00D170F6" w:rsidRPr="00CD720C" w:rsidRDefault="00FE074A" w:rsidP="00D170F6">
            <w:pPr>
              <w:tabs>
                <w:tab w:val="num" w:pos="720"/>
                <w:tab w:val="left" w:pos="1560"/>
              </w:tabs>
              <w:jc w:val="right"/>
              <w:rPr>
                <w:rFonts w:ascii="Times New Roman" w:eastAsia="Times New Roman"/>
                <w:sz w:val="22"/>
                <w:szCs w:val="22"/>
              </w:rPr>
            </w:pPr>
            <w:r>
              <w:rPr>
                <w:rFonts w:ascii="Times New Roman" w:eastAsia="Times New Roman"/>
                <w:sz w:val="22"/>
                <w:szCs w:val="22"/>
              </w:rPr>
              <w:t>41</w:t>
            </w:r>
          </w:p>
          <w:p w14:paraId="5D9E2FED" w14:textId="57BD6689" w:rsidR="00D170F6" w:rsidRPr="00CD720C" w:rsidRDefault="00D170F6" w:rsidP="00D170F6">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(6</w:t>
            </w:r>
            <w:r w:rsidR="004D3E50">
              <w:rPr>
                <w:rFonts w:ascii="Times New Roman" w:eastAsia="Times New Roman"/>
                <w:sz w:val="22"/>
                <w:szCs w:val="22"/>
              </w:rPr>
              <w:t>4</w:t>
            </w:r>
            <w:r w:rsidRPr="00CD720C">
              <w:rPr>
                <w:rFonts w:ascii="Times New Roman" w:eastAsia="Times New Roman"/>
                <w:sz w:val="22"/>
                <w:szCs w:val="22"/>
              </w:rPr>
              <w:t>)</w:t>
            </w:r>
          </w:p>
        </w:tc>
        <w:tc>
          <w:tcPr>
            <w:tcW w:w="1247" w:type="dxa"/>
            <w:tcBorders>
              <w:top w:val="single" w:sz="4" w:space="0" w:color="808080" w:themeColor="background1" w:themeShade="80"/>
              <w:bottom w:val="single" w:sz="4" w:space="0" w:color="auto"/>
            </w:tcBorders>
            <w:shd w:val="clear" w:color="auto" w:fill="FFC000"/>
            <w:tcMar>
              <w:top w:w="15" w:type="dxa"/>
              <w:left w:w="108" w:type="dxa"/>
              <w:bottom w:w="0" w:type="dxa"/>
              <w:right w:w="108" w:type="dxa"/>
            </w:tcMar>
            <w:vAlign w:val="center"/>
          </w:tcPr>
          <w:p w14:paraId="6A75F2EE" w14:textId="1ECE31E1" w:rsidR="00D170F6" w:rsidRPr="00CD720C" w:rsidRDefault="00D170F6" w:rsidP="00D170F6">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14,</w:t>
            </w:r>
            <w:r w:rsidR="00FE074A">
              <w:rPr>
                <w:rFonts w:ascii="Times New Roman" w:eastAsia="Times New Roman"/>
                <w:sz w:val="22"/>
                <w:szCs w:val="22"/>
              </w:rPr>
              <w:t>7</w:t>
            </w:r>
          </w:p>
          <w:p w14:paraId="18A17788" w14:textId="4025BD62" w:rsidR="00D170F6" w:rsidRPr="00CD720C" w:rsidRDefault="00D170F6" w:rsidP="00D170F6">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(22,</w:t>
            </w:r>
            <w:r w:rsidR="004D3E50">
              <w:rPr>
                <w:rFonts w:ascii="Times New Roman" w:eastAsia="Times New Roman"/>
                <w:sz w:val="22"/>
                <w:szCs w:val="22"/>
              </w:rPr>
              <w:t>9</w:t>
            </w:r>
            <w:r w:rsidRPr="00CD720C">
              <w:rPr>
                <w:rFonts w:ascii="Times New Roman" w:eastAsia="Times New Roman"/>
                <w:sz w:val="22"/>
                <w:szCs w:val="22"/>
              </w:rPr>
              <w:t>)</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14:paraId="05736D7C" w14:textId="1422A397" w:rsidR="00D170F6" w:rsidRPr="00CD720C" w:rsidRDefault="00D170F6" w:rsidP="00D170F6">
            <w:pPr>
              <w:tabs>
                <w:tab w:val="num" w:pos="720"/>
                <w:tab w:val="left" w:pos="1560"/>
              </w:tabs>
              <w:jc w:val="right"/>
              <w:rPr>
                <w:rFonts w:ascii="Times New Roman" w:eastAsia="Times New Roman"/>
                <w:sz w:val="22"/>
                <w:szCs w:val="22"/>
              </w:rPr>
            </w:pPr>
            <w:r w:rsidRPr="00CD720C">
              <w:rPr>
                <w:rFonts w:ascii="Times New Roman" w:eastAsia="Times New Roman"/>
                <w:sz w:val="22"/>
                <w:szCs w:val="22"/>
              </w:rPr>
              <w:t>25,0</w:t>
            </w:r>
          </w:p>
        </w:tc>
      </w:tr>
      <w:tr w:rsidR="00D170F6" w:rsidRPr="00CD720C" w14:paraId="69AABF29" w14:textId="77777777" w:rsidTr="00866B92">
        <w:trPr>
          <w:cantSplit/>
          <w:trHeight w:val="629"/>
        </w:trPr>
        <w:tc>
          <w:tcPr>
            <w:tcW w:w="1980" w:type="dxa"/>
            <w:vMerge w:val="restart"/>
            <w:tcBorders>
              <w:top w:val="single" w:sz="4" w:space="0" w:color="auto"/>
            </w:tcBorders>
            <w:shd w:val="clear" w:color="auto" w:fill="D9D9D9" w:themeFill="background1" w:themeFillShade="D9"/>
            <w:tcMar>
              <w:top w:w="15" w:type="dxa"/>
              <w:left w:w="108" w:type="dxa"/>
              <w:bottom w:w="0" w:type="dxa"/>
              <w:right w:w="108" w:type="dxa"/>
            </w:tcMar>
            <w:vAlign w:val="center"/>
            <w:hideMark/>
          </w:tcPr>
          <w:p w14:paraId="3BE7170D" w14:textId="77777777" w:rsidR="00D170F6" w:rsidRPr="00CD720C" w:rsidRDefault="00D170F6" w:rsidP="00D170F6">
            <w:pPr>
              <w:tabs>
                <w:tab w:val="num" w:pos="720"/>
                <w:tab w:val="left" w:pos="1560"/>
              </w:tabs>
              <w:rPr>
                <w:rFonts w:ascii="Times New Roman" w:eastAsia="Times New Roman"/>
                <w:b/>
                <w:sz w:val="22"/>
                <w:szCs w:val="22"/>
                <w:lang w:val="lt-LT"/>
              </w:rPr>
            </w:pPr>
            <w:r w:rsidRPr="00CD720C">
              <w:rPr>
                <w:rFonts w:ascii="Times New Roman" w:eastAsia="Times New Roman"/>
                <w:b/>
                <w:bCs/>
                <w:sz w:val="22"/>
                <w:szCs w:val="22"/>
                <w:lang w:val="lt-LT"/>
              </w:rPr>
              <w:t>P4</w:t>
            </w:r>
          </w:p>
          <w:p w14:paraId="2B6C2C35" w14:textId="77777777" w:rsidR="00D170F6" w:rsidRPr="00CD720C" w:rsidRDefault="00D170F6" w:rsidP="00D170F6">
            <w:pPr>
              <w:tabs>
                <w:tab w:val="num" w:pos="720"/>
                <w:tab w:val="left" w:pos="1560"/>
              </w:tabs>
              <w:rPr>
                <w:rFonts w:ascii="Times New Roman" w:eastAsia="Times New Roman"/>
                <w:b/>
                <w:sz w:val="22"/>
                <w:szCs w:val="22"/>
                <w:lang w:val="lt-LT"/>
              </w:rPr>
            </w:pPr>
            <w:r w:rsidRPr="00CD720C">
              <w:rPr>
                <w:rFonts w:ascii="Times New Roman" w:eastAsia="Times New Roman"/>
                <w:b/>
                <w:i/>
                <w:iCs/>
                <w:sz w:val="22"/>
                <w:szCs w:val="22"/>
                <w:lang w:val="lt-LT"/>
              </w:rPr>
              <w:t>(Aplinkosauga)</w:t>
            </w:r>
          </w:p>
        </w:tc>
        <w:tc>
          <w:tcPr>
            <w:tcW w:w="2977"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14:paraId="6FE8C8F7" w14:textId="77777777"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Bendros viešosios išlaidos, mln. Eur</w:t>
            </w:r>
          </w:p>
        </w:tc>
        <w:tc>
          <w:tcPr>
            <w:tcW w:w="1134"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14:paraId="50729228" w14:textId="190D9546" w:rsidR="00D170F6" w:rsidRPr="00CD720C" w:rsidRDefault="00D170F6" w:rsidP="00D170F6">
            <w:pPr>
              <w:tabs>
                <w:tab w:val="num" w:pos="720"/>
                <w:tab w:val="left" w:pos="1560"/>
              </w:tabs>
              <w:jc w:val="right"/>
              <w:rPr>
                <w:rFonts w:ascii="Times New Roman" w:eastAsia="Times New Roman"/>
                <w:sz w:val="22"/>
                <w:szCs w:val="22"/>
                <w:lang w:val="lt-LT"/>
              </w:rPr>
            </w:pPr>
            <w:r w:rsidRPr="002E6285">
              <w:rPr>
                <w:rFonts w:ascii="Times New Roman" w:eastAsia="Times New Roman"/>
                <w:sz w:val="22"/>
                <w:szCs w:val="22"/>
                <w:lang w:val="lt-LT"/>
              </w:rPr>
              <w:t>5</w:t>
            </w:r>
            <w:r w:rsidR="002C7CA5" w:rsidRPr="002E6285">
              <w:rPr>
                <w:rFonts w:ascii="Times New Roman" w:eastAsia="Times New Roman"/>
                <w:sz w:val="22"/>
                <w:szCs w:val="22"/>
                <w:lang w:val="lt-LT"/>
              </w:rPr>
              <w:t>85</w:t>
            </w:r>
            <w:r w:rsidRPr="002E6285">
              <w:rPr>
                <w:rFonts w:ascii="Times New Roman" w:eastAsia="Times New Roman"/>
                <w:sz w:val="22"/>
                <w:szCs w:val="22"/>
                <w:lang w:val="lt-LT"/>
              </w:rPr>
              <w:t>,1</w:t>
            </w:r>
            <w:r w:rsidR="002C7CA5" w:rsidRPr="002E6285">
              <w:rPr>
                <w:rFonts w:ascii="Times New Roman" w:eastAsia="Times New Roman"/>
                <w:sz w:val="22"/>
                <w:szCs w:val="22"/>
                <w:lang w:val="lt-LT"/>
              </w:rPr>
              <w:t>8</w:t>
            </w:r>
          </w:p>
        </w:tc>
        <w:tc>
          <w:tcPr>
            <w:tcW w:w="1134"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14:paraId="565DEE0F" w14:textId="5D2D9B84"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3</w:t>
            </w:r>
            <w:r w:rsidR="00F1755B">
              <w:rPr>
                <w:rFonts w:ascii="Times New Roman" w:eastAsia="Times New Roman"/>
                <w:sz w:val="22"/>
                <w:szCs w:val="22"/>
                <w:lang w:val="lt-LT"/>
              </w:rPr>
              <w:t>8</w:t>
            </w:r>
            <w:r w:rsidRPr="00CD720C">
              <w:rPr>
                <w:rFonts w:ascii="Times New Roman" w:eastAsia="Times New Roman"/>
                <w:sz w:val="22"/>
                <w:szCs w:val="22"/>
                <w:lang w:val="lt-LT"/>
              </w:rPr>
              <w:t>1,</w:t>
            </w:r>
            <w:r w:rsidR="00F1755B">
              <w:rPr>
                <w:rFonts w:ascii="Times New Roman" w:eastAsia="Times New Roman"/>
                <w:sz w:val="22"/>
                <w:szCs w:val="22"/>
                <w:lang w:val="lt-LT"/>
              </w:rPr>
              <w:t>16</w:t>
            </w:r>
          </w:p>
        </w:tc>
        <w:tc>
          <w:tcPr>
            <w:tcW w:w="1247" w:type="dxa"/>
            <w:tcBorders>
              <w:top w:val="single" w:sz="4" w:space="0" w:color="auto"/>
              <w:bottom w:val="single" w:sz="4" w:space="0" w:color="808080" w:themeColor="background1" w:themeShade="80"/>
            </w:tcBorders>
            <w:shd w:val="clear" w:color="auto" w:fill="92D050"/>
            <w:tcMar>
              <w:top w:w="15" w:type="dxa"/>
              <w:left w:w="108" w:type="dxa"/>
              <w:bottom w:w="0" w:type="dxa"/>
              <w:right w:w="108" w:type="dxa"/>
            </w:tcMar>
            <w:vAlign w:val="center"/>
            <w:hideMark/>
          </w:tcPr>
          <w:p w14:paraId="6C829402" w14:textId="23ABEF66"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6</w:t>
            </w:r>
            <w:r w:rsidR="00F1755B">
              <w:rPr>
                <w:rFonts w:ascii="Times New Roman" w:eastAsia="Times New Roman"/>
                <w:sz w:val="22"/>
                <w:szCs w:val="22"/>
                <w:lang w:val="lt-LT"/>
              </w:rPr>
              <w:t>5</w:t>
            </w:r>
            <w:r w:rsidRPr="00CD720C">
              <w:rPr>
                <w:rFonts w:ascii="Times New Roman" w:eastAsia="Times New Roman"/>
                <w:sz w:val="22"/>
                <w:szCs w:val="22"/>
                <w:lang w:val="lt-LT"/>
              </w:rPr>
              <w:t>,</w:t>
            </w:r>
            <w:r w:rsidR="002E6285">
              <w:rPr>
                <w:rFonts w:ascii="Times New Roman" w:eastAsia="Times New Roman"/>
                <w:sz w:val="22"/>
                <w:szCs w:val="22"/>
                <w:lang w:val="lt-LT"/>
              </w:rPr>
              <w:t>1</w:t>
            </w:r>
          </w:p>
        </w:tc>
        <w:tc>
          <w:tcPr>
            <w:tcW w:w="1134" w:type="dxa"/>
            <w:tcBorders>
              <w:top w:val="single" w:sz="4" w:space="0" w:color="auto"/>
              <w:bottom w:val="single" w:sz="4" w:space="0" w:color="808080" w:themeColor="background1" w:themeShade="80"/>
            </w:tcBorders>
            <w:shd w:val="clear" w:color="auto" w:fill="BFBFBF" w:themeFill="background1" w:themeFillShade="BF"/>
            <w:tcMar>
              <w:top w:w="15" w:type="dxa"/>
              <w:left w:w="108" w:type="dxa"/>
              <w:bottom w:w="0" w:type="dxa"/>
              <w:right w:w="108" w:type="dxa"/>
            </w:tcMar>
            <w:vAlign w:val="center"/>
            <w:hideMark/>
          </w:tcPr>
          <w:p w14:paraId="6874F368" w14:textId="226E95F6"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50,0</w:t>
            </w:r>
          </w:p>
        </w:tc>
      </w:tr>
      <w:tr w:rsidR="00D170F6" w:rsidRPr="00CD720C" w14:paraId="66C73AAE" w14:textId="77777777" w:rsidTr="00866B92">
        <w:trPr>
          <w:cantSplit/>
          <w:trHeight w:val="20"/>
        </w:trPr>
        <w:tc>
          <w:tcPr>
            <w:tcW w:w="1980" w:type="dxa"/>
            <w:vMerge/>
            <w:shd w:val="clear" w:color="auto" w:fill="D9D9D9" w:themeFill="background1" w:themeFillShade="D9"/>
            <w:vAlign w:val="center"/>
            <w:hideMark/>
          </w:tcPr>
          <w:p w14:paraId="567474B0"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tcBorders>
              <w:top w:val="single" w:sz="4" w:space="0" w:color="808080" w:themeColor="background1" w:themeShade="80"/>
              <w:bottom w:val="single" w:sz="4" w:space="0" w:color="808080"/>
            </w:tcBorders>
            <w:shd w:val="clear" w:color="auto" w:fill="D9D9D9" w:themeFill="background1" w:themeFillShade="D9"/>
            <w:tcMar>
              <w:top w:w="15" w:type="dxa"/>
              <w:left w:w="108" w:type="dxa"/>
              <w:bottom w:w="0" w:type="dxa"/>
              <w:right w:w="108" w:type="dxa"/>
            </w:tcMar>
            <w:vAlign w:val="center"/>
            <w:hideMark/>
          </w:tcPr>
          <w:p w14:paraId="4CAD7A40" w14:textId="77777777"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Žemės plotas, kuriame vykdomos biologinės įvairovės išsaugojimui, vandentvarkos ir dirvožemio gerinimui skirtos valdymo sutartys, ha</w:t>
            </w:r>
          </w:p>
        </w:tc>
        <w:tc>
          <w:tcPr>
            <w:tcW w:w="1134" w:type="dxa"/>
            <w:tcBorders>
              <w:top w:val="single" w:sz="4" w:space="0" w:color="808080" w:themeColor="background1" w:themeShade="80"/>
              <w:bottom w:val="single" w:sz="4" w:space="0" w:color="808080"/>
            </w:tcBorders>
            <w:shd w:val="clear" w:color="auto" w:fill="D9D9D9" w:themeFill="background1" w:themeFillShade="D9"/>
            <w:tcMar>
              <w:top w:w="15" w:type="dxa"/>
              <w:left w:w="108" w:type="dxa"/>
              <w:bottom w:w="0" w:type="dxa"/>
              <w:right w:w="108" w:type="dxa"/>
            </w:tcMar>
            <w:vAlign w:val="center"/>
            <w:hideMark/>
          </w:tcPr>
          <w:p w14:paraId="3637BBD2" w14:textId="71F5A479" w:rsidR="00D170F6" w:rsidRPr="00CD720C" w:rsidRDefault="002C7CA5" w:rsidP="00D170F6">
            <w:pPr>
              <w:tabs>
                <w:tab w:val="num" w:pos="720"/>
                <w:tab w:val="left" w:pos="1560"/>
              </w:tabs>
              <w:jc w:val="right"/>
              <w:rPr>
                <w:rFonts w:ascii="Times New Roman" w:eastAsia="Times New Roman"/>
                <w:sz w:val="22"/>
                <w:szCs w:val="22"/>
                <w:lang w:val="lt-LT"/>
              </w:rPr>
            </w:pPr>
            <w:r w:rsidRPr="002E6285">
              <w:rPr>
                <w:rFonts w:ascii="Times New Roman" w:eastAsia="Times New Roman"/>
                <w:sz w:val="22"/>
                <w:szCs w:val="22"/>
                <w:lang w:val="lt-LT"/>
              </w:rPr>
              <w:t>308 150</w:t>
            </w:r>
          </w:p>
        </w:tc>
        <w:tc>
          <w:tcPr>
            <w:tcW w:w="1134" w:type="dxa"/>
            <w:tcBorders>
              <w:top w:val="single" w:sz="4" w:space="0" w:color="808080" w:themeColor="background1" w:themeShade="80"/>
              <w:bottom w:val="single" w:sz="4" w:space="0" w:color="808080"/>
            </w:tcBorders>
            <w:shd w:val="clear" w:color="auto" w:fill="D9D9D9" w:themeFill="background1" w:themeFillShade="D9"/>
            <w:tcMar>
              <w:top w:w="15" w:type="dxa"/>
              <w:left w:w="108" w:type="dxa"/>
              <w:bottom w:w="0" w:type="dxa"/>
              <w:right w:w="108" w:type="dxa"/>
            </w:tcMar>
            <w:vAlign w:val="center"/>
            <w:hideMark/>
          </w:tcPr>
          <w:p w14:paraId="132D4793" w14:textId="5491E628"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30</w:t>
            </w:r>
            <w:r w:rsidR="002E6285">
              <w:rPr>
                <w:rFonts w:ascii="Times New Roman" w:eastAsia="Times New Roman"/>
                <w:sz w:val="22"/>
                <w:szCs w:val="22"/>
                <w:lang w:val="lt-LT"/>
              </w:rPr>
              <w:t>5</w:t>
            </w:r>
            <w:r w:rsidRPr="00CD720C">
              <w:rPr>
                <w:rFonts w:ascii="Times New Roman" w:eastAsia="Times New Roman"/>
                <w:sz w:val="22"/>
                <w:szCs w:val="22"/>
                <w:lang w:val="lt-LT"/>
              </w:rPr>
              <w:t> </w:t>
            </w:r>
            <w:r w:rsidR="002E6285">
              <w:rPr>
                <w:rFonts w:ascii="Times New Roman" w:eastAsia="Times New Roman"/>
                <w:sz w:val="22"/>
                <w:szCs w:val="22"/>
                <w:lang w:val="lt-LT"/>
              </w:rPr>
              <w:t>151</w:t>
            </w:r>
          </w:p>
        </w:tc>
        <w:tc>
          <w:tcPr>
            <w:tcW w:w="1247" w:type="dxa"/>
            <w:tcBorders>
              <w:top w:val="single" w:sz="4" w:space="0" w:color="808080" w:themeColor="background1" w:themeShade="80"/>
              <w:bottom w:val="single" w:sz="4" w:space="0" w:color="808080"/>
            </w:tcBorders>
            <w:shd w:val="clear" w:color="auto" w:fill="92D050"/>
            <w:tcMar>
              <w:top w:w="15" w:type="dxa"/>
              <w:left w:w="108" w:type="dxa"/>
              <w:bottom w:w="0" w:type="dxa"/>
              <w:right w:w="108" w:type="dxa"/>
            </w:tcMar>
            <w:vAlign w:val="center"/>
            <w:hideMark/>
          </w:tcPr>
          <w:p w14:paraId="4B1F958A" w14:textId="2019EFDB" w:rsidR="00D170F6" w:rsidRPr="00CD720C" w:rsidRDefault="002E6285" w:rsidP="00D170F6">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lt-LT"/>
              </w:rPr>
              <w:t>99,0</w:t>
            </w:r>
          </w:p>
        </w:tc>
        <w:tc>
          <w:tcPr>
            <w:tcW w:w="1134" w:type="dxa"/>
            <w:tcBorders>
              <w:top w:val="single" w:sz="4" w:space="0" w:color="808080" w:themeColor="background1" w:themeShade="80"/>
              <w:bottom w:val="single" w:sz="4" w:space="0" w:color="808080"/>
            </w:tcBorders>
            <w:shd w:val="clear" w:color="auto" w:fill="BFBFBF" w:themeFill="background1" w:themeFillShade="BF"/>
            <w:tcMar>
              <w:top w:w="15" w:type="dxa"/>
              <w:left w:w="108" w:type="dxa"/>
              <w:bottom w:w="0" w:type="dxa"/>
              <w:right w:w="108" w:type="dxa"/>
            </w:tcMar>
            <w:vAlign w:val="center"/>
            <w:hideMark/>
          </w:tcPr>
          <w:p w14:paraId="15B89F62" w14:textId="30D82C54"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80,0</w:t>
            </w:r>
          </w:p>
        </w:tc>
      </w:tr>
      <w:tr w:rsidR="00D170F6" w:rsidRPr="00CD720C" w14:paraId="5E12B95A" w14:textId="77777777" w:rsidTr="00866B92">
        <w:trPr>
          <w:cantSplit/>
          <w:trHeight w:val="20"/>
        </w:trPr>
        <w:tc>
          <w:tcPr>
            <w:tcW w:w="1980" w:type="dxa"/>
            <w:vMerge/>
            <w:tcBorders>
              <w:bottom w:val="single" w:sz="4" w:space="0" w:color="auto"/>
            </w:tcBorders>
            <w:shd w:val="clear" w:color="auto" w:fill="D9D9D9" w:themeFill="background1" w:themeFillShade="D9"/>
            <w:vAlign w:val="center"/>
          </w:tcPr>
          <w:p w14:paraId="0930FC8E"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tcBorders>
              <w:top w:val="single" w:sz="4" w:space="0" w:color="808080"/>
              <w:bottom w:val="single" w:sz="4" w:space="0" w:color="auto"/>
            </w:tcBorders>
            <w:shd w:val="clear" w:color="auto" w:fill="D9D9D9" w:themeFill="background1" w:themeFillShade="D9"/>
            <w:tcMar>
              <w:top w:w="15" w:type="dxa"/>
              <w:left w:w="108" w:type="dxa"/>
              <w:bottom w:w="0" w:type="dxa"/>
              <w:right w:w="108" w:type="dxa"/>
            </w:tcMar>
            <w:vAlign w:val="center"/>
          </w:tcPr>
          <w:p w14:paraId="37557D06" w14:textId="1B8B07C6"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Kitų vietovių, kuriose esama didelių gamtinių kliūčių (13.2) ir kitų vietovių, kuriose esama specifinių kliūčių (13.3) plotas (ha)</w:t>
            </w:r>
          </w:p>
        </w:tc>
        <w:tc>
          <w:tcPr>
            <w:tcW w:w="1134" w:type="dxa"/>
            <w:tcBorders>
              <w:top w:val="single" w:sz="4" w:space="0" w:color="808080"/>
              <w:bottom w:val="single" w:sz="4" w:space="0" w:color="auto"/>
            </w:tcBorders>
            <w:shd w:val="clear" w:color="auto" w:fill="D9D9D9" w:themeFill="background1" w:themeFillShade="D9"/>
            <w:tcMar>
              <w:top w:w="15" w:type="dxa"/>
              <w:left w:w="108" w:type="dxa"/>
              <w:bottom w:w="0" w:type="dxa"/>
              <w:right w:w="108" w:type="dxa"/>
            </w:tcMar>
            <w:vAlign w:val="center"/>
          </w:tcPr>
          <w:p w14:paraId="65AA13D0" w14:textId="4C0EC3F5"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960 000</w:t>
            </w:r>
          </w:p>
        </w:tc>
        <w:tc>
          <w:tcPr>
            <w:tcW w:w="1134" w:type="dxa"/>
            <w:tcBorders>
              <w:top w:val="single" w:sz="4" w:space="0" w:color="808080"/>
              <w:bottom w:val="single" w:sz="4" w:space="0" w:color="auto"/>
            </w:tcBorders>
            <w:shd w:val="clear" w:color="auto" w:fill="D9D9D9" w:themeFill="background1" w:themeFillShade="D9"/>
            <w:tcMar>
              <w:top w:w="15" w:type="dxa"/>
              <w:left w:w="108" w:type="dxa"/>
              <w:bottom w:w="0" w:type="dxa"/>
              <w:right w:w="108" w:type="dxa"/>
            </w:tcMar>
            <w:vAlign w:val="center"/>
          </w:tcPr>
          <w:p w14:paraId="48C6FB16" w14:textId="487AEFB1"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1 216 699</w:t>
            </w:r>
          </w:p>
        </w:tc>
        <w:tc>
          <w:tcPr>
            <w:tcW w:w="1247" w:type="dxa"/>
            <w:tcBorders>
              <w:top w:val="single" w:sz="4" w:space="0" w:color="808080"/>
              <w:bottom w:val="single" w:sz="4" w:space="0" w:color="auto"/>
            </w:tcBorders>
            <w:shd w:val="clear" w:color="auto" w:fill="92D050"/>
            <w:tcMar>
              <w:top w:w="15" w:type="dxa"/>
              <w:left w:w="108" w:type="dxa"/>
              <w:bottom w:w="0" w:type="dxa"/>
              <w:right w:w="108" w:type="dxa"/>
            </w:tcMar>
            <w:vAlign w:val="center"/>
          </w:tcPr>
          <w:p w14:paraId="149B63BF" w14:textId="41721F38"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126,7</w:t>
            </w:r>
          </w:p>
        </w:tc>
        <w:tc>
          <w:tcPr>
            <w:tcW w:w="1134" w:type="dxa"/>
            <w:tcBorders>
              <w:top w:val="single" w:sz="4" w:space="0" w:color="808080"/>
              <w:bottom w:val="single" w:sz="4" w:space="0" w:color="auto"/>
            </w:tcBorders>
            <w:shd w:val="clear" w:color="auto" w:fill="BFBFBF" w:themeFill="background1" w:themeFillShade="BF"/>
            <w:tcMar>
              <w:top w:w="15" w:type="dxa"/>
              <w:left w:w="108" w:type="dxa"/>
              <w:bottom w:w="0" w:type="dxa"/>
              <w:right w:w="108" w:type="dxa"/>
            </w:tcMar>
            <w:vAlign w:val="center"/>
          </w:tcPr>
          <w:p w14:paraId="284E4751" w14:textId="26180370"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80,0</w:t>
            </w:r>
          </w:p>
        </w:tc>
      </w:tr>
      <w:tr w:rsidR="00337FE1" w:rsidRPr="00CD720C" w14:paraId="5C72BB3D" w14:textId="77777777" w:rsidTr="00106F4D">
        <w:trPr>
          <w:cantSplit/>
          <w:trHeight w:val="661"/>
        </w:trPr>
        <w:tc>
          <w:tcPr>
            <w:tcW w:w="1980" w:type="dxa"/>
            <w:vMerge w:val="restart"/>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04231B60" w14:textId="77777777" w:rsidR="00337FE1" w:rsidRPr="00CD720C" w:rsidRDefault="00337FE1" w:rsidP="00D170F6">
            <w:pPr>
              <w:tabs>
                <w:tab w:val="num" w:pos="720"/>
                <w:tab w:val="left" w:pos="1560"/>
              </w:tabs>
              <w:rPr>
                <w:rFonts w:ascii="Times New Roman" w:eastAsia="Times New Roman"/>
                <w:b/>
                <w:sz w:val="22"/>
                <w:szCs w:val="22"/>
                <w:lang w:val="lt-LT"/>
              </w:rPr>
            </w:pPr>
            <w:r w:rsidRPr="00CD720C">
              <w:rPr>
                <w:rFonts w:ascii="Times New Roman" w:eastAsia="Times New Roman"/>
                <w:b/>
                <w:bCs/>
                <w:sz w:val="22"/>
                <w:szCs w:val="22"/>
                <w:lang w:val="lt-LT"/>
              </w:rPr>
              <w:t>P5</w:t>
            </w:r>
          </w:p>
          <w:p w14:paraId="51DDF682" w14:textId="77777777" w:rsidR="00337FE1" w:rsidRPr="00CD720C" w:rsidRDefault="00337FE1" w:rsidP="00D170F6">
            <w:pPr>
              <w:tabs>
                <w:tab w:val="num" w:pos="720"/>
                <w:tab w:val="left" w:pos="1560"/>
              </w:tabs>
              <w:rPr>
                <w:rFonts w:ascii="Times New Roman" w:eastAsia="Times New Roman"/>
                <w:b/>
                <w:sz w:val="22"/>
                <w:szCs w:val="22"/>
                <w:lang w:val="lt-LT"/>
              </w:rPr>
            </w:pPr>
            <w:r w:rsidRPr="00CD720C">
              <w:rPr>
                <w:rFonts w:ascii="Times New Roman" w:eastAsia="Times New Roman"/>
                <w:b/>
                <w:i/>
                <w:iCs/>
                <w:sz w:val="22"/>
                <w:szCs w:val="22"/>
                <w:lang w:val="lt-LT"/>
              </w:rPr>
              <w:t>(Efektyvus išteklių valdymas)</w:t>
            </w:r>
          </w:p>
        </w:tc>
        <w:tc>
          <w:tcPr>
            <w:tcW w:w="2977" w:type="dxa"/>
            <w:vMerge w:val="restart"/>
            <w:tcBorders>
              <w:top w:val="single" w:sz="4" w:space="0" w:color="auto"/>
            </w:tcBorders>
            <w:shd w:val="clear" w:color="auto" w:fill="F2F2F2" w:themeFill="background1" w:themeFillShade="F2"/>
            <w:tcMar>
              <w:top w:w="15" w:type="dxa"/>
              <w:left w:w="108" w:type="dxa"/>
              <w:bottom w:w="0" w:type="dxa"/>
              <w:right w:w="108" w:type="dxa"/>
            </w:tcMar>
            <w:vAlign w:val="center"/>
            <w:hideMark/>
          </w:tcPr>
          <w:p w14:paraId="4B46C1C0" w14:textId="77777777" w:rsidR="00337FE1" w:rsidRPr="00CD720C" w:rsidRDefault="00337FE1" w:rsidP="00D170F6">
            <w:pPr>
              <w:tabs>
                <w:tab w:val="num" w:pos="720"/>
                <w:tab w:val="left" w:pos="1560"/>
              </w:tabs>
              <w:rPr>
                <w:rFonts w:ascii="Times New Roman" w:eastAsia="Times New Roman"/>
                <w:sz w:val="22"/>
                <w:szCs w:val="22"/>
                <w:lang w:val="lt-LT"/>
              </w:rPr>
            </w:pPr>
            <w:r w:rsidRPr="00CD720C">
              <w:rPr>
                <w:rFonts w:ascii="Times New Roman" w:eastAsia="Times New Roman"/>
                <w:bCs/>
                <w:sz w:val="22"/>
                <w:szCs w:val="22"/>
                <w:lang w:val="lt-LT"/>
              </w:rPr>
              <w:t>Bendros viešosios išlaidos, mln. Eur</w:t>
            </w:r>
          </w:p>
        </w:tc>
        <w:tc>
          <w:tcPr>
            <w:tcW w:w="1134" w:type="dxa"/>
            <w:vMerge w:val="restart"/>
            <w:tcBorders>
              <w:top w:val="single" w:sz="4" w:space="0" w:color="auto"/>
            </w:tcBorders>
            <w:shd w:val="clear" w:color="auto" w:fill="F2F2F2" w:themeFill="background1" w:themeFillShade="F2"/>
            <w:tcMar>
              <w:top w:w="15" w:type="dxa"/>
              <w:left w:w="108" w:type="dxa"/>
              <w:bottom w:w="0" w:type="dxa"/>
              <w:right w:w="108" w:type="dxa"/>
            </w:tcMar>
            <w:vAlign w:val="center"/>
            <w:hideMark/>
          </w:tcPr>
          <w:p w14:paraId="7483CB7F" w14:textId="45574985" w:rsidR="00337FE1" w:rsidRPr="002E6285" w:rsidRDefault="00337FE1" w:rsidP="00D170F6">
            <w:pPr>
              <w:tabs>
                <w:tab w:val="num" w:pos="720"/>
                <w:tab w:val="left" w:pos="1560"/>
              </w:tabs>
              <w:jc w:val="right"/>
              <w:rPr>
                <w:rFonts w:ascii="Times New Roman" w:eastAsia="Times New Roman"/>
                <w:sz w:val="22"/>
                <w:szCs w:val="22"/>
                <w:highlight w:val="yellow"/>
                <w:lang w:val="lt-LT"/>
              </w:rPr>
            </w:pPr>
            <w:r w:rsidRPr="00F6780F">
              <w:rPr>
                <w:rFonts w:ascii="Times New Roman" w:eastAsia="Times New Roman"/>
                <w:bCs/>
                <w:sz w:val="22"/>
                <w:szCs w:val="22"/>
                <w:lang w:val="lt-LT"/>
              </w:rPr>
              <w:t>171,90</w:t>
            </w:r>
          </w:p>
        </w:tc>
        <w:tc>
          <w:tcPr>
            <w:tcW w:w="1134" w:type="dxa"/>
            <w:vMerge w:val="restart"/>
            <w:tcBorders>
              <w:top w:val="single" w:sz="4" w:space="0" w:color="auto"/>
            </w:tcBorders>
            <w:shd w:val="clear" w:color="auto" w:fill="F2F2F2" w:themeFill="background1" w:themeFillShade="F2"/>
            <w:tcMar>
              <w:top w:w="15" w:type="dxa"/>
              <w:left w:w="108" w:type="dxa"/>
              <w:bottom w:w="0" w:type="dxa"/>
              <w:right w:w="108" w:type="dxa"/>
            </w:tcMar>
            <w:vAlign w:val="center"/>
            <w:hideMark/>
          </w:tcPr>
          <w:p w14:paraId="7F22C4CA" w14:textId="5CF1EF21" w:rsidR="00337FE1" w:rsidRPr="00CD720C" w:rsidRDefault="00337FE1" w:rsidP="00D170F6">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lt-LT"/>
              </w:rPr>
              <w:t>22,33</w:t>
            </w:r>
          </w:p>
        </w:tc>
        <w:tc>
          <w:tcPr>
            <w:tcW w:w="1247" w:type="dxa"/>
            <w:tcBorders>
              <w:top w:val="single" w:sz="4" w:space="0" w:color="auto"/>
              <w:bottom w:val="single" w:sz="4" w:space="0" w:color="808080" w:themeColor="background1" w:themeShade="80"/>
            </w:tcBorders>
            <w:shd w:val="clear" w:color="auto" w:fill="FF5050"/>
            <w:tcMar>
              <w:top w:w="15" w:type="dxa"/>
              <w:left w:w="108" w:type="dxa"/>
              <w:bottom w:w="0" w:type="dxa"/>
              <w:right w:w="108" w:type="dxa"/>
            </w:tcMar>
            <w:vAlign w:val="center"/>
            <w:hideMark/>
          </w:tcPr>
          <w:p w14:paraId="73E46ABF" w14:textId="506E5A3F" w:rsidR="00337FE1" w:rsidRPr="00CD720C" w:rsidRDefault="00337FE1" w:rsidP="00D170F6">
            <w:pPr>
              <w:tabs>
                <w:tab w:val="num" w:pos="720"/>
                <w:tab w:val="left" w:pos="1560"/>
              </w:tabs>
              <w:jc w:val="right"/>
              <w:rPr>
                <w:rFonts w:ascii="Times New Roman" w:eastAsia="Times New Roman"/>
                <w:sz w:val="22"/>
                <w:szCs w:val="22"/>
                <w:lang w:val="lt-LT"/>
              </w:rPr>
            </w:pPr>
            <w:r>
              <w:rPr>
                <w:rFonts w:ascii="Times New Roman" w:eastAsia="Times New Roman"/>
                <w:bCs/>
                <w:sz w:val="22"/>
                <w:szCs w:val="22"/>
                <w:lang w:val="en-GB"/>
              </w:rPr>
              <w:t>13,0</w:t>
            </w:r>
          </w:p>
        </w:tc>
        <w:tc>
          <w:tcPr>
            <w:tcW w:w="1134"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04829232" w14:textId="6C6C462F" w:rsidR="00337FE1" w:rsidRDefault="00337FE1" w:rsidP="00D170F6">
            <w:pPr>
              <w:tabs>
                <w:tab w:val="num" w:pos="720"/>
                <w:tab w:val="left" w:pos="1560"/>
              </w:tabs>
              <w:jc w:val="right"/>
              <w:rPr>
                <w:rFonts w:ascii="Times New Roman" w:eastAsia="Times New Roman"/>
                <w:bCs/>
                <w:sz w:val="22"/>
                <w:szCs w:val="22"/>
                <w:lang w:val="en-GB"/>
              </w:rPr>
            </w:pPr>
            <w:r w:rsidRPr="00B41EF3">
              <w:rPr>
                <w:rFonts w:ascii="Times New Roman" w:eastAsia="Times New Roman"/>
                <w:bCs/>
                <w:sz w:val="22"/>
                <w:szCs w:val="22"/>
                <w:lang w:val="en-GB"/>
              </w:rPr>
              <w:t>35,0</w:t>
            </w:r>
          </w:p>
          <w:p w14:paraId="1CE01AD9" w14:textId="170EA4B6" w:rsidR="00337FE1" w:rsidRPr="00F6780F" w:rsidRDefault="00B41EF3" w:rsidP="00D170F6">
            <w:pPr>
              <w:tabs>
                <w:tab w:val="num" w:pos="720"/>
                <w:tab w:val="left" w:pos="1560"/>
              </w:tabs>
              <w:jc w:val="right"/>
              <w:rPr>
                <w:rFonts w:ascii="Times New Roman" w:eastAsia="Times New Roman"/>
                <w:i/>
                <w:sz w:val="16"/>
                <w:szCs w:val="16"/>
                <w:lang w:val="lt-LT"/>
              </w:rPr>
            </w:pPr>
            <w:r w:rsidRPr="00F6780F">
              <w:rPr>
                <w:rFonts w:ascii="Times New Roman" w:eastAsia="Times New Roman"/>
                <w:i/>
                <w:sz w:val="16"/>
                <w:szCs w:val="16"/>
                <w:lang w:val="lt-LT"/>
              </w:rPr>
              <w:t>(</w:t>
            </w:r>
            <w:r>
              <w:rPr>
                <w:rFonts w:ascii="Times New Roman" w:eastAsia="Times New Roman"/>
                <w:i/>
                <w:sz w:val="16"/>
                <w:szCs w:val="16"/>
                <w:lang w:val="lt-LT"/>
              </w:rPr>
              <w:t>Galioja</w:t>
            </w:r>
            <w:r w:rsidRPr="00F6780F">
              <w:rPr>
                <w:rFonts w:ascii="Times New Roman" w:eastAsia="Times New Roman"/>
                <w:i/>
                <w:sz w:val="16"/>
                <w:szCs w:val="16"/>
                <w:lang w:val="lt-LT"/>
              </w:rPr>
              <w:t>)</w:t>
            </w:r>
          </w:p>
        </w:tc>
      </w:tr>
      <w:tr w:rsidR="00337FE1" w:rsidRPr="00CD720C" w14:paraId="104E19BF" w14:textId="77777777" w:rsidTr="00D82009">
        <w:trPr>
          <w:cantSplit/>
          <w:trHeight w:val="661"/>
        </w:trPr>
        <w:tc>
          <w:tcPr>
            <w:tcW w:w="1980" w:type="dxa"/>
            <w:vMerge/>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033B33FC" w14:textId="77777777" w:rsidR="00337FE1" w:rsidRPr="00CD720C" w:rsidRDefault="00337FE1" w:rsidP="00D170F6">
            <w:pPr>
              <w:tabs>
                <w:tab w:val="num" w:pos="720"/>
                <w:tab w:val="left" w:pos="1560"/>
              </w:tabs>
              <w:rPr>
                <w:rFonts w:ascii="Times New Roman" w:eastAsia="Times New Roman"/>
                <w:b/>
                <w:bCs/>
                <w:sz w:val="22"/>
                <w:szCs w:val="22"/>
                <w:lang w:val="lt-LT"/>
              </w:rPr>
            </w:pPr>
          </w:p>
        </w:tc>
        <w:tc>
          <w:tcPr>
            <w:tcW w:w="2977" w:type="dxa"/>
            <w:vMerge/>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1145FD47" w14:textId="77777777" w:rsidR="00337FE1" w:rsidRPr="00CD720C" w:rsidRDefault="00337FE1" w:rsidP="00D170F6">
            <w:pPr>
              <w:tabs>
                <w:tab w:val="num" w:pos="720"/>
                <w:tab w:val="left" w:pos="1560"/>
              </w:tabs>
              <w:rPr>
                <w:rFonts w:ascii="Times New Roman" w:eastAsia="Times New Roman"/>
                <w:bCs/>
                <w:sz w:val="22"/>
                <w:szCs w:val="22"/>
                <w:lang w:val="lt-LT"/>
              </w:rPr>
            </w:pPr>
          </w:p>
        </w:tc>
        <w:tc>
          <w:tcPr>
            <w:tcW w:w="1134" w:type="dxa"/>
            <w:vMerge/>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45123F26" w14:textId="77777777" w:rsidR="00337FE1" w:rsidRPr="00F6780F" w:rsidRDefault="00337FE1" w:rsidP="00D170F6">
            <w:pPr>
              <w:tabs>
                <w:tab w:val="num" w:pos="720"/>
                <w:tab w:val="left" w:pos="1560"/>
              </w:tabs>
              <w:jc w:val="right"/>
              <w:rPr>
                <w:rFonts w:ascii="Times New Roman" w:eastAsia="Times New Roman"/>
                <w:bCs/>
                <w:sz w:val="22"/>
                <w:szCs w:val="22"/>
                <w:lang w:val="lt-LT"/>
              </w:rPr>
            </w:pPr>
          </w:p>
        </w:tc>
        <w:tc>
          <w:tcPr>
            <w:tcW w:w="1134" w:type="dxa"/>
            <w:vMerge/>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680D61AE" w14:textId="77777777" w:rsidR="00337FE1" w:rsidRDefault="00337FE1" w:rsidP="00D170F6">
            <w:pPr>
              <w:tabs>
                <w:tab w:val="num" w:pos="720"/>
                <w:tab w:val="left" w:pos="1560"/>
              </w:tabs>
              <w:jc w:val="right"/>
              <w:rPr>
                <w:rFonts w:ascii="Times New Roman" w:eastAsia="Times New Roman"/>
                <w:sz w:val="22"/>
                <w:szCs w:val="22"/>
                <w:lang w:val="lt-LT"/>
              </w:rPr>
            </w:pPr>
          </w:p>
        </w:tc>
        <w:tc>
          <w:tcPr>
            <w:tcW w:w="1247" w:type="dxa"/>
            <w:tcBorders>
              <w:top w:val="single" w:sz="4" w:space="0" w:color="auto"/>
              <w:bottom w:val="single" w:sz="4" w:space="0" w:color="808080" w:themeColor="background1" w:themeShade="80"/>
            </w:tcBorders>
            <w:shd w:val="clear" w:color="auto" w:fill="FFC000"/>
            <w:tcMar>
              <w:top w:w="15" w:type="dxa"/>
              <w:left w:w="108" w:type="dxa"/>
              <w:bottom w:w="0" w:type="dxa"/>
              <w:right w:w="108" w:type="dxa"/>
            </w:tcMar>
            <w:vAlign w:val="center"/>
          </w:tcPr>
          <w:p w14:paraId="646937FC" w14:textId="428E4131" w:rsidR="00337FE1" w:rsidRDefault="00B41EF3" w:rsidP="00D170F6">
            <w:pPr>
              <w:tabs>
                <w:tab w:val="num" w:pos="720"/>
                <w:tab w:val="left" w:pos="1560"/>
              </w:tabs>
              <w:jc w:val="right"/>
              <w:rPr>
                <w:rFonts w:ascii="Times New Roman" w:eastAsia="Times New Roman"/>
                <w:bCs/>
                <w:sz w:val="22"/>
                <w:szCs w:val="22"/>
                <w:lang w:val="en-GB"/>
              </w:rPr>
            </w:pPr>
            <w:r>
              <w:rPr>
                <w:rFonts w:ascii="Times New Roman" w:eastAsia="Times New Roman"/>
                <w:bCs/>
                <w:sz w:val="22"/>
                <w:szCs w:val="22"/>
                <w:lang w:val="en-GB"/>
              </w:rPr>
              <w:t>13,0</w:t>
            </w:r>
          </w:p>
        </w:tc>
        <w:tc>
          <w:tcPr>
            <w:tcW w:w="1134"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14:paraId="31028291" w14:textId="77777777" w:rsidR="00B41EF3" w:rsidRPr="00B41EF3" w:rsidRDefault="00B41EF3" w:rsidP="00B41EF3">
            <w:pPr>
              <w:tabs>
                <w:tab w:val="num" w:pos="720"/>
                <w:tab w:val="left" w:pos="1560"/>
              </w:tabs>
              <w:jc w:val="right"/>
              <w:rPr>
                <w:rFonts w:ascii="Times New Roman" w:eastAsia="Times New Roman"/>
                <w:bCs/>
                <w:sz w:val="22"/>
                <w:szCs w:val="22"/>
                <w:lang w:val="en-GB"/>
              </w:rPr>
            </w:pPr>
            <w:r w:rsidRPr="00B41EF3">
              <w:rPr>
                <w:rFonts w:ascii="Times New Roman" w:eastAsia="Times New Roman"/>
                <w:bCs/>
                <w:sz w:val="22"/>
                <w:szCs w:val="22"/>
                <w:lang w:val="en-GB"/>
              </w:rPr>
              <w:t>15,0</w:t>
            </w:r>
          </w:p>
          <w:p w14:paraId="3395AE57" w14:textId="4857D3FC" w:rsidR="00337FE1" w:rsidRPr="00F6780F" w:rsidRDefault="00B41EF3" w:rsidP="00B41EF3">
            <w:pPr>
              <w:tabs>
                <w:tab w:val="num" w:pos="720"/>
                <w:tab w:val="left" w:pos="1560"/>
              </w:tabs>
              <w:jc w:val="right"/>
              <w:rPr>
                <w:rFonts w:ascii="Times New Roman" w:eastAsia="Times New Roman"/>
                <w:bCs/>
                <w:strike/>
                <w:sz w:val="22"/>
                <w:szCs w:val="22"/>
                <w:lang w:val="en-GB"/>
              </w:rPr>
            </w:pPr>
            <w:r w:rsidRPr="00F6780F">
              <w:rPr>
                <w:rFonts w:ascii="Times New Roman" w:eastAsia="Times New Roman"/>
                <w:i/>
                <w:sz w:val="16"/>
                <w:szCs w:val="16"/>
                <w:lang w:val="lt-LT"/>
              </w:rPr>
              <w:t>(Deramasi su EK</w:t>
            </w:r>
            <w:r>
              <w:rPr>
                <w:rFonts w:ascii="Times New Roman" w:eastAsia="Times New Roman"/>
                <w:i/>
                <w:sz w:val="16"/>
                <w:szCs w:val="16"/>
                <w:lang w:val="lt-LT"/>
              </w:rPr>
              <w:t xml:space="preserve"> dėl keitimo</w:t>
            </w:r>
            <w:r w:rsidRPr="00F6780F">
              <w:rPr>
                <w:rFonts w:ascii="Times New Roman" w:eastAsia="Times New Roman"/>
                <w:i/>
                <w:sz w:val="16"/>
                <w:szCs w:val="16"/>
                <w:lang w:val="lt-LT"/>
              </w:rPr>
              <w:t>)</w:t>
            </w:r>
          </w:p>
        </w:tc>
      </w:tr>
      <w:tr w:rsidR="00D170F6" w:rsidRPr="00CD720C" w14:paraId="643D2F81" w14:textId="77777777" w:rsidTr="00866B92">
        <w:trPr>
          <w:cantSplit/>
          <w:trHeight w:val="20"/>
        </w:trPr>
        <w:tc>
          <w:tcPr>
            <w:tcW w:w="1980" w:type="dxa"/>
            <w:vMerge/>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hideMark/>
          </w:tcPr>
          <w:p w14:paraId="38860D25"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09B31332" w14:textId="77777777"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Žemės plotas, kuriame vykdomos su anglies dvideginio sekvestracija + šiltnamio efektą sukeliančių dujų kiekio mažinimu susijusios valdymo sutartys (ha)</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35F414F8" w14:textId="7F597757" w:rsidR="00D170F6" w:rsidRPr="002E6285" w:rsidRDefault="002E6285" w:rsidP="00D170F6">
            <w:pPr>
              <w:tabs>
                <w:tab w:val="num" w:pos="720"/>
                <w:tab w:val="left" w:pos="1560"/>
              </w:tabs>
              <w:jc w:val="right"/>
              <w:rPr>
                <w:rFonts w:ascii="Times New Roman" w:eastAsia="Times New Roman"/>
                <w:sz w:val="22"/>
                <w:szCs w:val="22"/>
                <w:highlight w:val="yellow"/>
                <w:lang w:val="lt-LT"/>
              </w:rPr>
            </w:pPr>
            <w:r w:rsidRPr="00432152">
              <w:rPr>
                <w:rFonts w:ascii="Times New Roman" w:eastAsia="Times New Roman"/>
                <w:sz w:val="22"/>
                <w:szCs w:val="22"/>
                <w:lang w:val="lt-LT"/>
              </w:rPr>
              <w:t>91 300</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5B15E869" w14:textId="7ABAE363" w:rsidR="00D170F6" w:rsidRDefault="00913170" w:rsidP="00D170F6">
            <w:pPr>
              <w:tabs>
                <w:tab w:val="num" w:pos="720"/>
                <w:tab w:val="left" w:pos="1560"/>
              </w:tabs>
              <w:jc w:val="right"/>
              <w:rPr>
                <w:rFonts w:ascii="Times New Roman" w:eastAsia="Times New Roman"/>
                <w:sz w:val="22"/>
                <w:szCs w:val="22"/>
                <w:lang w:val="en-GB"/>
              </w:rPr>
            </w:pPr>
            <w:r>
              <w:rPr>
                <w:rFonts w:ascii="Times New Roman" w:eastAsia="Times New Roman"/>
                <w:sz w:val="22"/>
                <w:szCs w:val="22"/>
                <w:lang w:val="en-GB"/>
              </w:rPr>
              <w:t>8</w:t>
            </w:r>
            <w:r w:rsidR="00FE4B21">
              <w:rPr>
                <w:rFonts w:ascii="Times New Roman" w:eastAsia="Times New Roman"/>
                <w:sz w:val="22"/>
                <w:szCs w:val="22"/>
                <w:lang w:val="en-GB"/>
              </w:rPr>
              <w:t> </w:t>
            </w:r>
            <w:r>
              <w:rPr>
                <w:rFonts w:ascii="Times New Roman" w:eastAsia="Times New Roman"/>
                <w:sz w:val="22"/>
                <w:szCs w:val="22"/>
                <w:lang w:val="en-GB"/>
              </w:rPr>
              <w:t>141</w:t>
            </w:r>
          </w:p>
          <w:p w14:paraId="6FD54396" w14:textId="36F9831A" w:rsidR="00FE4B21" w:rsidRPr="00CD720C" w:rsidRDefault="00FE4B21" w:rsidP="00D170F6">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lt-LT"/>
              </w:rPr>
              <w:t>(</w:t>
            </w:r>
            <w:r w:rsidR="00303E93">
              <w:rPr>
                <w:rFonts w:ascii="Times New Roman" w:eastAsia="Times New Roman"/>
                <w:sz w:val="22"/>
                <w:szCs w:val="22"/>
                <w:lang w:val="lt-LT"/>
              </w:rPr>
              <w:t>60</w:t>
            </w:r>
            <w:r w:rsidR="00367655">
              <w:rPr>
                <w:rFonts w:ascii="Times New Roman" w:eastAsia="Times New Roman"/>
                <w:sz w:val="22"/>
                <w:szCs w:val="22"/>
                <w:lang w:val="lt-LT"/>
              </w:rPr>
              <w:t> </w:t>
            </w:r>
            <w:r w:rsidR="00303E93">
              <w:rPr>
                <w:rFonts w:ascii="Times New Roman" w:eastAsia="Times New Roman"/>
                <w:sz w:val="22"/>
                <w:szCs w:val="22"/>
                <w:lang w:val="lt-LT"/>
              </w:rPr>
              <w:t>000</w:t>
            </w:r>
            <w:r>
              <w:rPr>
                <w:rFonts w:ascii="Times New Roman" w:eastAsia="Times New Roman"/>
                <w:sz w:val="22"/>
                <w:szCs w:val="22"/>
                <w:lang w:val="lt-LT"/>
              </w:rPr>
              <w:t>)</w:t>
            </w:r>
          </w:p>
        </w:tc>
        <w:tc>
          <w:tcPr>
            <w:tcW w:w="1247" w:type="dxa"/>
            <w:tcBorders>
              <w:top w:val="single" w:sz="4" w:space="0" w:color="808080" w:themeColor="background1" w:themeShade="80"/>
              <w:bottom w:val="single" w:sz="4" w:space="0" w:color="808080" w:themeColor="background1" w:themeShade="80"/>
            </w:tcBorders>
            <w:shd w:val="clear" w:color="auto" w:fill="FF5050"/>
            <w:tcMar>
              <w:top w:w="15" w:type="dxa"/>
              <w:left w:w="108" w:type="dxa"/>
              <w:bottom w:w="0" w:type="dxa"/>
              <w:right w:w="108" w:type="dxa"/>
            </w:tcMar>
            <w:vAlign w:val="center"/>
            <w:hideMark/>
          </w:tcPr>
          <w:p w14:paraId="40CAFD36" w14:textId="77777777" w:rsidR="00D170F6" w:rsidRPr="00992219" w:rsidRDefault="00913170" w:rsidP="00D170F6">
            <w:pPr>
              <w:tabs>
                <w:tab w:val="num" w:pos="720"/>
                <w:tab w:val="left" w:pos="1560"/>
              </w:tabs>
              <w:jc w:val="right"/>
              <w:rPr>
                <w:rFonts w:ascii="Times New Roman" w:eastAsia="Times New Roman"/>
                <w:bCs/>
                <w:sz w:val="22"/>
                <w:szCs w:val="22"/>
                <w:lang w:val="en-GB"/>
              </w:rPr>
            </w:pPr>
            <w:r w:rsidRPr="00992219">
              <w:rPr>
                <w:rFonts w:ascii="Times New Roman" w:eastAsia="Times New Roman"/>
                <w:bCs/>
                <w:sz w:val="22"/>
                <w:szCs w:val="22"/>
                <w:lang w:val="en-GB"/>
              </w:rPr>
              <w:t>8,9</w:t>
            </w:r>
          </w:p>
          <w:p w14:paraId="638EB4FF" w14:textId="1D2753BD" w:rsidR="00FE4B21" w:rsidRPr="00992219" w:rsidRDefault="00FE4B21" w:rsidP="00D170F6">
            <w:pPr>
              <w:tabs>
                <w:tab w:val="num" w:pos="720"/>
                <w:tab w:val="left" w:pos="1560"/>
              </w:tabs>
              <w:jc w:val="right"/>
              <w:rPr>
                <w:rFonts w:ascii="Times New Roman" w:eastAsia="Times New Roman"/>
                <w:bCs/>
                <w:sz w:val="22"/>
                <w:szCs w:val="22"/>
                <w:lang w:val="en-GB"/>
              </w:rPr>
            </w:pPr>
            <w:r w:rsidRPr="00992219">
              <w:rPr>
                <w:rFonts w:ascii="Times New Roman" w:eastAsia="Times New Roman"/>
                <w:bCs/>
                <w:sz w:val="22"/>
                <w:szCs w:val="22"/>
                <w:lang w:val="en-GB"/>
              </w:rPr>
              <w:t>(</w:t>
            </w:r>
            <w:r w:rsidR="00367655" w:rsidRPr="00992219">
              <w:rPr>
                <w:rFonts w:ascii="Times New Roman" w:eastAsia="Times New Roman"/>
                <w:bCs/>
                <w:sz w:val="22"/>
                <w:szCs w:val="22"/>
                <w:lang w:val="en-GB"/>
              </w:rPr>
              <w:t>65,7</w:t>
            </w:r>
            <w:r w:rsidRPr="00992219">
              <w:rPr>
                <w:rFonts w:ascii="Times New Roman" w:eastAsia="Times New Roman"/>
                <w:bCs/>
                <w:sz w:val="22"/>
                <w:szCs w:val="22"/>
                <w:lang w:val="en-GB"/>
              </w:rPr>
              <w:t>)</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14:paraId="74C27CDD" w14:textId="4B478831"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en-GB"/>
              </w:rPr>
              <w:t>35,0</w:t>
            </w:r>
          </w:p>
        </w:tc>
      </w:tr>
      <w:tr w:rsidR="00D170F6" w:rsidRPr="00CD720C" w14:paraId="51D4FED1" w14:textId="77777777" w:rsidTr="00866B92">
        <w:trPr>
          <w:cantSplit/>
          <w:trHeight w:val="20"/>
        </w:trPr>
        <w:tc>
          <w:tcPr>
            <w:tcW w:w="1980" w:type="dxa"/>
            <w:vMerge/>
            <w:tcBorders>
              <w:top w:val="single" w:sz="4" w:space="0" w:color="808080" w:themeColor="background1" w:themeShade="80"/>
              <w:bottom w:val="single" w:sz="4" w:space="0" w:color="auto"/>
            </w:tcBorders>
            <w:shd w:val="clear" w:color="auto" w:fill="F2F2F2" w:themeFill="background1" w:themeFillShade="F2"/>
            <w:vAlign w:val="center"/>
            <w:hideMark/>
          </w:tcPr>
          <w:p w14:paraId="1A546692"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hideMark/>
          </w:tcPr>
          <w:p w14:paraId="32EFA86F" w14:textId="77777777"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Investavimo į atsinaujinančios energijos gamybą veiksmų skaičius</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hideMark/>
          </w:tcPr>
          <w:p w14:paraId="2F1D8969" w14:textId="77777777"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37</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hideMark/>
          </w:tcPr>
          <w:p w14:paraId="69D3D79E" w14:textId="77777777" w:rsidR="00D170F6" w:rsidRPr="00CD720C" w:rsidRDefault="00D170F6" w:rsidP="00D170F6">
            <w:pPr>
              <w:tabs>
                <w:tab w:val="num" w:pos="720"/>
                <w:tab w:val="left" w:pos="1560"/>
              </w:tabs>
              <w:jc w:val="right"/>
              <w:rPr>
                <w:rFonts w:ascii="Times New Roman" w:eastAsia="Times New Roman"/>
                <w:sz w:val="22"/>
                <w:szCs w:val="22"/>
                <w:lang w:val="en-GB"/>
              </w:rPr>
            </w:pPr>
            <w:r w:rsidRPr="00CD720C">
              <w:rPr>
                <w:rFonts w:ascii="Times New Roman" w:eastAsia="Times New Roman"/>
                <w:sz w:val="22"/>
                <w:szCs w:val="22"/>
                <w:lang w:val="en-GB"/>
              </w:rPr>
              <w:t>0</w:t>
            </w:r>
          </w:p>
          <w:p w14:paraId="1B2D47E1" w14:textId="2A2E758B"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(9)</w:t>
            </w:r>
          </w:p>
        </w:tc>
        <w:tc>
          <w:tcPr>
            <w:tcW w:w="1247" w:type="dxa"/>
            <w:tcBorders>
              <w:top w:val="single" w:sz="4" w:space="0" w:color="808080" w:themeColor="background1" w:themeShade="80"/>
              <w:bottom w:val="single" w:sz="4" w:space="0" w:color="auto"/>
            </w:tcBorders>
            <w:shd w:val="clear" w:color="auto" w:fill="FFC000"/>
            <w:tcMar>
              <w:top w:w="15" w:type="dxa"/>
              <w:left w:w="108" w:type="dxa"/>
              <w:bottom w:w="0" w:type="dxa"/>
              <w:right w:w="108" w:type="dxa"/>
            </w:tcMar>
            <w:vAlign w:val="center"/>
            <w:hideMark/>
          </w:tcPr>
          <w:p w14:paraId="26F7421D" w14:textId="77777777" w:rsidR="00D170F6" w:rsidRPr="00CD720C" w:rsidRDefault="00D170F6" w:rsidP="00D170F6">
            <w:pPr>
              <w:tabs>
                <w:tab w:val="num" w:pos="720"/>
                <w:tab w:val="left" w:pos="1560"/>
              </w:tabs>
              <w:jc w:val="right"/>
              <w:rPr>
                <w:rFonts w:ascii="Times New Roman" w:eastAsia="Times New Roman"/>
                <w:sz w:val="22"/>
                <w:szCs w:val="22"/>
                <w:lang w:val="en-GB"/>
              </w:rPr>
            </w:pPr>
            <w:r w:rsidRPr="00CD720C">
              <w:rPr>
                <w:rFonts w:ascii="Times New Roman" w:eastAsia="Times New Roman"/>
                <w:sz w:val="22"/>
                <w:szCs w:val="22"/>
                <w:lang w:val="en-GB"/>
              </w:rPr>
              <w:t>0</w:t>
            </w:r>
          </w:p>
          <w:p w14:paraId="332B4833" w14:textId="657A428B"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(24,3)</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hideMark/>
          </w:tcPr>
          <w:p w14:paraId="1E7D8E9E" w14:textId="569494BF"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en-GB"/>
              </w:rPr>
              <w:t>15,0</w:t>
            </w:r>
          </w:p>
        </w:tc>
      </w:tr>
      <w:tr w:rsidR="00AA6C15" w:rsidRPr="00CD720C" w14:paraId="680470D9" w14:textId="77777777" w:rsidTr="00866B92">
        <w:trPr>
          <w:cantSplit/>
          <w:trHeight w:val="896"/>
        </w:trPr>
        <w:tc>
          <w:tcPr>
            <w:tcW w:w="1980" w:type="dxa"/>
            <w:vMerge w:val="restart"/>
            <w:tcBorders>
              <w:top w:val="single" w:sz="4" w:space="0" w:color="auto"/>
            </w:tcBorders>
            <w:shd w:val="clear" w:color="auto" w:fill="D9D9D9" w:themeFill="background1" w:themeFillShade="D9"/>
            <w:tcMar>
              <w:top w:w="15" w:type="dxa"/>
              <w:left w:w="108" w:type="dxa"/>
              <w:bottom w:w="0" w:type="dxa"/>
              <w:right w:w="108" w:type="dxa"/>
            </w:tcMar>
            <w:vAlign w:val="center"/>
            <w:hideMark/>
          </w:tcPr>
          <w:p w14:paraId="73407356" w14:textId="77777777" w:rsidR="00AA6C15" w:rsidRPr="00CD720C" w:rsidRDefault="00AA6C15" w:rsidP="00D170F6">
            <w:pPr>
              <w:tabs>
                <w:tab w:val="num" w:pos="720"/>
                <w:tab w:val="left" w:pos="1560"/>
              </w:tabs>
              <w:rPr>
                <w:rFonts w:ascii="Times New Roman" w:eastAsia="Times New Roman"/>
                <w:b/>
                <w:sz w:val="22"/>
                <w:szCs w:val="22"/>
                <w:lang w:val="lt-LT"/>
              </w:rPr>
            </w:pPr>
            <w:r w:rsidRPr="00CD720C">
              <w:rPr>
                <w:rFonts w:ascii="Times New Roman" w:eastAsia="Times New Roman"/>
                <w:b/>
                <w:bCs/>
                <w:sz w:val="22"/>
                <w:szCs w:val="22"/>
                <w:lang w:val="lt-LT"/>
              </w:rPr>
              <w:lastRenderedPageBreak/>
              <w:t>P6</w:t>
            </w:r>
          </w:p>
          <w:p w14:paraId="0A959B2A" w14:textId="77777777" w:rsidR="00AA6C15" w:rsidRPr="00CD720C" w:rsidRDefault="00AA6C15" w:rsidP="00D170F6">
            <w:pPr>
              <w:tabs>
                <w:tab w:val="num" w:pos="720"/>
                <w:tab w:val="left" w:pos="1560"/>
              </w:tabs>
              <w:rPr>
                <w:rFonts w:ascii="Times New Roman" w:eastAsia="Times New Roman"/>
                <w:b/>
                <w:sz w:val="22"/>
                <w:szCs w:val="22"/>
                <w:lang w:val="lt-LT"/>
              </w:rPr>
            </w:pPr>
            <w:r w:rsidRPr="00CD720C">
              <w:rPr>
                <w:rFonts w:ascii="Times New Roman" w:eastAsia="Times New Roman"/>
                <w:b/>
                <w:i/>
                <w:iCs/>
                <w:sz w:val="22"/>
                <w:szCs w:val="22"/>
                <w:lang w:val="lt-LT"/>
              </w:rPr>
              <w:t>(Ekonominė ir socialinė plėtra ir infrastruktūra)</w:t>
            </w:r>
          </w:p>
        </w:tc>
        <w:tc>
          <w:tcPr>
            <w:tcW w:w="2977" w:type="dxa"/>
            <w:vMerge w:val="restart"/>
            <w:tcBorders>
              <w:top w:val="single" w:sz="4" w:space="0" w:color="auto"/>
            </w:tcBorders>
            <w:shd w:val="clear" w:color="auto" w:fill="D9D9D9" w:themeFill="background1" w:themeFillShade="D9"/>
            <w:tcMar>
              <w:top w:w="15" w:type="dxa"/>
              <w:left w:w="108" w:type="dxa"/>
              <w:bottom w:w="0" w:type="dxa"/>
              <w:right w:w="108" w:type="dxa"/>
            </w:tcMar>
            <w:vAlign w:val="center"/>
            <w:hideMark/>
          </w:tcPr>
          <w:p w14:paraId="286E438C" w14:textId="77777777" w:rsidR="00AA6C15" w:rsidRPr="00CD720C" w:rsidRDefault="00AA6C15"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Bendros viešosios išlaidos, mln. Eur</w:t>
            </w:r>
          </w:p>
        </w:tc>
        <w:tc>
          <w:tcPr>
            <w:tcW w:w="1134" w:type="dxa"/>
            <w:vMerge w:val="restart"/>
            <w:tcBorders>
              <w:top w:val="single" w:sz="4" w:space="0" w:color="auto"/>
            </w:tcBorders>
            <w:shd w:val="clear" w:color="auto" w:fill="D9D9D9" w:themeFill="background1" w:themeFillShade="D9"/>
            <w:tcMar>
              <w:top w:w="15" w:type="dxa"/>
              <w:left w:w="108" w:type="dxa"/>
              <w:bottom w:w="0" w:type="dxa"/>
              <w:right w:w="108" w:type="dxa"/>
            </w:tcMar>
            <w:vAlign w:val="center"/>
            <w:hideMark/>
          </w:tcPr>
          <w:p w14:paraId="2922088F" w14:textId="77777777" w:rsidR="00AA6C15" w:rsidRPr="00CD720C" w:rsidRDefault="00AA6C15"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290,79</w:t>
            </w:r>
          </w:p>
        </w:tc>
        <w:tc>
          <w:tcPr>
            <w:tcW w:w="1134" w:type="dxa"/>
            <w:vMerge w:val="restart"/>
            <w:tcBorders>
              <w:top w:val="single" w:sz="4" w:space="0" w:color="auto"/>
            </w:tcBorders>
            <w:shd w:val="clear" w:color="auto" w:fill="D9D9D9" w:themeFill="background1" w:themeFillShade="D9"/>
            <w:tcMar>
              <w:top w:w="15" w:type="dxa"/>
              <w:left w:w="108" w:type="dxa"/>
              <w:bottom w:w="0" w:type="dxa"/>
              <w:right w:w="108" w:type="dxa"/>
            </w:tcMar>
            <w:vAlign w:val="center"/>
            <w:hideMark/>
          </w:tcPr>
          <w:p w14:paraId="19AF205B" w14:textId="3D6DDC56" w:rsidR="00AA6C15" w:rsidRPr="00CD720C" w:rsidRDefault="00AA6C15" w:rsidP="00D170F6">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en-GB"/>
              </w:rPr>
              <w:t>19,97</w:t>
            </w:r>
          </w:p>
        </w:tc>
        <w:tc>
          <w:tcPr>
            <w:tcW w:w="1247" w:type="dxa"/>
            <w:tcBorders>
              <w:top w:val="single" w:sz="4" w:space="0" w:color="auto"/>
            </w:tcBorders>
            <w:shd w:val="clear" w:color="auto" w:fill="FF5050"/>
            <w:tcMar>
              <w:top w:w="15" w:type="dxa"/>
              <w:left w:w="108" w:type="dxa"/>
              <w:bottom w:w="0" w:type="dxa"/>
              <w:right w:w="108" w:type="dxa"/>
            </w:tcMar>
            <w:vAlign w:val="center"/>
            <w:hideMark/>
          </w:tcPr>
          <w:p w14:paraId="6E7904B1" w14:textId="308E71CE" w:rsidR="00AA6C15" w:rsidRPr="00CD720C" w:rsidRDefault="00AA6C15" w:rsidP="00D170F6">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en-GB"/>
              </w:rPr>
              <w:t>6,9</w:t>
            </w:r>
          </w:p>
        </w:tc>
        <w:tc>
          <w:tcPr>
            <w:tcW w:w="1134" w:type="dxa"/>
            <w:tcBorders>
              <w:top w:val="single" w:sz="4" w:space="0" w:color="auto"/>
            </w:tcBorders>
            <w:shd w:val="clear" w:color="auto" w:fill="BFBFBF" w:themeFill="background1" w:themeFillShade="BF"/>
            <w:tcMar>
              <w:top w:w="15" w:type="dxa"/>
              <w:left w:w="108" w:type="dxa"/>
              <w:bottom w:w="0" w:type="dxa"/>
              <w:right w:w="108" w:type="dxa"/>
            </w:tcMar>
            <w:vAlign w:val="center"/>
            <w:hideMark/>
          </w:tcPr>
          <w:p w14:paraId="7B572E1A" w14:textId="77777777" w:rsidR="00AA6C15" w:rsidRPr="00AA6C15" w:rsidRDefault="00AA6C15" w:rsidP="00D170F6">
            <w:pPr>
              <w:tabs>
                <w:tab w:val="num" w:pos="720"/>
                <w:tab w:val="left" w:pos="1560"/>
              </w:tabs>
              <w:jc w:val="right"/>
              <w:rPr>
                <w:rFonts w:ascii="Times New Roman" w:eastAsia="Times New Roman"/>
                <w:sz w:val="22"/>
                <w:szCs w:val="22"/>
                <w:lang w:val="en-GB"/>
              </w:rPr>
            </w:pPr>
            <w:r w:rsidRPr="00AA6C15">
              <w:rPr>
                <w:rFonts w:ascii="Times New Roman" w:eastAsia="Times New Roman"/>
                <w:sz w:val="22"/>
                <w:szCs w:val="22"/>
                <w:lang w:val="en-GB"/>
              </w:rPr>
              <w:t>25,0</w:t>
            </w:r>
          </w:p>
          <w:p w14:paraId="33B5FF00" w14:textId="35242E76" w:rsidR="00AA6C15" w:rsidRPr="00624166" w:rsidRDefault="00AA6C15" w:rsidP="00D170F6">
            <w:pPr>
              <w:tabs>
                <w:tab w:val="num" w:pos="720"/>
                <w:tab w:val="left" w:pos="1560"/>
              </w:tabs>
              <w:jc w:val="right"/>
              <w:rPr>
                <w:rFonts w:ascii="Times New Roman" w:eastAsia="Times New Roman"/>
                <w:b/>
                <w:sz w:val="22"/>
                <w:szCs w:val="22"/>
                <w:lang w:val="lt-LT"/>
              </w:rPr>
            </w:pPr>
            <w:r w:rsidRPr="00F6780F">
              <w:rPr>
                <w:rFonts w:ascii="Times New Roman" w:eastAsia="Times New Roman"/>
                <w:i/>
                <w:sz w:val="16"/>
                <w:szCs w:val="16"/>
                <w:lang w:val="lt-LT"/>
              </w:rPr>
              <w:t>(</w:t>
            </w:r>
            <w:r>
              <w:rPr>
                <w:rFonts w:ascii="Times New Roman" w:eastAsia="Times New Roman"/>
                <w:i/>
                <w:sz w:val="16"/>
                <w:szCs w:val="16"/>
                <w:lang w:val="lt-LT"/>
              </w:rPr>
              <w:t>Galioja</w:t>
            </w:r>
            <w:r w:rsidRPr="00F6780F">
              <w:rPr>
                <w:rFonts w:ascii="Times New Roman" w:eastAsia="Times New Roman"/>
                <w:i/>
                <w:sz w:val="16"/>
                <w:szCs w:val="16"/>
                <w:lang w:val="lt-LT"/>
              </w:rPr>
              <w:t>)</w:t>
            </w:r>
          </w:p>
        </w:tc>
      </w:tr>
      <w:tr w:rsidR="00AA6C15" w:rsidRPr="00CD720C" w14:paraId="7D5F124D" w14:textId="77777777" w:rsidTr="00AA6C15">
        <w:trPr>
          <w:cantSplit/>
          <w:trHeight w:val="896"/>
        </w:trPr>
        <w:tc>
          <w:tcPr>
            <w:tcW w:w="1980" w:type="dxa"/>
            <w:vMerge/>
            <w:tcBorders>
              <w:top w:val="single" w:sz="4" w:space="0" w:color="auto"/>
            </w:tcBorders>
            <w:shd w:val="clear" w:color="auto" w:fill="D9D9D9" w:themeFill="background1" w:themeFillShade="D9"/>
            <w:tcMar>
              <w:top w:w="15" w:type="dxa"/>
              <w:left w:w="108" w:type="dxa"/>
              <w:bottom w:w="0" w:type="dxa"/>
              <w:right w:w="108" w:type="dxa"/>
            </w:tcMar>
            <w:vAlign w:val="center"/>
          </w:tcPr>
          <w:p w14:paraId="02917E4F" w14:textId="77777777" w:rsidR="00AA6C15" w:rsidRPr="00CD720C" w:rsidRDefault="00AA6C15" w:rsidP="00D170F6">
            <w:pPr>
              <w:tabs>
                <w:tab w:val="num" w:pos="720"/>
                <w:tab w:val="left" w:pos="1560"/>
              </w:tabs>
              <w:rPr>
                <w:rFonts w:ascii="Times New Roman" w:eastAsia="Times New Roman"/>
                <w:b/>
                <w:bCs/>
                <w:sz w:val="22"/>
                <w:szCs w:val="22"/>
                <w:lang w:val="lt-LT"/>
              </w:rPr>
            </w:pPr>
          </w:p>
        </w:tc>
        <w:tc>
          <w:tcPr>
            <w:tcW w:w="2977" w:type="dxa"/>
            <w:vMerge/>
            <w:shd w:val="clear" w:color="auto" w:fill="D9D9D9" w:themeFill="background1" w:themeFillShade="D9"/>
            <w:tcMar>
              <w:top w:w="15" w:type="dxa"/>
              <w:left w:w="108" w:type="dxa"/>
              <w:bottom w:w="0" w:type="dxa"/>
              <w:right w:w="108" w:type="dxa"/>
            </w:tcMar>
            <w:vAlign w:val="center"/>
          </w:tcPr>
          <w:p w14:paraId="22A73D72" w14:textId="77777777" w:rsidR="00AA6C15" w:rsidRPr="00CD720C" w:rsidRDefault="00AA6C15" w:rsidP="00D170F6">
            <w:pPr>
              <w:tabs>
                <w:tab w:val="num" w:pos="720"/>
                <w:tab w:val="left" w:pos="1560"/>
              </w:tabs>
              <w:rPr>
                <w:rFonts w:ascii="Times New Roman" w:eastAsia="Times New Roman"/>
                <w:sz w:val="22"/>
                <w:szCs w:val="22"/>
                <w:lang w:val="lt-LT"/>
              </w:rPr>
            </w:pPr>
          </w:p>
        </w:tc>
        <w:tc>
          <w:tcPr>
            <w:tcW w:w="1134" w:type="dxa"/>
            <w:vMerge/>
            <w:shd w:val="clear" w:color="auto" w:fill="D9D9D9" w:themeFill="background1" w:themeFillShade="D9"/>
            <w:tcMar>
              <w:top w:w="15" w:type="dxa"/>
              <w:left w:w="108" w:type="dxa"/>
              <w:bottom w:w="0" w:type="dxa"/>
              <w:right w:w="108" w:type="dxa"/>
            </w:tcMar>
            <w:vAlign w:val="center"/>
          </w:tcPr>
          <w:p w14:paraId="04ED005B" w14:textId="77777777" w:rsidR="00AA6C15" w:rsidRPr="00CD720C" w:rsidRDefault="00AA6C15" w:rsidP="00D170F6">
            <w:pPr>
              <w:tabs>
                <w:tab w:val="num" w:pos="720"/>
                <w:tab w:val="left" w:pos="1560"/>
              </w:tabs>
              <w:jc w:val="right"/>
              <w:rPr>
                <w:rFonts w:ascii="Times New Roman" w:eastAsia="Times New Roman"/>
                <w:sz w:val="22"/>
                <w:szCs w:val="22"/>
                <w:lang w:val="lt-LT"/>
              </w:rPr>
            </w:pPr>
          </w:p>
        </w:tc>
        <w:tc>
          <w:tcPr>
            <w:tcW w:w="1134" w:type="dxa"/>
            <w:vMerge/>
            <w:shd w:val="clear" w:color="auto" w:fill="D9D9D9" w:themeFill="background1" w:themeFillShade="D9"/>
            <w:tcMar>
              <w:top w:w="15" w:type="dxa"/>
              <w:left w:w="108" w:type="dxa"/>
              <w:bottom w:w="0" w:type="dxa"/>
              <w:right w:w="108" w:type="dxa"/>
            </w:tcMar>
            <w:vAlign w:val="center"/>
          </w:tcPr>
          <w:p w14:paraId="1333678C" w14:textId="77777777" w:rsidR="00AA6C15" w:rsidRDefault="00AA6C15" w:rsidP="00D170F6">
            <w:pPr>
              <w:tabs>
                <w:tab w:val="num" w:pos="720"/>
                <w:tab w:val="left" w:pos="1560"/>
              </w:tabs>
              <w:jc w:val="right"/>
              <w:rPr>
                <w:rFonts w:ascii="Times New Roman" w:eastAsia="Times New Roman"/>
                <w:sz w:val="22"/>
                <w:szCs w:val="22"/>
                <w:lang w:val="en-GB"/>
              </w:rPr>
            </w:pPr>
          </w:p>
        </w:tc>
        <w:tc>
          <w:tcPr>
            <w:tcW w:w="1247" w:type="dxa"/>
            <w:tcBorders>
              <w:top w:val="single" w:sz="4" w:space="0" w:color="auto"/>
            </w:tcBorders>
            <w:shd w:val="clear" w:color="auto" w:fill="FFC000"/>
            <w:tcMar>
              <w:top w:w="15" w:type="dxa"/>
              <w:left w:w="108" w:type="dxa"/>
              <w:bottom w:w="0" w:type="dxa"/>
              <w:right w:w="108" w:type="dxa"/>
            </w:tcMar>
            <w:vAlign w:val="center"/>
          </w:tcPr>
          <w:p w14:paraId="36181A16" w14:textId="4BC605E5" w:rsidR="00AA6C15" w:rsidRDefault="00AA6C15" w:rsidP="00D170F6">
            <w:pPr>
              <w:tabs>
                <w:tab w:val="num" w:pos="720"/>
                <w:tab w:val="left" w:pos="1560"/>
              </w:tabs>
              <w:jc w:val="right"/>
              <w:rPr>
                <w:rFonts w:ascii="Times New Roman" w:eastAsia="Times New Roman"/>
                <w:sz w:val="22"/>
                <w:szCs w:val="22"/>
                <w:lang w:val="en-GB"/>
              </w:rPr>
            </w:pPr>
            <w:r>
              <w:rPr>
                <w:rFonts w:ascii="Times New Roman" w:eastAsia="Times New Roman"/>
                <w:sz w:val="22"/>
                <w:szCs w:val="22"/>
                <w:lang w:val="en-GB"/>
              </w:rPr>
              <w:t>6,9</w:t>
            </w:r>
          </w:p>
        </w:tc>
        <w:tc>
          <w:tcPr>
            <w:tcW w:w="1134" w:type="dxa"/>
            <w:tcBorders>
              <w:top w:val="single" w:sz="4" w:space="0" w:color="auto"/>
            </w:tcBorders>
            <w:shd w:val="clear" w:color="auto" w:fill="BFBFBF" w:themeFill="background1" w:themeFillShade="BF"/>
            <w:tcMar>
              <w:top w:w="15" w:type="dxa"/>
              <w:left w:w="108" w:type="dxa"/>
              <w:bottom w:w="0" w:type="dxa"/>
              <w:right w:w="108" w:type="dxa"/>
            </w:tcMar>
            <w:vAlign w:val="center"/>
          </w:tcPr>
          <w:p w14:paraId="69E2B4E5" w14:textId="77777777" w:rsidR="00AA6C15" w:rsidRPr="00AA6C15" w:rsidRDefault="00AA6C15" w:rsidP="00AA6C15">
            <w:pPr>
              <w:tabs>
                <w:tab w:val="num" w:pos="720"/>
                <w:tab w:val="left" w:pos="1560"/>
              </w:tabs>
              <w:jc w:val="right"/>
              <w:rPr>
                <w:rFonts w:ascii="Times New Roman" w:eastAsia="Times New Roman"/>
                <w:sz w:val="22"/>
                <w:szCs w:val="22"/>
                <w:lang w:val="lt-LT"/>
              </w:rPr>
            </w:pPr>
            <w:r w:rsidRPr="00AA6C15">
              <w:rPr>
                <w:rFonts w:ascii="Times New Roman" w:eastAsia="Times New Roman"/>
                <w:sz w:val="22"/>
                <w:szCs w:val="22"/>
                <w:lang w:val="lt-LT"/>
              </w:rPr>
              <w:t>15,0</w:t>
            </w:r>
          </w:p>
          <w:p w14:paraId="55AD889F" w14:textId="394291E1" w:rsidR="00AA6C15" w:rsidRPr="00624166" w:rsidRDefault="00AA6C15" w:rsidP="00AA6C15">
            <w:pPr>
              <w:tabs>
                <w:tab w:val="num" w:pos="720"/>
                <w:tab w:val="left" w:pos="1560"/>
              </w:tabs>
              <w:jc w:val="right"/>
              <w:rPr>
                <w:rFonts w:ascii="Times New Roman" w:eastAsia="Times New Roman"/>
                <w:strike/>
                <w:sz w:val="22"/>
                <w:szCs w:val="22"/>
                <w:lang w:val="en-GB"/>
              </w:rPr>
            </w:pPr>
            <w:r w:rsidRPr="00F6780F">
              <w:rPr>
                <w:rFonts w:ascii="Times New Roman" w:eastAsia="Times New Roman"/>
                <w:i/>
                <w:sz w:val="16"/>
                <w:szCs w:val="16"/>
                <w:lang w:val="lt-LT"/>
              </w:rPr>
              <w:t>(Deramasi su EK</w:t>
            </w:r>
            <w:r>
              <w:rPr>
                <w:rFonts w:ascii="Times New Roman" w:eastAsia="Times New Roman"/>
                <w:i/>
                <w:sz w:val="16"/>
                <w:szCs w:val="16"/>
                <w:lang w:val="lt-LT"/>
              </w:rPr>
              <w:t xml:space="preserve"> dėl keitimo</w:t>
            </w:r>
            <w:r w:rsidRPr="00F6780F">
              <w:rPr>
                <w:rFonts w:ascii="Times New Roman" w:eastAsia="Times New Roman"/>
                <w:i/>
                <w:sz w:val="16"/>
                <w:szCs w:val="16"/>
                <w:lang w:val="lt-LT"/>
              </w:rPr>
              <w:t>)</w:t>
            </w:r>
          </w:p>
        </w:tc>
      </w:tr>
      <w:tr w:rsidR="00D170F6" w:rsidRPr="00CD720C" w14:paraId="3588B059" w14:textId="77777777" w:rsidTr="00866B92">
        <w:trPr>
          <w:cantSplit/>
          <w:trHeight w:val="20"/>
        </w:trPr>
        <w:tc>
          <w:tcPr>
            <w:tcW w:w="1980" w:type="dxa"/>
            <w:vMerge/>
            <w:shd w:val="clear" w:color="auto" w:fill="D9D9D9" w:themeFill="background1" w:themeFillShade="D9"/>
            <w:vAlign w:val="center"/>
            <w:hideMark/>
          </w:tcPr>
          <w:p w14:paraId="0D6A2A79"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shd w:val="clear" w:color="auto" w:fill="D9D9D9" w:themeFill="background1" w:themeFillShade="D9"/>
            <w:tcMar>
              <w:top w:w="15" w:type="dxa"/>
              <w:left w:w="108" w:type="dxa"/>
              <w:bottom w:w="0" w:type="dxa"/>
              <w:right w:w="108" w:type="dxa"/>
            </w:tcMar>
            <w:vAlign w:val="center"/>
            <w:hideMark/>
          </w:tcPr>
          <w:p w14:paraId="3CEC1E2D" w14:textId="77777777"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Veiksmų, skirtų gerinti paslaugas ir infrastruktūrą, skaičius</w:t>
            </w:r>
          </w:p>
        </w:tc>
        <w:tc>
          <w:tcPr>
            <w:tcW w:w="1134" w:type="dxa"/>
            <w:shd w:val="clear" w:color="auto" w:fill="D9D9D9" w:themeFill="background1" w:themeFillShade="D9"/>
            <w:tcMar>
              <w:top w:w="15" w:type="dxa"/>
              <w:left w:w="108" w:type="dxa"/>
              <w:bottom w:w="0" w:type="dxa"/>
              <w:right w:w="108" w:type="dxa"/>
            </w:tcMar>
            <w:vAlign w:val="center"/>
            <w:hideMark/>
          </w:tcPr>
          <w:p w14:paraId="494E835B" w14:textId="77777777"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7 046</w:t>
            </w:r>
          </w:p>
        </w:tc>
        <w:tc>
          <w:tcPr>
            <w:tcW w:w="1134" w:type="dxa"/>
            <w:shd w:val="clear" w:color="auto" w:fill="D9D9D9" w:themeFill="background1" w:themeFillShade="D9"/>
            <w:tcMar>
              <w:top w:w="15" w:type="dxa"/>
              <w:left w:w="108" w:type="dxa"/>
              <w:bottom w:w="0" w:type="dxa"/>
              <w:right w:w="108" w:type="dxa"/>
            </w:tcMar>
            <w:vAlign w:val="center"/>
            <w:hideMark/>
          </w:tcPr>
          <w:p w14:paraId="6412202F" w14:textId="568E7FFE"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en-GB"/>
              </w:rPr>
              <w:t>2 3</w:t>
            </w:r>
            <w:r w:rsidR="00B33E05">
              <w:rPr>
                <w:rFonts w:ascii="Times New Roman" w:eastAsia="Times New Roman"/>
                <w:sz w:val="22"/>
                <w:szCs w:val="22"/>
                <w:lang w:val="en-GB"/>
              </w:rPr>
              <w:t>95</w:t>
            </w:r>
          </w:p>
        </w:tc>
        <w:tc>
          <w:tcPr>
            <w:tcW w:w="1247" w:type="dxa"/>
            <w:shd w:val="clear" w:color="auto" w:fill="92D050"/>
            <w:tcMar>
              <w:top w:w="15" w:type="dxa"/>
              <w:left w:w="108" w:type="dxa"/>
              <w:bottom w:w="0" w:type="dxa"/>
              <w:right w:w="108" w:type="dxa"/>
            </w:tcMar>
            <w:vAlign w:val="center"/>
            <w:hideMark/>
          </w:tcPr>
          <w:p w14:paraId="26699B05" w14:textId="05FA0C1A" w:rsidR="00D170F6" w:rsidRPr="00CD720C" w:rsidRDefault="00E97AF6" w:rsidP="00D170F6">
            <w:pPr>
              <w:tabs>
                <w:tab w:val="num" w:pos="720"/>
                <w:tab w:val="left" w:pos="1560"/>
              </w:tabs>
              <w:jc w:val="right"/>
              <w:rPr>
                <w:rFonts w:ascii="Times New Roman" w:eastAsia="Times New Roman"/>
                <w:sz w:val="22"/>
                <w:szCs w:val="22"/>
                <w:lang w:val="lt-LT"/>
              </w:rPr>
            </w:pPr>
            <w:r>
              <w:rPr>
                <w:rFonts w:ascii="Times New Roman" w:eastAsia="Times New Roman"/>
                <w:sz w:val="22"/>
                <w:szCs w:val="22"/>
                <w:lang w:val="en-GB"/>
              </w:rPr>
              <w:t>34,0</w:t>
            </w:r>
          </w:p>
        </w:tc>
        <w:tc>
          <w:tcPr>
            <w:tcW w:w="1134" w:type="dxa"/>
            <w:shd w:val="clear" w:color="auto" w:fill="BFBFBF" w:themeFill="background1" w:themeFillShade="BF"/>
            <w:tcMar>
              <w:top w:w="15" w:type="dxa"/>
              <w:left w:w="108" w:type="dxa"/>
              <w:bottom w:w="0" w:type="dxa"/>
              <w:right w:w="108" w:type="dxa"/>
            </w:tcMar>
            <w:vAlign w:val="center"/>
            <w:hideMark/>
          </w:tcPr>
          <w:p w14:paraId="3C6CD087" w14:textId="4E4F4992"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en-GB"/>
              </w:rPr>
              <w:t>25,0</w:t>
            </w:r>
          </w:p>
        </w:tc>
      </w:tr>
      <w:tr w:rsidR="00D170F6" w:rsidRPr="00CD720C" w14:paraId="6865E241" w14:textId="77777777" w:rsidTr="00866B92">
        <w:trPr>
          <w:cantSplit/>
          <w:trHeight w:val="20"/>
        </w:trPr>
        <w:tc>
          <w:tcPr>
            <w:tcW w:w="1980" w:type="dxa"/>
            <w:vMerge/>
            <w:shd w:val="clear" w:color="auto" w:fill="D9D9D9" w:themeFill="background1" w:themeFillShade="D9"/>
            <w:vAlign w:val="center"/>
            <w:hideMark/>
          </w:tcPr>
          <w:p w14:paraId="57E20FFC" w14:textId="77777777" w:rsidR="00D170F6" w:rsidRPr="00CD720C" w:rsidRDefault="00D170F6" w:rsidP="00D170F6">
            <w:pPr>
              <w:tabs>
                <w:tab w:val="num" w:pos="720"/>
                <w:tab w:val="left" w:pos="1560"/>
              </w:tabs>
              <w:rPr>
                <w:rFonts w:ascii="Times New Roman" w:eastAsia="Times New Roman"/>
                <w:b/>
                <w:sz w:val="22"/>
                <w:szCs w:val="22"/>
                <w:lang w:val="lt-LT"/>
              </w:rPr>
            </w:pPr>
          </w:p>
        </w:tc>
        <w:tc>
          <w:tcPr>
            <w:tcW w:w="2977" w:type="dxa"/>
            <w:shd w:val="clear" w:color="auto" w:fill="D9D9D9" w:themeFill="background1" w:themeFillShade="D9"/>
            <w:tcMar>
              <w:top w:w="15" w:type="dxa"/>
              <w:left w:w="108" w:type="dxa"/>
              <w:bottom w:w="0" w:type="dxa"/>
              <w:right w:w="108" w:type="dxa"/>
            </w:tcMar>
            <w:vAlign w:val="center"/>
            <w:hideMark/>
          </w:tcPr>
          <w:p w14:paraId="168C2598" w14:textId="77777777" w:rsidR="00D170F6" w:rsidRPr="00CD720C" w:rsidRDefault="00D170F6" w:rsidP="00D170F6">
            <w:pPr>
              <w:tabs>
                <w:tab w:val="num" w:pos="720"/>
                <w:tab w:val="left" w:pos="1560"/>
              </w:tabs>
              <w:rPr>
                <w:rFonts w:ascii="Times New Roman" w:eastAsia="Times New Roman"/>
                <w:sz w:val="22"/>
                <w:szCs w:val="22"/>
                <w:lang w:val="lt-LT"/>
              </w:rPr>
            </w:pPr>
            <w:r w:rsidRPr="00CD720C">
              <w:rPr>
                <w:rFonts w:ascii="Times New Roman" w:eastAsia="Times New Roman"/>
                <w:sz w:val="22"/>
                <w:szCs w:val="22"/>
                <w:lang w:val="lt-LT"/>
              </w:rPr>
              <w:t>Gyventojų skaičius, tenkantis VVG</w:t>
            </w:r>
          </w:p>
        </w:tc>
        <w:tc>
          <w:tcPr>
            <w:tcW w:w="1134" w:type="dxa"/>
            <w:shd w:val="clear" w:color="auto" w:fill="D9D9D9" w:themeFill="background1" w:themeFillShade="D9"/>
            <w:tcMar>
              <w:top w:w="15" w:type="dxa"/>
              <w:left w:w="108" w:type="dxa"/>
              <w:bottom w:w="0" w:type="dxa"/>
              <w:right w:w="108" w:type="dxa"/>
            </w:tcMar>
            <w:vAlign w:val="center"/>
            <w:hideMark/>
          </w:tcPr>
          <w:p w14:paraId="198AF30A" w14:textId="77777777"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lt-LT"/>
              </w:rPr>
              <w:t>1 051 768</w:t>
            </w:r>
          </w:p>
        </w:tc>
        <w:tc>
          <w:tcPr>
            <w:tcW w:w="1134" w:type="dxa"/>
            <w:shd w:val="clear" w:color="auto" w:fill="D9D9D9" w:themeFill="background1" w:themeFillShade="D9"/>
            <w:tcMar>
              <w:top w:w="15" w:type="dxa"/>
              <w:left w:w="108" w:type="dxa"/>
              <w:bottom w:w="0" w:type="dxa"/>
              <w:right w:w="108" w:type="dxa"/>
            </w:tcMar>
            <w:vAlign w:val="center"/>
            <w:hideMark/>
          </w:tcPr>
          <w:p w14:paraId="029A90AB" w14:textId="77777777"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en-GB"/>
              </w:rPr>
              <w:t>1 075 826</w:t>
            </w:r>
          </w:p>
        </w:tc>
        <w:tc>
          <w:tcPr>
            <w:tcW w:w="1247" w:type="dxa"/>
            <w:shd w:val="clear" w:color="auto" w:fill="92D050"/>
            <w:tcMar>
              <w:top w:w="15" w:type="dxa"/>
              <w:left w:w="108" w:type="dxa"/>
              <w:bottom w:w="0" w:type="dxa"/>
              <w:right w:w="108" w:type="dxa"/>
            </w:tcMar>
            <w:vAlign w:val="center"/>
            <w:hideMark/>
          </w:tcPr>
          <w:p w14:paraId="7EAC8EEA" w14:textId="77777777"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en-GB"/>
              </w:rPr>
              <w:t>102,29</w:t>
            </w:r>
          </w:p>
        </w:tc>
        <w:tc>
          <w:tcPr>
            <w:tcW w:w="1134" w:type="dxa"/>
            <w:shd w:val="clear" w:color="auto" w:fill="BFBFBF" w:themeFill="background1" w:themeFillShade="BF"/>
            <w:tcMar>
              <w:top w:w="15" w:type="dxa"/>
              <w:left w:w="108" w:type="dxa"/>
              <w:bottom w:w="0" w:type="dxa"/>
              <w:right w:w="108" w:type="dxa"/>
            </w:tcMar>
            <w:vAlign w:val="center"/>
            <w:hideMark/>
          </w:tcPr>
          <w:p w14:paraId="3CF399F3" w14:textId="1C311988" w:rsidR="00D170F6" w:rsidRPr="00CD720C" w:rsidRDefault="00D170F6" w:rsidP="00D170F6">
            <w:pPr>
              <w:tabs>
                <w:tab w:val="num" w:pos="720"/>
                <w:tab w:val="left" w:pos="1560"/>
              </w:tabs>
              <w:jc w:val="right"/>
              <w:rPr>
                <w:rFonts w:ascii="Times New Roman" w:eastAsia="Times New Roman"/>
                <w:sz w:val="22"/>
                <w:szCs w:val="22"/>
                <w:lang w:val="lt-LT"/>
              </w:rPr>
            </w:pPr>
            <w:r w:rsidRPr="00CD720C">
              <w:rPr>
                <w:rFonts w:ascii="Times New Roman" w:eastAsia="Times New Roman"/>
                <w:sz w:val="22"/>
                <w:szCs w:val="22"/>
                <w:lang w:val="en-GB"/>
              </w:rPr>
              <w:t>100,0</w:t>
            </w:r>
          </w:p>
        </w:tc>
      </w:tr>
    </w:tbl>
    <w:p w14:paraId="1FF0E87B" w14:textId="51C96A22" w:rsidR="0036267B" w:rsidRPr="00CD720C" w:rsidRDefault="0036267B" w:rsidP="00E557A9">
      <w:pPr>
        <w:tabs>
          <w:tab w:val="num" w:pos="720"/>
          <w:tab w:val="left" w:pos="1560"/>
        </w:tabs>
        <w:spacing w:line="276" w:lineRule="auto"/>
        <w:rPr>
          <w:rFonts w:ascii="Times New Roman" w:eastAsia="Times New Roman"/>
          <w:b/>
          <w:sz w:val="24"/>
        </w:rPr>
      </w:pPr>
    </w:p>
    <w:p w14:paraId="1037ABE9" w14:textId="25F5B145" w:rsidR="006973E3" w:rsidRPr="00CD720C" w:rsidRDefault="006973E3" w:rsidP="00166EA2">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Cs/>
          <w:sz w:val="24"/>
          <w:szCs w:val="24"/>
        </w:rPr>
        <w:t xml:space="preserve">Programos </w:t>
      </w:r>
      <w:r w:rsidR="00D53546" w:rsidRPr="00CD720C">
        <w:rPr>
          <w:rFonts w:ascii="Times New Roman" w:hAnsi="Times New Roman"/>
          <w:b/>
          <w:bCs/>
          <w:sz w:val="24"/>
          <w:szCs w:val="24"/>
        </w:rPr>
        <w:t>2</w:t>
      </w:r>
      <w:r w:rsidR="00166EA2" w:rsidRPr="00CD720C">
        <w:rPr>
          <w:rFonts w:ascii="Times New Roman" w:hAnsi="Times New Roman"/>
          <w:b/>
          <w:bCs/>
          <w:sz w:val="24"/>
          <w:szCs w:val="24"/>
        </w:rPr>
        <w:t xml:space="preserve"> prioriteto</w:t>
      </w:r>
      <w:r w:rsidR="00166EA2" w:rsidRPr="00CD720C">
        <w:rPr>
          <w:rFonts w:ascii="Times New Roman" w:hAnsi="Times New Roman"/>
          <w:bCs/>
          <w:sz w:val="24"/>
          <w:szCs w:val="24"/>
        </w:rPr>
        <w:t xml:space="preserve"> (</w:t>
      </w:r>
      <w:r w:rsidR="001D7885" w:rsidRPr="00CD720C">
        <w:rPr>
          <w:rFonts w:ascii="Times New Roman" w:hAnsi="Times New Roman"/>
          <w:bCs/>
          <w:sz w:val="24"/>
          <w:szCs w:val="24"/>
        </w:rPr>
        <w:t>„Ž</w:t>
      </w:r>
      <w:r w:rsidR="00166EA2" w:rsidRPr="00CD720C">
        <w:rPr>
          <w:rFonts w:ascii="Times New Roman" w:hAnsi="Times New Roman"/>
          <w:bCs/>
          <w:sz w:val="24"/>
          <w:szCs w:val="24"/>
        </w:rPr>
        <w:t>emės ūkio konkurencingumas ir tvarus miškų valdymas</w:t>
      </w:r>
      <w:r w:rsidR="001D7885" w:rsidRPr="00CD720C">
        <w:rPr>
          <w:rFonts w:ascii="Times New Roman" w:hAnsi="Times New Roman"/>
          <w:bCs/>
          <w:sz w:val="24"/>
          <w:szCs w:val="24"/>
        </w:rPr>
        <w:t>“</w:t>
      </w:r>
      <w:r w:rsidR="00166EA2" w:rsidRPr="00CD720C">
        <w:rPr>
          <w:rFonts w:ascii="Times New Roman" w:hAnsi="Times New Roman"/>
          <w:bCs/>
          <w:sz w:val="24"/>
          <w:szCs w:val="24"/>
        </w:rPr>
        <w:t xml:space="preserve">) </w:t>
      </w:r>
      <w:r w:rsidRPr="00CD720C">
        <w:rPr>
          <w:rFonts w:ascii="Times New Roman" w:hAnsi="Times New Roman"/>
          <w:b/>
          <w:bCs/>
          <w:sz w:val="24"/>
          <w:szCs w:val="24"/>
        </w:rPr>
        <w:t xml:space="preserve">ir </w:t>
      </w:r>
      <w:r w:rsidR="00D53546" w:rsidRPr="00CD720C">
        <w:rPr>
          <w:rFonts w:ascii="Times New Roman" w:hAnsi="Times New Roman"/>
          <w:b/>
          <w:bCs/>
          <w:sz w:val="24"/>
          <w:szCs w:val="24"/>
        </w:rPr>
        <w:t>4</w:t>
      </w:r>
      <w:r w:rsidRPr="00CD720C">
        <w:rPr>
          <w:rFonts w:ascii="Times New Roman" w:hAnsi="Times New Roman"/>
          <w:b/>
          <w:bCs/>
          <w:sz w:val="24"/>
          <w:szCs w:val="24"/>
        </w:rPr>
        <w:t xml:space="preserve"> prioriteto</w:t>
      </w:r>
      <w:r w:rsidRPr="00CD720C">
        <w:rPr>
          <w:rFonts w:ascii="Times New Roman" w:hAnsi="Times New Roman"/>
          <w:bCs/>
          <w:sz w:val="24"/>
          <w:szCs w:val="24"/>
        </w:rPr>
        <w:t xml:space="preserve"> (</w:t>
      </w:r>
      <w:r w:rsidR="001D7885" w:rsidRPr="00CD720C">
        <w:rPr>
          <w:rFonts w:ascii="Times New Roman" w:hAnsi="Times New Roman"/>
          <w:bCs/>
          <w:sz w:val="24"/>
          <w:szCs w:val="24"/>
        </w:rPr>
        <w:t>„A</w:t>
      </w:r>
      <w:r w:rsidRPr="00CD720C">
        <w:rPr>
          <w:rFonts w:ascii="Times New Roman" w:hAnsi="Times New Roman"/>
          <w:bCs/>
          <w:sz w:val="24"/>
          <w:szCs w:val="24"/>
        </w:rPr>
        <w:t>plinkosauga</w:t>
      </w:r>
      <w:r w:rsidR="001D7885" w:rsidRPr="00CD720C">
        <w:rPr>
          <w:rFonts w:ascii="Times New Roman" w:hAnsi="Times New Roman"/>
          <w:bCs/>
          <w:sz w:val="24"/>
          <w:szCs w:val="24"/>
        </w:rPr>
        <w:t>“</w:t>
      </w:r>
      <w:r w:rsidRPr="00CD720C">
        <w:rPr>
          <w:rFonts w:ascii="Times New Roman" w:hAnsi="Times New Roman"/>
          <w:bCs/>
          <w:sz w:val="24"/>
          <w:szCs w:val="24"/>
        </w:rPr>
        <w:t xml:space="preserve">) </w:t>
      </w:r>
      <w:r w:rsidR="00166EA2" w:rsidRPr="00CD720C">
        <w:rPr>
          <w:rFonts w:ascii="Times New Roman" w:hAnsi="Times New Roman"/>
          <w:b/>
          <w:bCs/>
          <w:sz w:val="24"/>
          <w:szCs w:val="24"/>
        </w:rPr>
        <w:t>orientyrai pasiekti.</w:t>
      </w:r>
    </w:p>
    <w:p w14:paraId="74FB7A3D" w14:textId="6E8D7DED" w:rsidR="00611A59" w:rsidRPr="00CD720C" w:rsidRDefault="00611A59" w:rsidP="00166EA2">
      <w:pPr>
        <w:pStyle w:val="Sraopastraipa"/>
        <w:spacing w:line="276" w:lineRule="auto"/>
        <w:ind w:left="0" w:firstLine="1134"/>
        <w:jc w:val="both"/>
        <w:rPr>
          <w:rFonts w:ascii="Times New Roman" w:hAnsi="Times New Roman"/>
          <w:b/>
          <w:bCs/>
          <w:sz w:val="24"/>
          <w:szCs w:val="24"/>
        </w:rPr>
      </w:pPr>
    </w:p>
    <w:p w14:paraId="4524F265" w14:textId="3EC4725B" w:rsidR="00611A59" w:rsidRPr="00CD720C" w:rsidRDefault="00D139F4" w:rsidP="00166EA2">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2.1. Trečio prioriteto (P3) įgyvendinimo problemos ir vadovaujančios institucijos veiksmai</w:t>
      </w:r>
    </w:p>
    <w:p w14:paraId="6B2C90F8" w14:textId="77777777" w:rsidR="002E09F5" w:rsidRPr="00CD720C" w:rsidRDefault="00D139F4" w:rsidP="002700F3">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Problema</w:t>
      </w:r>
      <w:r w:rsidR="002E09F5" w:rsidRPr="00CD720C">
        <w:rPr>
          <w:rFonts w:ascii="Times New Roman" w:hAnsi="Times New Roman"/>
          <w:b/>
          <w:bCs/>
          <w:sz w:val="24"/>
          <w:szCs w:val="24"/>
        </w:rPr>
        <w:t>:</w:t>
      </w:r>
    </w:p>
    <w:p w14:paraId="1F36BC1A" w14:textId="77777777" w:rsidR="00086D68" w:rsidRDefault="00D139F4"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Priemonė „Rizikos valdymas“, pagal kurią kompensuojamos pasėlių ir gyvūnų draudimo įmokos, įgyvendinama lėtai</w:t>
      </w:r>
      <w:r w:rsidR="00086D68">
        <w:rPr>
          <w:rFonts w:ascii="Times New Roman" w:hAnsi="Times New Roman"/>
          <w:bCs/>
          <w:sz w:val="24"/>
          <w:szCs w:val="24"/>
        </w:rPr>
        <w:t>;</w:t>
      </w:r>
    </w:p>
    <w:p w14:paraId="18EE5F0D" w14:textId="3EB9D73C" w:rsidR="002E09F5" w:rsidRPr="00CD720C" w:rsidRDefault="00086D68" w:rsidP="00086D68">
      <w:pPr>
        <w:pStyle w:val="Sraopastraipa"/>
        <w:numPr>
          <w:ilvl w:val="0"/>
          <w:numId w:val="1"/>
        </w:numPr>
        <w:spacing w:line="276" w:lineRule="auto"/>
        <w:jc w:val="both"/>
        <w:rPr>
          <w:rFonts w:ascii="Times New Roman" w:hAnsi="Times New Roman"/>
          <w:bCs/>
          <w:sz w:val="24"/>
          <w:szCs w:val="24"/>
        </w:rPr>
      </w:pPr>
      <w:r>
        <w:rPr>
          <w:rFonts w:ascii="Times New Roman" w:hAnsi="Times New Roman"/>
          <w:bCs/>
          <w:sz w:val="24"/>
          <w:szCs w:val="24"/>
        </w:rPr>
        <w:t>Priemonės „Investicijos į materialųjį turtą“ veiklos sritis „</w:t>
      </w:r>
      <w:r w:rsidRPr="00086D68">
        <w:rPr>
          <w:rFonts w:ascii="Times New Roman" w:hAnsi="Times New Roman"/>
          <w:bCs/>
          <w:sz w:val="24"/>
          <w:szCs w:val="24"/>
        </w:rPr>
        <w:t>Parama investicijoms į žemės ūkio produktų perdirbimą, rinkodarą ir (arba) plėtrą</w:t>
      </w:r>
      <w:r>
        <w:rPr>
          <w:rFonts w:ascii="Times New Roman" w:hAnsi="Times New Roman"/>
          <w:bCs/>
          <w:sz w:val="24"/>
          <w:szCs w:val="24"/>
        </w:rPr>
        <w:t>“</w:t>
      </w:r>
      <w:r w:rsidR="00D139F4" w:rsidRPr="00CD720C">
        <w:rPr>
          <w:rFonts w:ascii="Times New Roman" w:hAnsi="Times New Roman"/>
          <w:bCs/>
          <w:sz w:val="24"/>
          <w:szCs w:val="24"/>
        </w:rPr>
        <w:t xml:space="preserve"> </w:t>
      </w:r>
      <w:r>
        <w:rPr>
          <w:rFonts w:ascii="Times New Roman" w:hAnsi="Times New Roman"/>
          <w:bCs/>
          <w:sz w:val="24"/>
          <w:szCs w:val="24"/>
        </w:rPr>
        <w:t xml:space="preserve">įgyvendinama lėčiau nei tikėtasi. Paraiškos buvo renkamos tik 2015 m. Gautos 62 paraiškos. Iš jų 41 paraiška patvirtinta ir pasirašytos paramos sutartys, tačiau tik 27 </w:t>
      </w:r>
      <w:r w:rsidR="000D61A1">
        <w:rPr>
          <w:rFonts w:ascii="Times New Roman" w:hAnsi="Times New Roman"/>
          <w:bCs/>
          <w:sz w:val="24"/>
          <w:szCs w:val="24"/>
        </w:rPr>
        <w:t>projektai pradėti įgyvendinti (t. y. išmokėta bent dalis paramos).</w:t>
      </w:r>
    </w:p>
    <w:p w14:paraId="660EA8DA" w14:textId="19AD780F" w:rsidR="002E09F5" w:rsidRPr="00CD720C" w:rsidRDefault="002E09F5" w:rsidP="002E09F5">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rPr>
        <w:t>Priežastys:</w:t>
      </w:r>
    </w:p>
    <w:p w14:paraId="37141CE2" w14:textId="4912749A" w:rsidR="00154C70" w:rsidRDefault="0006779C" w:rsidP="00E83682">
      <w:pPr>
        <w:pStyle w:val="Sraopastraipa"/>
        <w:numPr>
          <w:ilvl w:val="0"/>
          <w:numId w:val="1"/>
        </w:numPr>
        <w:spacing w:line="276" w:lineRule="auto"/>
        <w:jc w:val="both"/>
        <w:rPr>
          <w:rFonts w:ascii="Times New Roman" w:hAnsi="Times New Roman"/>
          <w:bCs/>
          <w:sz w:val="24"/>
          <w:szCs w:val="24"/>
        </w:rPr>
      </w:pPr>
      <w:r>
        <w:rPr>
          <w:rFonts w:ascii="Times New Roman" w:eastAsia="Times New Roman" w:hAnsi="Times New Roman"/>
          <w:sz w:val="24"/>
          <w:szCs w:val="24"/>
        </w:rPr>
        <w:t>P</w:t>
      </w:r>
      <w:r w:rsidR="000D61A1" w:rsidRPr="000D61A1">
        <w:rPr>
          <w:rFonts w:ascii="Times New Roman" w:eastAsia="Times New Roman" w:hAnsi="Times New Roman"/>
          <w:sz w:val="24"/>
          <w:szCs w:val="24"/>
        </w:rPr>
        <w:t xml:space="preserve">riemonės </w:t>
      </w:r>
      <w:r w:rsidR="000D61A1" w:rsidRPr="000D61A1">
        <w:rPr>
          <w:rFonts w:ascii="Times New Roman" w:hAnsi="Times New Roman"/>
          <w:bCs/>
          <w:sz w:val="24"/>
          <w:szCs w:val="24"/>
        </w:rPr>
        <w:t xml:space="preserve">„Rizikos valdymas“ </w:t>
      </w:r>
      <w:r w:rsidR="00A644A8">
        <w:rPr>
          <w:rFonts w:ascii="Times New Roman" w:hAnsi="Times New Roman"/>
          <w:bCs/>
          <w:sz w:val="24"/>
          <w:szCs w:val="24"/>
        </w:rPr>
        <w:t xml:space="preserve">lėto įgyvendinimo </w:t>
      </w:r>
      <w:r w:rsidR="000D61A1" w:rsidRPr="000D61A1">
        <w:rPr>
          <w:rFonts w:ascii="Times New Roman" w:hAnsi="Times New Roman"/>
          <w:bCs/>
          <w:sz w:val="24"/>
          <w:szCs w:val="24"/>
        </w:rPr>
        <w:t>priežastys buvo pateiktos 1 ketvirčio ataskaitoje (</w:t>
      </w:r>
      <w:r w:rsidR="00154C70" w:rsidRPr="000D61A1">
        <w:rPr>
          <w:rFonts w:ascii="Times New Roman" w:eastAsia="Times New Roman" w:hAnsi="Times New Roman"/>
          <w:sz w:val="24"/>
          <w:szCs w:val="24"/>
        </w:rPr>
        <w:t>parama teikiama tik ūkinius gyvūnus apdraudus nuo pavojingų užkrečiamų ligų, kurios nėra labai dažnos</w:t>
      </w:r>
      <w:r w:rsidR="000D61A1" w:rsidRPr="000D61A1">
        <w:rPr>
          <w:rFonts w:ascii="Times New Roman" w:eastAsia="Times New Roman" w:hAnsi="Times New Roman"/>
          <w:sz w:val="24"/>
          <w:szCs w:val="24"/>
        </w:rPr>
        <w:t xml:space="preserve">; </w:t>
      </w:r>
      <w:r>
        <w:rPr>
          <w:rFonts w:ascii="Times New Roman" w:eastAsia="Times New Roman" w:hAnsi="Times New Roman"/>
          <w:sz w:val="24"/>
          <w:szCs w:val="24"/>
        </w:rPr>
        <w:t xml:space="preserve">dėl </w:t>
      </w:r>
      <w:r w:rsidR="00154C70" w:rsidRPr="000D61A1">
        <w:rPr>
          <w:rFonts w:ascii="Times New Roman" w:hAnsi="Times New Roman"/>
          <w:bCs/>
          <w:sz w:val="24"/>
          <w:szCs w:val="24"/>
        </w:rPr>
        <w:t>krizės pieno sektoriuje 2015–2017 m. šalyje žymiai sumažėjo karves laikančių ūkių skaičius;</w:t>
      </w:r>
      <w:r w:rsidR="000D61A1" w:rsidRPr="000D61A1">
        <w:rPr>
          <w:rFonts w:ascii="Times New Roman" w:hAnsi="Times New Roman"/>
          <w:bCs/>
          <w:sz w:val="24"/>
          <w:szCs w:val="24"/>
        </w:rPr>
        <w:t xml:space="preserve"> į</w:t>
      </w:r>
      <w:r w:rsidR="00154C70" w:rsidRPr="000D61A1">
        <w:rPr>
          <w:rFonts w:ascii="Times New Roman" w:hAnsi="Times New Roman"/>
          <w:sz w:val="24"/>
          <w:szCs w:val="24"/>
        </w:rPr>
        <w:t>takos taip pat turėjo afrikinio kiaulių maro 2014–2017 m. padariniai</w:t>
      </w:r>
      <w:r w:rsidR="000D61A1" w:rsidRPr="000D61A1">
        <w:rPr>
          <w:rFonts w:ascii="Times New Roman" w:hAnsi="Times New Roman"/>
          <w:sz w:val="24"/>
          <w:szCs w:val="24"/>
        </w:rPr>
        <w:t xml:space="preserve">; </w:t>
      </w:r>
      <w:r w:rsidR="000D61A1">
        <w:rPr>
          <w:rFonts w:ascii="Times New Roman" w:hAnsi="Times New Roman"/>
          <w:sz w:val="24"/>
          <w:szCs w:val="24"/>
        </w:rPr>
        <w:t>d</w:t>
      </w:r>
      <w:r w:rsidR="00154C70" w:rsidRPr="000D61A1">
        <w:rPr>
          <w:rFonts w:ascii="Times New Roman" w:hAnsi="Times New Roman"/>
          <w:bCs/>
          <w:sz w:val="24"/>
          <w:szCs w:val="24"/>
        </w:rPr>
        <w:t>ėl gana didelių pasėlių, augalų ir gyvūnų draudimo įmokų ūkininkai pasėlių iššalimo ir sausros bei gyvūnų pavojingų užkrečiamų ligų rizikas dažnai prisiima kaip savo vykdomos ūkinės veiklos rizikas</w:t>
      </w:r>
      <w:r w:rsidR="000D61A1">
        <w:rPr>
          <w:rFonts w:ascii="Times New Roman" w:hAnsi="Times New Roman"/>
          <w:bCs/>
          <w:sz w:val="24"/>
          <w:szCs w:val="24"/>
        </w:rPr>
        <w:t xml:space="preserve"> ir kt.)</w:t>
      </w:r>
      <w:r w:rsidR="00154C70" w:rsidRPr="000D61A1">
        <w:rPr>
          <w:rFonts w:ascii="Times New Roman" w:hAnsi="Times New Roman"/>
          <w:bCs/>
          <w:sz w:val="24"/>
          <w:szCs w:val="24"/>
        </w:rPr>
        <w:t>.</w:t>
      </w:r>
    </w:p>
    <w:p w14:paraId="4519870B" w14:textId="696F80E6" w:rsidR="000D61A1" w:rsidRPr="000D61A1" w:rsidRDefault="00953227" w:rsidP="00E83682">
      <w:pPr>
        <w:pStyle w:val="Sraopastraipa"/>
        <w:numPr>
          <w:ilvl w:val="0"/>
          <w:numId w:val="1"/>
        </w:numPr>
        <w:spacing w:line="276" w:lineRule="auto"/>
        <w:jc w:val="both"/>
        <w:rPr>
          <w:rFonts w:ascii="Times New Roman" w:hAnsi="Times New Roman"/>
          <w:bCs/>
          <w:sz w:val="24"/>
          <w:szCs w:val="24"/>
        </w:rPr>
      </w:pPr>
      <w:r w:rsidRPr="00E022A5">
        <w:rPr>
          <w:rFonts w:ascii="Times New Roman" w:hAnsi="Times New Roman"/>
          <w:bCs/>
          <w:sz w:val="24"/>
          <w:szCs w:val="24"/>
        </w:rPr>
        <w:t>Pagal priemon</w:t>
      </w:r>
      <w:r w:rsidR="000D61A1" w:rsidRPr="00E022A5">
        <w:rPr>
          <w:rFonts w:ascii="Times New Roman" w:hAnsi="Times New Roman"/>
          <w:bCs/>
          <w:sz w:val="24"/>
          <w:szCs w:val="24"/>
        </w:rPr>
        <w:t>ės „Investicijos į materialųjį turtą“ veiklos srit</w:t>
      </w:r>
      <w:r w:rsidRPr="00E022A5">
        <w:rPr>
          <w:rFonts w:ascii="Times New Roman" w:hAnsi="Times New Roman"/>
          <w:bCs/>
          <w:sz w:val="24"/>
          <w:szCs w:val="24"/>
        </w:rPr>
        <w:t>į</w:t>
      </w:r>
      <w:r w:rsidR="000D61A1" w:rsidRPr="00E022A5">
        <w:rPr>
          <w:rFonts w:ascii="Times New Roman" w:hAnsi="Times New Roman"/>
          <w:bCs/>
          <w:sz w:val="24"/>
          <w:szCs w:val="24"/>
        </w:rPr>
        <w:t xml:space="preserve"> „Parama investicijoms į žemės ūkio produktų perdirbimą, rinkodarą ir (arba) plėtrą“</w:t>
      </w:r>
      <w:r w:rsidR="000F3039" w:rsidRPr="00E022A5">
        <w:rPr>
          <w:rFonts w:ascii="Times New Roman" w:hAnsi="Times New Roman"/>
          <w:bCs/>
          <w:sz w:val="24"/>
          <w:szCs w:val="24"/>
        </w:rPr>
        <w:t xml:space="preserve"> </w:t>
      </w:r>
      <w:r w:rsidRPr="00E022A5">
        <w:rPr>
          <w:rFonts w:ascii="Times New Roman" w:hAnsi="Times New Roman"/>
          <w:bCs/>
          <w:sz w:val="24"/>
          <w:szCs w:val="24"/>
        </w:rPr>
        <w:t>priimtos p</w:t>
      </w:r>
      <w:r w:rsidR="00792CC6" w:rsidRPr="00E022A5">
        <w:rPr>
          <w:rFonts w:ascii="Times New Roman" w:hAnsi="Times New Roman"/>
          <w:bCs/>
          <w:sz w:val="24"/>
          <w:szCs w:val="24"/>
        </w:rPr>
        <w:t xml:space="preserve">araiškos įvertintos iki 2016 m. vidurio, nes pateikti projektai sudėtingi, NMA pareiškėjams teikė daug paklausimų. Pasirašytos sutartys </w:t>
      </w:r>
      <w:r w:rsidRPr="00E022A5">
        <w:rPr>
          <w:rFonts w:ascii="Times New Roman" w:hAnsi="Times New Roman"/>
          <w:bCs/>
          <w:sz w:val="24"/>
          <w:szCs w:val="24"/>
        </w:rPr>
        <w:t xml:space="preserve">dėl </w:t>
      </w:r>
      <w:r w:rsidR="00792CC6" w:rsidRPr="00E022A5">
        <w:rPr>
          <w:rFonts w:ascii="Times New Roman" w:hAnsi="Times New Roman"/>
          <w:bCs/>
          <w:sz w:val="24"/>
          <w:szCs w:val="24"/>
        </w:rPr>
        <w:t>didelės apimties ir vertės projektų įgyvendinim</w:t>
      </w:r>
      <w:r w:rsidRPr="00E022A5">
        <w:rPr>
          <w:rFonts w:ascii="Times New Roman" w:hAnsi="Times New Roman"/>
          <w:bCs/>
          <w:sz w:val="24"/>
          <w:szCs w:val="24"/>
        </w:rPr>
        <w:t>o</w:t>
      </w:r>
      <w:r w:rsidR="00792CC6" w:rsidRPr="00E022A5">
        <w:rPr>
          <w:rFonts w:ascii="Times New Roman" w:hAnsi="Times New Roman"/>
          <w:bCs/>
          <w:sz w:val="24"/>
          <w:szCs w:val="24"/>
        </w:rPr>
        <w:t>. Daugum</w:t>
      </w:r>
      <w:r w:rsidRPr="00E022A5">
        <w:rPr>
          <w:rFonts w:ascii="Times New Roman" w:hAnsi="Times New Roman"/>
          <w:bCs/>
          <w:sz w:val="24"/>
          <w:szCs w:val="24"/>
        </w:rPr>
        <w:t>oje</w:t>
      </w:r>
      <w:r w:rsidR="00792CC6" w:rsidRPr="00E022A5">
        <w:rPr>
          <w:rFonts w:ascii="Times New Roman" w:hAnsi="Times New Roman"/>
          <w:bCs/>
          <w:sz w:val="24"/>
          <w:szCs w:val="24"/>
        </w:rPr>
        <w:t xml:space="preserve"> projektų numat</w:t>
      </w:r>
      <w:r w:rsidRPr="00E022A5">
        <w:rPr>
          <w:rFonts w:ascii="Times New Roman" w:hAnsi="Times New Roman"/>
          <w:bCs/>
          <w:sz w:val="24"/>
          <w:szCs w:val="24"/>
        </w:rPr>
        <w:t>yt</w:t>
      </w:r>
      <w:r w:rsidR="00792CC6" w:rsidRPr="00E022A5">
        <w:rPr>
          <w:rFonts w:ascii="Times New Roman" w:hAnsi="Times New Roman"/>
          <w:bCs/>
          <w:sz w:val="24"/>
          <w:szCs w:val="24"/>
        </w:rPr>
        <w:t>o</w:t>
      </w:r>
      <w:r w:rsidRPr="00E022A5">
        <w:rPr>
          <w:rFonts w:ascii="Times New Roman" w:hAnsi="Times New Roman"/>
          <w:bCs/>
          <w:sz w:val="24"/>
          <w:szCs w:val="24"/>
        </w:rPr>
        <w:t>s</w:t>
      </w:r>
      <w:r w:rsidR="00792CC6" w:rsidRPr="00E022A5">
        <w:rPr>
          <w:rFonts w:ascii="Times New Roman" w:hAnsi="Times New Roman"/>
          <w:bCs/>
          <w:sz w:val="24"/>
          <w:szCs w:val="24"/>
        </w:rPr>
        <w:t xml:space="preserve"> statyb</w:t>
      </w:r>
      <w:r w:rsidRPr="00E022A5">
        <w:rPr>
          <w:rFonts w:ascii="Times New Roman" w:hAnsi="Times New Roman"/>
          <w:bCs/>
          <w:sz w:val="24"/>
          <w:szCs w:val="24"/>
        </w:rPr>
        <w:t>o</w:t>
      </w:r>
      <w:r w:rsidR="00792CC6" w:rsidRPr="00E022A5">
        <w:rPr>
          <w:rFonts w:ascii="Times New Roman" w:hAnsi="Times New Roman"/>
          <w:bCs/>
          <w:sz w:val="24"/>
          <w:szCs w:val="24"/>
        </w:rPr>
        <w:t>s, todėl daug laiko užima</w:t>
      </w:r>
      <w:r w:rsidR="00792CC6">
        <w:rPr>
          <w:rFonts w:ascii="Times New Roman" w:hAnsi="Times New Roman"/>
          <w:bCs/>
          <w:sz w:val="24"/>
          <w:szCs w:val="24"/>
        </w:rPr>
        <w:t xml:space="preserve"> techninių projektų derinimas su kitomis valstybės institucijomis.</w:t>
      </w:r>
    </w:p>
    <w:p w14:paraId="5E9BDA7B" w14:textId="77777777" w:rsidR="00D139F4" w:rsidRPr="00CD720C" w:rsidRDefault="00D139F4" w:rsidP="002700F3">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Veiksmai:</w:t>
      </w:r>
    </w:p>
    <w:p w14:paraId="4C6C48EC" w14:textId="77777777" w:rsidR="00F93CCE" w:rsidRDefault="00F93CCE" w:rsidP="001D395D">
      <w:pPr>
        <w:pStyle w:val="Sraopastraipa"/>
        <w:numPr>
          <w:ilvl w:val="0"/>
          <w:numId w:val="1"/>
        </w:numPr>
        <w:spacing w:line="276" w:lineRule="auto"/>
        <w:jc w:val="both"/>
        <w:rPr>
          <w:rFonts w:ascii="Times New Roman" w:hAnsi="Times New Roman"/>
          <w:bCs/>
          <w:sz w:val="24"/>
          <w:szCs w:val="24"/>
        </w:rPr>
      </w:pPr>
      <w:r w:rsidRPr="00F93CCE">
        <w:rPr>
          <w:rFonts w:ascii="Times New Roman" w:eastAsia="Times New Roman" w:hAnsi="Times New Roman"/>
          <w:sz w:val="24"/>
          <w:szCs w:val="24"/>
        </w:rPr>
        <w:t xml:space="preserve">Dėl priemonės </w:t>
      </w:r>
      <w:r w:rsidRPr="00F93CCE">
        <w:rPr>
          <w:rFonts w:ascii="Times New Roman" w:hAnsi="Times New Roman"/>
          <w:bCs/>
          <w:sz w:val="24"/>
          <w:szCs w:val="24"/>
        </w:rPr>
        <w:t>„Rizikos valdymas“</w:t>
      </w:r>
      <w:r>
        <w:rPr>
          <w:rFonts w:ascii="Times New Roman" w:hAnsi="Times New Roman"/>
          <w:bCs/>
          <w:sz w:val="24"/>
          <w:szCs w:val="24"/>
        </w:rPr>
        <w:t>:</w:t>
      </w:r>
    </w:p>
    <w:p w14:paraId="67691D88" w14:textId="77777777" w:rsidR="00966D37" w:rsidRDefault="00F93CCE" w:rsidP="00F93CCE">
      <w:pPr>
        <w:pStyle w:val="Sraopastraipa"/>
        <w:numPr>
          <w:ilvl w:val="1"/>
          <w:numId w:val="1"/>
        </w:numPr>
        <w:spacing w:line="276" w:lineRule="auto"/>
        <w:jc w:val="both"/>
        <w:rPr>
          <w:rFonts w:ascii="Times New Roman" w:hAnsi="Times New Roman"/>
          <w:bCs/>
          <w:sz w:val="24"/>
          <w:szCs w:val="24"/>
        </w:rPr>
      </w:pPr>
      <w:r>
        <w:rPr>
          <w:rFonts w:ascii="Times New Roman" w:hAnsi="Times New Roman"/>
          <w:bCs/>
          <w:sz w:val="24"/>
          <w:szCs w:val="24"/>
        </w:rPr>
        <w:t>r</w:t>
      </w:r>
      <w:r w:rsidR="00CC2432" w:rsidRPr="00F93CCE">
        <w:rPr>
          <w:rFonts w:ascii="Times New Roman" w:hAnsi="Times New Roman"/>
          <w:bCs/>
          <w:sz w:val="24"/>
          <w:szCs w:val="24"/>
        </w:rPr>
        <w:t>eng</w:t>
      </w:r>
      <w:r w:rsidRPr="00F93CCE">
        <w:rPr>
          <w:rFonts w:ascii="Times New Roman" w:hAnsi="Times New Roman"/>
          <w:bCs/>
          <w:sz w:val="24"/>
          <w:szCs w:val="24"/>
        </w:rPr>
        <w:t>iamas išsiųsti</w:t>
      </w:r>
      <w:r w:rsidR="00CC2432" w:rsidRPr="00F93CCE">
        <w:rPr>
          <w:rFonts w:ascii="Times New Roman" w:hAnsi="Times New Roman"/>
          <w:bCs/>
          <w:sz w:val="24"/>
          <w:szCs w:val="24"/>
        </w:rPr>
        <w:t xml:space="preserve"> </w:t>
      </w:r>
      <w:r w:rsidRPr="00F93CCE">
        <w:rPr>
          <w:rFonts w:ascii="Times New Roman" w:hAnsi="Times New Roman"/>
          <w:bCs/>
          <w:sz w:val="24"/>
          <w:szCs w:val="24"/>
        </w:rPr>
        <w:t xml:space="preserve">EK </w:t>
      </w:r>
      <w:r w:rsidR="003D30AB" w:rsidRPr="00F93CCE">
        <w:rPr>
          <w:rFonts w:ascii="Times New Roman" w:hAnsi="Times New Roman"/>
          <w:bCs/>
          <w:sz w:val="24"/>
          <w:szCs w:val="24"/>
        </w:rPr>
        <w:t>Programos keitim</w:t>
      </w:r>
      <w:r w:rsidR="00CC2432" w:rsidRPr="00F93CCE">
        <w:rPr>
          <w:rFonts w:ascii="Times New Roman" w:hAnsi="Times New Roman"/>
          <w:bCs/>
          <w:sz w:val="24"/>
          <w:szCs w:val="24"/>
        </w:rPr>
        <w:t>as</w:t>
      </w:r>
      <w:r w:rsidR="003D30AB" w:rsidRPr="00F93CCE">
        <w:rPr>
          <w:rFonts w:ascii="Times New Roman" w:hAnsi="Times New Roman"/>
          <w:bCs/>
          <w:sz w:val="24"/>
          <w:szCs w:val="24"/>
        </w:rPr>
        <w:t>, kuriame siūloma</w:t>
      </w:r>
      <w:r w:rsidR="00966D37">
        <w:rPr>
          <w:rFonts w:ascii="Times New Roman" w:hAnsi="Times New Roman"/>
          <w:bCs/>
          <w:sz w:val="24"/>
          <w:szCs w:val="24"/>
        </w:rPr>
        <w:t>:</w:t>
      </w:r>
    </w:p>
    <w:p w14:paraId="7E16A17E" w14:textId="77777777" w:rsidR="00966D37" w:rsidRDefault="00154C70" w:rsidP="00966D37">
      <w:pPr>
        <w:pStyle w:val="Sraopastraipa"/>
        <w:numPr>
          <w:ilvl w:val="2"/>
          <w:numId w:val="1"/>
        </w:numPr>
        <w:spacing w:line="276" w:lineRule="auto"/>
        <w:jc w:val="both"/>
        <w:rPr>
          <w:rFonts w:ascii="Times New Roman" w:hAnsi="Times New Roman"/>
          <w:bCs/>
          <w:sz w:val="24"/>
          <w:szCs w:val="24"/>
        </w:rPr>
      </w:pPr>
      <w:r w:rsidRPr="00CD720C">
        <w:rPr>
          <w:rFonts w:ascii="Times New Roman" w:hAnsi="Times New Roman"/>
          <w:bCs/>
          <w:sz w:val="24"/>
          <w:szCs w:val="24"/>
        </w:rPr>
        <w:t>padidinti paramos intensyvumą iki 70 proc. (dabar 65 proc.)</w:t>
      </w:r>
      <w:r w:rsidR="00966D37">
        <w:rPr>
          <w:rFonts w:ascii="Times New Roman" w:hAnsi="Times New Roman"/>
          <w:bCs/>
          <w:sz w:val="24"/>
          <w:szCs w:val="24"/>
        </w:rPr>
        <w:t>;</w:t>
      </w:r>
    </w:p>
    <w:p w14:paraId="58424113" w14:textId="7C940AB1" w:rsidR="00154C70" w:rsidRPr="00CD720C" w:rsidRDefault="00154C70" w:rsidP="00966D37">
      <w:pPr>
        <w:pStyle w:val="Sraopastraipa"/>
        <w:numPr>
          <w:ilvl w:val="2"/>
          <w:numId w:val="1"/>
        </w:numPr>
        <w:spacing w:line="276" w:lineRule="auto"/>
        <w:jc w:val="both"/>
        <w:rPr>
          <w:rFonts w:ascii="Times New Roman" w:hAnsi="Times New Roman"/>
          <w:bCs/>
          <w:sz w:val="24"/>
          <w:szCs w:val="24"/>
        </w:rPr>
      </w:pPr>
      <w:r w:rsidRPr="00CD720C">
        <w:rPr>
          <w:rFonts w:ascii="Times New Roman" w:hAnsi="Times New Roman"/>
          <w:bCs/>
          <w:sz w:val="24"/>
          <w:szCs w:val="24"/>
        </w:rPr>
        <w:lastRenderedPageBreak/>
        <w:t>numatyti, kad parama skiriama draudimo sutartims, kuriomis padengiami nuostoliai, kai buvo sunaikinta daugiau kaip 20 proc. (dabar 30 proc.) ūkininko vidutinės metinės praėjusių metų produkcijos;</w:t>
      </w:r>
    </w:p>
    <w:p w14:paraId="1F8C57E3" w14:textId="77777777" w:rsidR="0006779C" w:rsidRPr="0006779C" w:rsidRDefault="0006779C" w:rsidP="0006779C">
      <w:pPr>
        <w:pStyle w:val="Sraopastraipa"/>
        <w:numPr>
          <w:ilvl w:val="1"/>
          <w:numId w:val="1"/>
        </w:numPr>
        <w:spacing w:line="276" w:lineRule="auto"/>
        <w:jc w:val="both"/>
        <w:rPr>
          <w:rFonts w:ascii="Times New Roman" w:hAnsi="Times New Roman"/>
          <w:bCs/>
          <w:sz w:val="24"/>
          <w:szCs w:val="24"/>
        </w:rPr>
      </w:pPr>
      <w:r w:rsidRPr="0006779C">
        <w:rPr>
          <w:rFonts w:ascii="Times New Roman" w:hAnsi="Times New Roman"/>
          <w:bCs/>
          <w:sz w:val="24"/>
          <w:szCs w:val="24"/>
        </w:rPr>
        <w:t xml:space="preserve">pakeistos draudimo įmokų kompensavimo taisyklės (LR žemės ūkio ministro 2018 m. birželio 27 d. įsakymas Nr. 3D-418 ir </w:t>
      </w:r>
      <w:r w:rsidRPr="0006779C">
        <w:rPr>
          <w:rFonts w:ascii="Times New Roman" w:hAnsi="Times New Roman"/>
          <w:sz w:val="24"/>
          <w:szCs w:val="24"/>
        </w:rPr>
        <w:t>2018 m. liepos 4 d. įsakymas Nr. 3D-446</w:t>
      </w:r>
      <w:r w:rsidRPr="0006779C">
        <w:t>)</w:t>
      </w:r>
      <w:r w:rsidRPr="0006779C">
        <w:rPr>
          <w:rFonts w:ascii="Times New Roman" w:hAnsi="Times New Roman"/>
          <w:bCs/>
          <w:sz w:val="24"/>
          <w:szCs w:val="24"/>
        </w:rPr>
        <w:t>, kur numatytas paankstintas draudimo įmokų dalies kompensacijos išmokėjimas, taip pat praplėstas ūkinių gyvūnų ligų, nuo kurių apdraudus teikiama parama, sąrašas, papildant jį 12 naujų užkrečiamų ligų.</w:t>
      </w:r>
    </w:p>
    <w:p w14:paraId="66E15C5F" w14:textId="4BE50FFC" w:rsidR="008C05E3" w:rsidRDefault="00770959" w:rsidP="008C05E3">
      <w:pPr>
        <w:pStyle w:val="Sraopastraipa"/>
        <w:numPr>
          <w:ilvl w:val="0"/>
          <w:numId w:val="1"/>
        </w:numPr>
        <w:spacing w:line="276" w:lineRule="auto"/>
        <w:jc w:val="both"/>
        <w:rPr>
          <w:rFonts w:ascii="Times New Roman" w:hAnsi="Times New Roman"/>
          <w:bCs/>
          <w:sz w:val="24"/>
          <w:szCs w:val="24"/>
        </w:rPr>
      </w:pPr>
      <w:r w:rsidRPr="008C05E3">
        <w:rPr>
          <w:rFonts w:ascii="Times New Roman" w:hAnsi="Times New Roman"/>
          <w:bCs/>
          <w:sz w:val="24"/>
          <w:szCs w:val="24"/>
        </w:rPr>
        <w:t xml:space="preserve">Dėl priemonės „Investicijos į materialųjį turtą“ veiklos sritis „Parama investicijoms į žemės ūkio produktų perdirbimą, rinkodarą ir (arba) plėtrą“. </w:t>
      </w:r>
      <w:r w:rsidR="008C05E3" w:rsidRPr="008C05E3">
        <w:rPr>
          <w:rFonts w:ascii="Times New Roman" w:hAnsi="Times New Roman"/>
          <w:bCs/>
          <w:sz w:val="24"/>
          <w:szCs w:val="24"/>
        </w:rPr>
        <w:t>2018 m. birželio–liepos mėn. vyksta paraiškų priėmimas pagal naujas šios</w:t>
      </w:r>
      <w:r w:rsidR="008C05E3">
        <w:rPr>
          <w:rFonts w:ascii="Times New Roman" w:hAnsi="Times New Roman"/>
          <w:bCs/>
          <w:sz w:val="24"/>
          <w:szCs w:val="24"/>
        </w:rPr>
        <w:t xml:space="preserve"> veiklos srities įgyvendinimo taisykles. Jose numatyta ženkliai mažesnė – iki 400 000 Eur – paramos suma vienam projektui, todėl tikimasi, kad paraiškose paramai gauti bus numatytas mažesnis statybinių investicijų skaičius</w:t>
      </w:r>
      <w:r w:rsidR="00487980">
        <w:rPr>
          <w:rFonts w:ascii="Times New Roman" w:hAnsi="Times New Roman"/>
          <w:bCs/>
          <w:sz w:val="24"/>
          <w:szCs w:val="24"/>
        </w:rPr>
        <w:t>.</w:t>
      </w:r>
      <w:r w:rsidR="008C05E3">
        <w:rPr>
          <w:rFonts w:ascii="Times New Roman" w:hAnsi="Times New Roman"/>
          <w:bCs/>
          <w:sz w:val="24"/>
          <w:szCs w:val="24"/>
        </w:rPr>
        <w:t xml:space="preserve"> </w:t>
      </w:r>
      <w:r w:rsidR="00487980">
        <w:rPr>
          <w:rFonts w:ascii="Times New Roman" w:hAnsi="Times New Roman"/>
          <w:bCs/>
          <w:sz w:val="24"/>
          <w:szCs w:val="24"/>
        </w:rPr>
        <w:t>Tai</w:t>
      </w:r>
      <w:r w:rsidR="008C05E3">
        <w:rPr>
          <w:rFonts w:ascii="Times New Roman" w:hAnsi="Times New Roman"/>
          <w:bCs/>
          <w:sz w:val="24"/>
          <w:szCs w:val="24"/>
        </w:rPr>
        <w:t xml:space="preserve"> leis </w:t>
      </w:r>
      <w:r w:rsidR="00487980">
        <w:rPr>
          <w:rFonts w:ascii="Times New Roman" w:hAnsi="Times New Roman"/>
          <w:bCs/>
          <w:sz w:val="24"/>
          <w:szCs w:val="24"/>
        </w:rPr>
        <w:t>sutrumpinti</w:t>
      </w:r>
      <w:r w:rsidR="008C05E3">
        <w:rPr>
          <w:rFonts w:ascii="Times New Roman" w:hAnsi="Times New Roman"/>
          <w:bCs/>
          <w:sz w:val="24"/>
          <w:szCs w:val="24"/>
        </w:rPr>
        <w:t xml:space="preserve"> projektų įgyvendinimo laiką.</w:t>
      </w:r>
    </w:p>
    <w:p w14:paraId="767D6BE6" w14:textId="77777777" w:rsidR="00D139F4" w:rsidRPr="00CD720C" w:rsidRDefault="00D139F4" w:rsidP="00166EA2">
      <w:pPr>
        <w:pStyle w:val="Sraopastraipa"/>
        <w:spacing w:line="276" w:lineRule="auto"/>
        <w:ind w:left="0" w:firstLine="1134"/>
        <w:jc w:val="both"/>
        <w:rPr>
          <w:rFonts w:ascii="Times New Roman" w:hAnsi="Times New Roman"/>
          <w:b/>
          <w:bCs/>
          <w:sz w:val="24"/>
          <w:szCs w:val="24"/>
          <w:highlight w:val="yellow"/>
        </w:rPr>
      </w:pPr>
    </w:p>
    <w:p w14:paraId="506C41DA" w14:textId="177423C1" w:rsidR="002E09F5" w:rsidRPr="00CD720C" w:rsidRDefault="002E09F5" w:rsidP="002E09F5">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2.2. Penkto prioriteto (P5) įgyvendinimo problemos ir vadovaujančios institucijos veiksmai</w:t>
      </w:r>
    </w:p>
    <w:p w14:paraId="6EEE3E04" w14:textId="31A16D5D" w:rsidR="002E09F5" w:rsidRPr="00CD720C" w:rsidRDefault="002E09F5" w:rsidP="002E09F5">
      <w:pPr>
        <w:pStyle w:val="Sraopastraipa"/>
        <w:spacing w:line="276" w:lineRule="auto"/>
        <w:ind w:left="0" w:firstLine="1134"/>
        <w:jc w:val="both"/>
        <w:rPr>
          <w:rFonts w:ascii="Times New Roman" w:hAnsi="Times New Roman"/>
          <w:bCs/>
          <w:sz w:val="24"/>
          <w:szCs w:val="24"/>
        </w:rPr>
      </w:pPr>
      <w:r w:rsidRPr="00CD720C">
        <w:rPr>
          <w:rFonts w:ascii="Times New Roman" w:hAnsi="Times New Roman"/>
          <w:b/>
          <w:bCs/>
          <w:sz w:val="24"/>
          <w:szCs w:val="24"/>
        </w:rPr>
        <w:t>5 prioriteto</w:t>
      </w:r>
      <w:r w:rsidRPr="00CD720C">
        <w:rPr>
          <w:rFonts w:ascii="Times New Roman" w:hAnsi="Times New Roman"/>
          <w:bCs/>
          <w:sz w:val="24"/>
          <w:szCs w:val="24"/>
        </w:rPr>
        <w:t xml:space="preserve"> („Efektyvus išteklių valdymas“) tikslai įgyvendinami per lėtai, ir yra rizika nepasiekti orientyrų iki 2018 m. pabaigos. </w:t>
      </w:r>
    </w:p>
    <w:p w14:paraId="64271E83" w14:textId="57C5A1AF" w:rsidR="002E09F5" w:rsidRPr="00CD720C" w:rsidRDefault="002E09F5" w:rsidP="002E09F5">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Problemos:</w:t>
      </w:r>
    </w:p>
    <w:p w14:paraId="3C1D1F39" w14:textId="5590F948" w:rsidR="0073319F" w:rsidRPr="00CD720C" w:rsidRDefault="00E60DEF"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Buvo vėlai pradėti</w:t>
      </w:r>
      <w:r w:rsidR="00166EA2" w:rsidRPr="00CD720C">
        <w:rPr>
          <w:rFonts w:ascii="Times New Roman" w:hAnsi="Times New Roman"/>
          <w:bCs/>
          <w:sz w:val="24"/>
          <w:szCs w:val="24"/>
        </w:rPr>
        <w:t xml:space="preserve"> įgyvendinti biodujų jėgainių projektai</w:t>
      </w:r>
      <w:r w:rsidRPr="00CD720C">
        <w:rPr>
          <w:rFonts w:ascii="Times New Roman" w:hAnsi="Times New Roman"/>
          <w:bCs/>
          <w:sz w:val="24"/>
          <w:szCs w:val="24"/>
        </w:rPr>
        <w:t xml:space="preserve"> pagal priemonę „Parama biodujų gamybai iš žemės ūkio ir kitų atliekų“</w:t>
      </w:r>
      <w:r w:rsidR="00271497" w:rsidRPr="00CD720C">
        <w:rPr>
          <w:rFonts w:ascii="Times New Roman" w:hAnsi="Times New Roman"/>
          <w:bCs/>
          <w:sz w:val="24"/>
          <w:szCs w:val="24"/>
        </w:rPr>
        <w:t>.</w:t>
      </w:r>
    </w:p>
    <w:p w14:paraId="3456E049" w14:textId="2D085C16" w:rsidR="002E09F5" w:rsidRPr="00CD720C" w:rsidRDefault="0041418E"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Pagal p</w:t>
      </w:r>
      <w:r w:rsidR="00AE27F0" w:rsidRPr="00CD720C">
        <w:rPr>
          <w:rFonts w:ascii="Times New Roman" w:hAnsi="Times New Roman"/>
          <w:bCs/>
          <w:sz w:val="24"/>
          <w:szCs w:val="24"/>
        </w:rPr>
        <w:t>riemonės „Agrarinė aplinkosauga ir klimatas“ veikl</w:t>
      </w:r>
      <w:r w:rsidRPr="00CD720C">
        <w:rPr>
          <w:rFonts w:ascii="Times New Roman" w:hAnsi="Times New Roman"/>
          <w:bCs/>
          <w:sz w:val="24"/>
          <w:szCs w:val="24"/>
        </w:rPr>
        <w:t>as</w:t>
      </w:r>
      <w:r w:rsidR="00AE27F0" w:rsidRPr="00CD720C">
        <w:rPr>
          <w:rFonts w:ascii="Times New Roman" w:hAnsi="Times New Roman"/>
          <w:bCs/>
          <w:sz w:val="24"/>
          <w:szCs w:val="24"/>
        </w:rPr>
        <w:t xml:space="preserve"> „Specifinių pievų tvarkymas“ ir „Ekstensyvus šlapynių tvarkymas“</w:t>
      </w:r>
      <w:r w:rsidRPr="00CD720C">
        <w:rPr>
          <w:rFonts w:ascii="Times New Roman" w:hAnsi="Times New Roman"/>
          <w:bCs/>
          <w:sz w:val="24"/>
          <w:szCs w:val="24"/>
        </w:rPr>
        <w:t xml:space="preserve"> parama mokama už </w:t>
      </w:r>
      <w:r w:rsidR="006B6E3E">
        <w:rPr>
          <w:rFonts w:ascii="Times New Roman" w:hAnsi="Times New Roman"/>
          <w:bCs/>
          <w:sz w:val="24"/>
          <w:szCs w:val="24"/>
        </w:rPr>
        <w:t>gerokai</w:t>
      </w:r>
      <w:r w:rsidRPr="00CD720C">
        <w:rPr>
          <w:rFonts w:ascii="Times New Roman" w:hAnsi="Times New Roman"/>
          <w:bCs/>
          <w:sz w:val="24"/>
          <w:szCs w:val="24"/>
        </w:rPr>
        <w:t xml:space="preserve"> mažesnį plotą</w:t>
      </w:r>
      <w:r w:rsidR="006B6E3E">
        <w:rPr>
          <w:rFonts w:ascii="Times New Roman" w:hAnsi="Times New Roman"/>
          <w:bCs/>
          <w:sz w:val="24"/>
          <w:szCs w:val="24"/>
        </w:rPr>
        <w:t>,</w:t>
      </w:r>
      <w:r w:rsidRPr="00CD720C">
        <w:rPr>
          <w:rFonts w:ascii="Times New Roman" w:hAnsi="Times New Roman"/>
          <w:bCs/>
          <w:sz w:val="24"/>
          <w:szCs w:val="24"/>
        </w:rPr>
        <w:t xml:space="preserve"> nei buvo planuojama, atitinkamai nebus</w:t>
      </w:r>
      <w:r w:rsidR="00873EA4" w:rsidRPr="00CD720C">
        <w:rPr>
          <w:rFonts w:ascii="Times New Roman" w:hAnsi="Times New Roman"/>
          <w:bCs/>
          <w:sz w:val="24"/>
          <w:szCs w:val="24"/>
        </w:rPr>
        <w:t xml:space="preserve"> išmokėtos suplanuotos lėšos.</w:t>
      </w:r>
      <w:r w:rsidR="00E60DEF" w:rsidRPr="00CD720C">
        <w:rPr>
          <w:rFonts w:ascii="Times New Roman" w:hAnsi="Times New Roman"/>
          <w:bCs/>
          <w:sz w:val="24"/>
          <w:szCs w:val="24"/>
        </w:rPr>
        <w:t xml:space="preserve"> </w:t>
      </w:r>
    </w:p>
    <w:p w14:paraId="56ACD8F4" w14:textId="7DFFFE79" w:rsidR="002E09F5" w:rsidRPr="00CD720C" w:rsidRDefault="002E09F5"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Priemonė „Miško įveisimas ir miškingų plotų kūrimas“ įgyvendinama mažesniame nei suplanuota žemės plote.</w:t>
      </w:r>
    </w:p>
    <w:p w14:paraId="34D5486C" w14:textId="77777777" w:rsidR="002E09F5" w:rsidRPr="00CD720C" w:rsidRDefault="002E09F5" w:rsidP="002E09F5">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rPr>
        <w:t>Priežastys:</w:t>
      </w:r>
    </w:p>
    <w:p w14:paraId="7D089FA6" w14:textId="3CD4765F" w:rsidR="00540B96" w:rsidRPr="00F27BED" w:rsidRDefault="00A644A8" w:rsidP="00F27BED">
      <w:pPr>
        <w:pStyle w:val="Sraopastraipa"/>
        <w:numPr>
          <w:ilvl w:val="0"/>
          <w:numId w:val="1"/>
        </w:numPr>
        <w:spacing w:line="276" w:lineRule="auto"/>
        <w:jc w:val="both"/>
        <w:rPr>
          <w:rFonts w:ascii="Times New Roman" w:hAnsi="Times New Roman"/>
          <w:bCs/>
          <w:sz w:val="24"/>
          <w:szCs w:val="24"/>
        </w:rPr>
      </w:pPr>
      <w:r w:rsidRPr="00F27BED">
        <w:rPr>
          <w:rFonts w:ascii="Times New Roman" w:eastAsia="Times New Roman" w:hAnsi="Times New Roman"/>
          <w:sz w:val="24"/>
          <w:szCs w:val="24"/>
        </w:rPr>
        <w:t xml:space="preserve">Dėl priemonės </w:t>
      </w:r>
      <w:r w:rsidRPr="00F27BED">
        <w:rPr>
          <w:rFonts w:ascii="Times New Roman" w:hAnsi="Times New Roman"/>
          <w:bCs/>
          <w:sz w:val="24"/>
          <w:szCs w:val="24"/>
        </w:rPr>
        <w:t xml:space="preserve">„Agrarinė aplinkosauga ir klimatas“ įgyvendinimo </w:t>
      </w:r>
      <w:r w:rsidR="00F27BED">
        <w:rPr>
          <w:rFonts w:ascii="Times New Roman" w:hAnsi="Times New Roman"/>
          <w:bCs/>
          <w:sz w:val="24"/>
          <w:szCs w:val="24"/>
        </w:rPr>
        <w:t xml:space="preserve">situacijos </w:t>
      </w:r>
      <w:r w:rsidRPr="00F27BED">
        <w:rPr>
          <w:rFonts w:ascii="Times New Roman" w:hAnsi="Times New Roman"/>
          <w:bCs/>
          <w:sz w:val="24"/>
          <w:szCs w:val="24"/>
        </w:rPr>
        <w:t xml:space="preserve">priežastys buvo pateiktos 1 ketvirčio ataskaitoje </w:t>
      </w:r>
      <w:r w:rsidR="00F27BED" w:rsidRPr="00F27BED">
        <w:rPr>
          <w:rFonts w:ascii="Times New Roman" w:hAnsi="Times New Roman"/>
          <w:bCs/>
          <w:sz w:val="24"/>
          <w:szCs w:val="24"/>
        </w:rPr>
        <w:t>(</w:t>
      </w:r>
      <w:r w:rsidR="00F27BED">
        <w:rPr>
          <w:rFonts w:ascii="Times New Roman" w:hAnsi="Times New Roman"/>
          <w:bCs/>
          <w:sz w:val="24"/>
          <w:szCs w:val="24"/>
        </w:rPr>
        <w:t>a</w:t>
      </w:r>
      <w:r w:rsidR="00CD720C" w:rsidRPr="00F27BED">
        <w:rPr>
          <w:rFonts w:ascii="Times New Roman" w:hAnsi="Times New Roman"/>
          <w:bCs/>
          <w:sz w:val="24"/>
          <w:szCs w:val="24"/>
        </w:rPr>
        <w:t xml:space="preserve">tlikus tyrimą buvo nustatyta, kad </w:t>
      </w:r>
      <w:r w:rsidR="00A312B3" w:rsidRPr="00F27BED">
        <w:rPr>
          <w:rFonts w:ascii="Times New Roman" w:hAnsi="Times New Roman"/>
          <w:bCs/>
          <w:sz w:val="24"/>
          <w:szCs w:val="24"/>
        </w:rPr>
        <w:t xml:space="preserve">specifinių pievų ir šlapynių </w:t>
      </w:r>
      <w:r w:rsidR="00D2060B" w:rsidRPr="00F27BED">
        <w:rPr>
          <w:rFonts w:ascii="Times New Roman" w:hAnsi="Times New Roman"/>
          <w:bCs/>
          <w:sz w:val="24"/>
          <w:szCs w:val="24"/>
        </w:rPr>
        <w:t xml:space="preserve">plotai </w:t>
      </w:r>
      <w:r w:rsidR="00A312B3" w:rsidRPr="00F27BED">
        <w:rPr>
          <w:rFonts w:ascii="Times New Roman" w:hAnsi="Times New Roman"/>
          <w:bCs/>
          <w:sz w:val="24"/>
          <w:szCs w:val="24"/>
        </w:rPr>
        <w:t xml:space="preserve">Lietuvoje </w:t>
      </w:r>
      <w:r w:rsidR="00D2060B" w:rsidRPr="00F27BED">
        <w:rPr>
          <w:rFonts w:ascii="Times New Roman" w:hAnsi="Times New Roman"/>
          <w:bCs/>
          <w:sz w:val="24"/>
          <w:szCs w:val="24"/>
        </w:rPr>
        <w:t>žymiai mažesni nei planuota</w:t>
      </w:r>
      <w:r w:rsidR="00F27BED">
        <w:rPr>
          <w:rFonts w:ascii="Times New Roman" w:hAnsi="Times New Roman"/>
          <w:bCs/>
          <w:sz w:val="24"/>
          <w:szCs w:val="24"/>
        </w:rPr>
        <w:t xml:space="preserve"> ir kt.)</w:t>
      </w:r>
      <w:r w:rsidR="0073319F" w:rsidRPr="00F27BED">
        <w:rPr>
          <w:rFonts w:ascii="Times New Roman" w:hAnsi="Times New Roman"/>
          <w:bCs/>
          <w:sz w:val="24"/>
          <w:szCs w:val="24"/>
        </w:rPr>
        <w:t>.</w:t>
      </w:r>
    </w:p>
    <w:p w14:paraId="277DD3F1" w14:textId="35AAFA6B" w:rsidR="00F27BED" w:rsidRPr="00CD720C" w:rsidRDefault="00F27BED" w:rsidP="00F27BED">
      <w:pPr>
        <w:pStyle w:val="Sraopastraipa"/>
        <w:numPr>
          <w:ilvl w:val="0"/>
          <w:numId w:val="1"/>
        </w:numPr>
        <w:spacing w:line="276" w:lineRule="auto"/>
        <w:jc w:val="both"/>
        <w:rPr>
          <w:rFonts w:ascii="Times New Roman" w:hAnsi="Times New Roman"/>
          <w:bCs/>
          <w:sz w:val="24"/>
          <w:szCs w:val="24"/>
        </w:rPr>
      </w:pPr>
      <w:r w:rsidRPr="00F27BED">
        <w:rPr>
          <w:rFonts w:ascii="Times New Roman" w:eastAsia="Times New Roman" w:hAnsi="Times New Roman"/>
          <w:sz w:val="24"/>
          <w:szCs w:val="24"/>
        </w:rPr>
        <w:t xml:space="preserve">Dėl priemonės </w:t>
      </w:r>
      <w:r w:rsidRPr="00F27BED">
        <w:rPr>
          <w:rFonts w:ascii="Times New Roman" w:hAnsi="Times New Roman"/>
          <w:bCs/>
          <w:sz w:val="24"/>
          <w:szCs w:val="24"/>
        </w:rPr>
        <w:t>„Miško įveisimas ir miškingų plotų kūrimas“ įgyvendinimo situacijos priežastys buvo pateiktos 1 ketvirčio ataskaitoje (</w:t>
      </w:r>
      <w:r w:rsidR="003F082F" w:rsidRPr="00F27BED">
        <w:rPr>
          <w:rFonts w:ascii="Times New Roman" w:hAnsi="Times New Roman"/>
          <w:bCs/>
          <w:sz w:val="24"/>
          <w:szCs w:val="24"/>
        </w:rPr>
        <w:t>iš potencialių pareiškėjų buvo išbrauktos miškų urėdijo</w:t>
      </w:r>
      <w:r w:rsidRPr="00F27BED">
        <w:rPr>
          <w:rFonts w:ascii="Times New Roman" w:hAnsi="Times New Roman"/>
          <w:bCs/>
          <w:sz w:val="24"/>
          <w:szCs w:val="24"/>
        </w:rPr>
        <w:t>s</w:t>
      </w:r>
      <w:r w:rsidR="003F082F" w:rsidRPr="00F27BED">
        <w:rPr>
          <w:rFonts w:ascii="Times New Roman" w:hAnsi="Times New Roman"/>
          <w:bCs/>
          <w:sz w:val="24"/>
          <w:szCs w:val="24"/>
        </w:rPr>
        <w:t xml:space="preserve"> (</w:t>
      </w:r>
      <w:r w:rsidR="00CA05B2" w:rsidRPr="00F27BED">
        <w:rPr>
          <w:rFonts w:ascii="Times New Roman" w:hAnsi="Times New Roman"/>
          <w:bCs/>
          <w:sz w:val="24"/>
          <w:szCs w:val="24"/>
        </w:rPr>
        <w:t xml:space="preserve">ES </w:t>
      </w:r>
      <w:r w:rsidR="003F082F" w:rsidRPr="00F27BED">
        <w:rPr>
          <w:rFonts w:ascii="Times New Roman" w:hAnsi="Times New Roman"/>
          <w:bCs/>
          <w:sz w:val="24"/>
          <w:szCs w:val="24"/>
        </w:rPr>
        <w:t>reglamento nuostata);</w:t>
      </w:r>
      <w:r w:rsidRPr="00F27BED">
        <w:rPr>
          <w:rFonts w:ascii="Times New Roman" w:hAnsi="Times New Roman"/>
          <w:bCs/>
          <w:sz w:val="24"/>
          <w:szCs w:val="24"/>
        </w:rPr>
        <w:t xml:space="preserve"> </w:t>
      </w:r>
      <w:r w:rsidR="003F082F" w:rsidRPr="00F27BED">
        <w:rPr>
          <w:rFonts w:ascii="Times New Roman" w:hAnsi="Times New Roman"/>
          <w:bCs/>
          <w:sz w:val="24"/>
          <w:szCs w:val="24"/>
        </w:rPr>
        <w:t>nuo 2004 m.</w:t>
      </w:r>
      <w:r w:rsidR="00EE5375">
        <w:rPr>
          <w:rFonts w:ascii="Times New Roman" w:hAnsi="Times New Roman"/>
          <w:bCs/>
          <w:sz w:val="24"/>
          <w:szCs w:val="24"/>
        </w:rPr>
        <w:t xml:space="preserve"> (ES paramos lėšomis)</w:t>
      </w:r>
      <w:r w:rsidR="003F082F" w:rsidRPr="00F27BED">
        <w:rPr>
          <w:rFonts w:ascii="Times New Roman" w:hAnsi="Times New Roman"/>
          <w:bCs/>
          <w:sz w:val="24"/>
          <w:szCs w:val="24"/>
        </w:rPr>
        <w:t xml:space="preserve"> įveista </w:t>
      </w:r>
      <w:r w:rsidR="006B6E3E">
        <w:rPr>
          <w:rFonts w:ascii="Times New Roman" w:hAnsi="Times New Roman"/>
          <w:bCs/>
          <w:sz w:val="24"/>
          <w:szCs w:val="24"/>
        </w:rPr>
        <w:t>daugiau kaip</w:t>
      </w:r>
      <w:r w:rsidR="003F082F" w:rsidRPr="00F27BED">
        <w:rPr>
          <w:rFonts w:ascii="Times New Roman" w:hAnsi="Times New Roman"/>
          <w:bCs/>
          <w:sz w:val="24"/>
          <w:szCs w:val="24"/>
        </w:rPr>
        <w:t xml:space="preserve"> 27 tūkst. ha miško, dauguma norinčių veisti mišką jau pasinaudojo </w:t>
      </w:r>
      <w:r w:rsidR="000B16C2" w:rsidRPr="00F27BED">
        <w:rPr>
          <w:rFonts w:ascii="Times New Roman" w:hAnsi="Times New Roman"/>
          <w:bCs/>
          <w:sz w:val="24"/>
          <w:szCs w:val="24"/>
        </w:rPr>
        <w:t xml:space="preserve">šia </w:t>
      </w:r>
      <w:r w:rsidR="003F082F" w:rsidRPr="00F27BED">
        <w:rPr>
          <w:rFonts w:ascii="Times New Roman" w:hAnsi="Times New Roman"/>
          <w:bCs/>
          <w:sz w:val="24"/>
          <w:szCs w:val="24"/>
        </w:rPr>
        <w:t>galimybe</w:t>
      </w:r>
      <w:r w:rsidR="000B16C2" w:rsidRPr="00F27BED">
        <w:rPr>
          <w:rFonts w:ascii="Times New Roman" w:hAnsi="Times New Roman"/>
          <w:bCs/>
          <w:sz w:val="24"/>
          <w:szCs w:val="24"/>
        </w:rPr>
        <w:t>;</w:t>
      </w:r>
      <w:r w:rsidRPr="00F27BED">
        <w:rPr>
          <w:rFonts w:ascii="Times New Roman" w:hAnsi="Times New Roman"/>
          <w:bCs/>
          <w:sz w:val="24"/>
          <w:szCs w:val="24"/>
        </w:rPr>
        <w:t xml:space="preserve"> </w:t>
      </w:r>
      <w:r w:rsidR="003F082F" w:rsidRPr="00F27BED">
        <w:rPr>
          <w:rFonts w:ascii="Times New Roman" w:hAnsi="Times New Roman"/>
          <w:bCs/>
          <w:sz w:val="24"/>
          <w:szCs w:val="24"/>
        </w:rPr>
        <w:t>žemės plotas, kuriame galima veisti mišką, yra baigtinis ir konkuruoja su žemės ūki</w:t>
      </w:r>
      <w:r w:rsidR="00CA05B2" w:rsidRPr="00F27BED">
        <w:rPr>
          <w:rFonts w:ascii="Times New Roman" w:hAnsi="Times New Roman"/>
          <w:bCs/>
          <w:sz w:val="24"/>
          <w:szCs w:val="24"/>
        </w:rPr>
        <w:t>o</w:t>
      </w:r>
      <w:r w:rsidR="003F082F" w:rsidRPr="00F27BED">
        <w:rPr>
          <w:rFonts w:ascii="Times New Roman" w:hAnsi="Times New Roman"/>
          <w:bCs/>
          <w:sz w:val="24"/>
          <w:szCs w:val="24"/>
        </w:rPr>
        <w:t xml:space="preserve"> veiklai naudojamais plotais</w:t>
      </w:r>
      <w:r>
        <w:rPr>
          <w:rFonts w:ascii="Times New Roman" w:hAnsi="Times New Roman"/>
          <w:bCs/>
          <w:sz w:val="24"/>
          <w:szCs w:val="24"/>
        </w:rPr>
        <w:t xml:space="preserve"> ir kt</w:t>
      </w:r>
      <w:r w:rsidRPr="001D0671">
        <w:rPr>
          <w:rFonts w:ascii="Times New Roman" w:hAnsi="Times New Roman"/>
          <w:bCs/>
          <w:sz w:val="24"/>
          <w:szCs w:val="24"/>
        </w:rPr>
        <w:t>.).</w:t>
      </w:r>
      <w:r w:rsidR="001D0671" w:rsidRPr="001D0671">
        <w:rPr>
          <w:rFonts w:ascii="Times New Roman" w:hAnsi="Times New Roman"/>
          <w:bCs/>
          <w:sz w:val="24"/>
          <w:szCs w:val="24"/>
        </w:rPr>
        <w:t xml:space="preserve"> Papildome, jog kliūtimi miško veisimui yra Lietuvos Respublikos žemės ūkio paskirties žemės įsigijimo laikinojo įstatymo Nr. IX-1314 pakeitimo įstatymo 2014 m. balandžio 24 d. Nr. XII-854 nuostatos, įpareigojančios asmenis, įsigijusius žemės ūkio paskirties žemės, ne mažiau kaip 5 metus nuo žemės įsigijimo užtikrinti jos naudojimą žemės ūkio veiklai.</w:t>
      </w:r>
    </w:p>
    <w:p w14:paraId="231FC3C1" w14:textId="77777777" w:rsidR="00540B96" w:rsidRPr="00CD720C" w:rsidRDefault="00540B96" w:rsidP="00540B96">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Veiksmai:</w:t>
      </w:r>
    </w:p>
    <w:p w14:paraId="30599E1D" w14:textId="7C0BB668" w:rsidR="00820B5A" w:rsidRPr="00CD720C" w:rsidRDefault="00820B5A"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Dėl priemonės</w:t>
      </w:r>
      <w:r w:rsidRPr="00CD720C">
        <w:rPr>
          <w:rFonts w:ascii="Times New Roman" w:hAnsi="Times New Roman"/>
          <w:b/>
          <w:bCs/>
          <w:sz w:val="24"/>
          <w:szCs w:val="24"/>
        </w:rPr>
        <w:t xml:space="preserve"> </w:t>
      </w:r>
      <w:r w:rsidRPr="00CD720C">
        <w:rPr>
          <w:rFonts w:ascii="Times New Roman" w:hAnsi="Times New Roman"/>
          <w:bCs/>
          <w:sz w:val="24"/>
          <w:szCs w:val="24"/>
        </w:rPr>
        <w:t>„Parama biodujų gamybai iš žemės ūkio ir kitų atliekų“</w:t>
      </w:r>
      <w:r w:rsidR="00A312CC" w:rsidRPr="00CD720C">
        <w:rPr>
          <w:rFonts w:ascii="Times New Roman" w:hAnsi="Times New Roman"/>
          <w:bCs/>
          <w:sz w:val="24"/>
          <w:szCs w:val="24"/>
        </w:rPr>
        <w:t xml:space="preserve">. </w:t>
      </w:r>
      <w:r w:rsidR="00D80AF5">
        <w:rPr>
          <w:rFonts w:ascii="Times New Roman" w:hAnsi="Times New Roman"/>
          <w:bCs/>
          <w:sz w:val="24"/>
          <w:szCs w:val="24"/>
        </w:rPr>
        <w:t>Pasirašytos</w:t>
      </w:r>
      <w:r w:rsidRPr="00CD720C">
        <w:rPr>
          <w:rFonts w:ascii="Times New Roman" w:hAnsi="Times New Roman"/>
          <w:bCs/>
          <w:sz w:val="24"/>
          <w:szCs w:val="24"/>
        </w:rPr>
        <w:t xml:space="preserve"> </w:t>
      </w:r>
      <w:r w:rsidR="00D80AF5">
        <w:rPr>
          <w:rFonts w:ascii="Times New Roman" w:hAnsi="Times New Roman"/>
          <w:bCs/>
          <w:sz w:val="24"/>
          <w:szCs w:val="24"/>
        </w:rPr>
        <w:t xml:space="preserve">9 </w:t>
      </w:r>
      <w:r w:rsidRPr="00CD720C">
        <w:rPr>
          <w:rFonts w:ascii="Times New Roman" w:hAnsi="Times New Roman"/>
          <w:bCs/>
          <w:sz w:val="24"/>
          <w:szCs w:val="24"/>
        </w:rPr>
        <w:t>paramos sutart</w:t>
      </w:r>
      <w:r w:rsidR="00D80AF5">
        <w:rPr>
          <w:rFonts w:ascii="Times New Roman" w:hAnsi="Times New Roman"/>
          <w:bCs/>
          <w:sz w:val="24"/>
          <w:szCs w:val="24"/>
        </w:rPr>
        <w:t>y</w:t>
      </w:r>
      <w:r w:rsidRPr="00CD720C">
        <w:rPr>
          <w:rFonts w:ascii="Times New Roman" w:hAnsi="Times New Roman"/>
          <w:bCs/>
          <w:sz w:val="24"/>
          <w:szCs w:val="24"/>
        </w:rPr>
        <w:t xml:space="preserve">s su </w:t>
      </w:r>
      <w:r w:rsidR="00A312CC" w:rsidRPr="00CD720C">
        <w:rPr>
          <w:rFonts w:ascii="Times New Roman" w:hAnsi="Times New Roman"/>
          <w:bCs/>
          <w:sz w:val="24"/>
          <w:szCs w:val="24"/>
        </w:rPr>
        <w:t>Nacionaline mokėjimo agentūra prie Žemės ūkio ministerijos</w:t>
      </w:r>
      <w:r w:rsidR="000B16C2">
        <w:rPr>
          <w:rFonts w:ascii="Times New Roman" w:hAnsi="Times New Roman"/>
          <w:bCs/>
          <w:sz w:val="24"/>
          <w:szCs w:val="24"/>
        </w:rPr>
        <w:t xml:space="preserve"> (toliau – NMA)</w:t>
      </w:r>
      <w:r w:rsidR="00A312CC" w:rsidRPr="00CD720C">
        <w:rPr>
          <w:rFonts w:ascii="Times New Roman" w:hAnsi="Times New Roman"/>
          <w:bCs/>
          <w:sz w:val="24"/>
          <w:szCs w:val="24"/>
        </w:rPr>
        <w:t>.</w:t>
      </w:r>
      <w:r w:rsidRPr="00CD720C">
        <w:rPr>
          <w:rFonts w:ascii="Times New Roman" w:hAnsi="Times New Roman"/>
          <w:bCs/>
          <w:sz w:val="24"/>
          <w:szCs w:val="24"/>
        </w:rPr>
        <w:t xml:space="preserve"> </w:t>
      </w:r>
      <w:r w:rsidR="00DA0B3D">
        <w:rPr>
          <w:rFonts w:ascii="Times New Roman" w:hAnsi="Times New Roman"/>
          <w:bCs/>
          <w:sz w:val="24"/>
          <w:szCs w:val="24"/>
        </w:rPr>
        <w:t xml:space="preserve">Pagal </w:t>
      </w:r>
      <w:r w:rsidR="000E6CCC">
        <w:rPr>
          <w:rFonts w:ascii="Times New Roman" w:hAnsi="Times New Roman"/>
          <w:bCs/>
          <w:sz w:val="24"/>
          <w:szCs w:val="24"/>
        </w:rPr>
        <w:t xml:space="preserve">sutartyse </w:t>
      </w:r>
      <w:r w:rsidR="00DA0B3D">
        <w:rPr>
          <w:rFonts w:ascii="Times New Roman" w:hAnsi="Times New Roman"/>
          <w:bCs/>
          <w:sz w:val="24"/>
          <w:szCs w:val="24"/>
        </w:rPr>
        <w:t>patvirtintus įgyvendinimo planus š</w:t>
      </w:r>
      <w:r w:rsidRPr="00CD720C">
        <w:rPr>
          <w:rFonts w:ascii="Times New Roman" w:hAnsi="Times New Roman"/>
          <w:bCs/>
          <w:sz w:val="24"/>
          <w:szCs w:val="24"/>
        </w:rPr>
        <w:t xml:space="preserve">. m. antrą pusmetį </w:t>
      </w:r>
      <w:r w:rsidRPr="00CD720C">
        <w:rPr>
          <w:rFonts w:ascii="Times New Roman" w:hAnsi="Times New Roman"/>
          <w:bCs/>
          <w:sz w:val="24"/>
          <w:szCs w:val="24"/>
        </w:rPr>
        <w:lastRenderedPageBreak/>
        <w:t>turėtų būti pradėti šių biodujų jėgainių statybos darbai</w:t>
      </w:r>
      <w:r w:rsidR="001C0BF8">
        <w:rPr>
          <w:rFonts w:ascii="Times New Roman" w:hAnsi="Times New Roman"/>
          <w:bCs/>
          <w:sz w:val="24"/>
          <w:szCs w:val="24"/>
        </w:rPr>
        <w:t xml:space="preserve"> (t. y. pateikta bent</w:t>
      </w:r>
      <w:r w:rsidR="000E6CCC">
        <w:rPr>
          <w:rFonts w:ascii="Times New Roman" w:hAnsi="Times New Roman"/>
          <w:bCs/>
          <w:sz w:val="24"/>
          <w:szCs w:val="24"/>
        </w:rPr>
        <w:t xml:space="preserve"> po</w:t>
      </w:r>
      <w:r w:rsidR="001C0BF8">
        <w:rPr>
          <w:rFonts w:ascii="Times New Roman" w:hAnsi="Times New Roman"/>
          <w:bCs/>
          <w:sz w:val="24"/>
          <w:szCs w:val="24"/>
        </w:rPr>
        <w:t xml:space="preserve"> 1 mokėjimo prašym</w:t>
      </w:r>
      <w:r w:rsidR="000E6CCC">
        <w:rPr>
          <w:rFonts w:ascii="Times New Roman" w:hAnsi="Times New Roman"/>
          <w:bCs/>
          <w:sz w:val="24"/>
          <w:szCs w:val="24"/>
        </w:rPr>
        <w:t>ą</w:t>
      </w:r>
      <w:r w:rsidR="001C0BF8">
        <w:rPr>
          <w:rFonts w:ascii="Times New Roman" w:hAnsi="Times New Roman"/>
          <w:bCs/>
          <w:sz w:val="24"/>
          <w:szCs w:val="24"/>
        </w:rPr>
        <w:t>)</w:t>
      </w:r>
      <w:r w:rsidRPr="00CD720C">
        <w:rPr>
          <w:rFonts w:ascii="Times New Roman" w:hAnsi="Times New Roman"/>
          <w:bCs/>
          <w:sz w:val="24"/>
          <w:szCs w:val="24"/>
        </w:rPr>
        <w:t>.</w:t>
      </w:r>
    </w:p>
    <w:p w14:paraId="5CDC546B" w14:textId="35B8359E" w:rsidR="00D35C44" w:rsidRPr="00CD720C" w:rsidRDefault="00D35C44"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Dėl priemonės „Agrarinė aplinkosauga ir klimatas“ įgyvendinimo:</w:t>
      </w:r>
    </w:p>
    <w:p w14:paraId="4F91BDE0" w14:textId="50518FF6" w:rsidR="00D53319" w:rsidRPr="00A0310B" w:rsidRDefault="00D53319" w:rsidP="00D53319">
      <w:pPr>
        <w:pStyle w:val="Sraopastraipa"/>
        <w:numPr>
          <w:ilvl w:val="1"/>
          <w:numId w:val="1"/>
        </w:numPr>
        <w:spacing w:line="276" w:lineRule="auto"/>
        <w:jc w:val="both"/>
        <w:rPr>
          <w:rFonts w:ascii="Times New Roman" w:eastAsia="Times New Roman" w:hAnsi="Times New Roman"/>
          <w:sz w:val="24"/>
          <w:szCs w:val="24"/>
        </w:rPr>
      </w:pPr>
      <w:r w:rsidRPr="00A0310B">
        <w:rPr>
          <w:rFonts w:ascii="Times New Roman" w:eastAsia="Times New Roman" w:hAnsi="Times New Roman"/>
          <w:sz w:val="24"/>
          <w:szCs w:val="24"/>
        </w:rPr>
        <w:t xml:space="preserve">priemonė papildyta naujomis veiklomis „Ražienų laukai per žiemą“ ir „Tarpinių pasėlių auginimas ariamojoje žemėje“ (Programos pakeitimui EK pritarė 2018-06-12). 2018 m. pagal šias veiklas pradėtos rinkti paraiškos. Pareiškėjai deklaravo, kad jau 2018 m. šias veiklas pradės vykdyti 52,6 tūkst. ha įsipareigotame pagal priemonę plote. Įtraukus šiuos plotus į 2018 m. peržiūros plano rodiklius kaip pradėtus įgyvendinti – jau 2018 m. bus palikti ražienų laukai per žiemą, pasėti tarpiniai pasėliai – tikimasi </w:t>
      </w:r>
      <w:r w:rsidR="006B6E3E">
        <w:rPr>
          <w:rFonts w:ascii="Times New Roman" w:eastAsia="Times New Roman" w:hAnsi="Times New Roman"/>
          <w:sz w:val="24"/>
          <w:szCs w:val="24"/>
        </w:rPr>
        <w:t>žymiai</w:t>
      </w:r>
      <w:r w:rsidRPr="00A0310B">
        <w:rPr>
          <w:rFonts w:ascii="Times New Roman" w:eastAsia="Times New Roman" w:hAnsi="Times New Roman"/>
          <w:sz w:val="24"/>
          <w:szCs w:val="24"/>
        </w:rPr>
        <w:t xml:space="preserve"> pagerinti 5 prioriteto su plotais susijusio orientyro pasiekimo mastą (lentelėje prie 5 prioriteto orientyro skliausteliuose nurodyti duomenys jau įtraukus šių veiklų plotus).</w:t>
      </w:r>
    </w:p>
    <w:p w14:paraId="10D6F5BB" w14:textId="77777777" w:rsidR="00D35C44" w:rsidRPr="00CD720C" w:rsidRDefault="00D35C44"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Dėl priemonės „Miško įveisimas ir miškingų plotų kūrimas“ įgyvendinimo:</w:t>
      </w:r>
    </w:p>
    <w:p w14:paraId="19A5BA7D" w14:textId="7A1FC388" w:rsidR="00D35C44" w:rsidRPr="00F04199" w:rsidRDefault="00D35C44" w:rsidP="00A312CC">
      <w:pPr>
        <w:pStyle w:val="Sraopastraipa"/>
        <w:numPr>
          <w:ilvl w:val="1"/>
          <w:numId w:val="1"/>
        </w:numPr>
        <w:spacing w:line="276" w:lineRule="auto"/>
        <w:jc w:val="both"/>
        <w:rPr>
          <w:rFonts w:ascii="Times New Roman" w:hAnsi="Times New Roman"/>
          <w:bCs/>
          <w:sz w:val="24"/>
          <w:szCs w:val="24"/>
        </w:rPr>
      </w:pPr>
      <w:r w:rsidRPr="00F04199">
        <w:rPr>
          <w:rFonts w:ascii="Times New Roman" w:hAnsi="Times New Roman"/>
          <w:bCs/>
          <w:sz w:val="24"/>
          <w:szCs w:val="24"/>
        </w:rPr>
        <w:t>vyksta susitikimai su Aplinkos ministerija, kuriuose svarstomos priemonės populiarumo didinimo galimybės</w:t>
      </w:r>
      <w:r w:rsidR="00314D27" w:rsidRPr="00F04199">
        <w:rPr>
          <w:rFonts w:ascii="Times New Roman" w:hAnsi="Times New Roman"/>
          <w:bCs/>
          <w:sz w:val="24"/>
          <w:szCs w:val="24"/>
        </w:rPr>
        <w:t>;</w:t>
      </w:r>
    </w:p>
    <w:p w14:paraId="6F7FFA0F" w14:textId="6F2EE756" w:rsidR="0073319F" w:rsidRPr="00F04199" w:rsidRDefault="00CD0E1A" w:rsidP="00A312CC">
      <w:pPr>
        <w:pStyle w:val="Sraopastraipa"/>
        <w:numPr>
          <w:ilvl w:val="1"/>
          <w:numId w:val="1"/>
        </w:numPr>
        <w:spacing w:line="276" w:lineRule="auto"/>
        <w:jc w:val="both"/>
        <w:rPr>
          <w:rFonts w:ascii="Times New Roman" w:hAnsi="Times New Roman"/>
          <w:bCs/>
          <w:sz w:val="24"/>
          <w:szCs w:val="24"/>
        </w:rPr>
      </w:pPr>
      <w:r w:rsidRPr="00F04199">
        <w:rPr>
          <w:rFonts w:ascii="Times New Roman" w:hAnsi="Times New Roman"/>
          <w:bCs/>
          <w:sz w:val="24"/>
          <w:szCs w:val="24"/>
        </w:rPr>
        <w:t>a</w:t>
      </w:r>
      <w:r w:rsidR="00B23808" w:rsidRPr="00F04199">
        <w:rPr>
          <w:rFonts w:ascii="Times New Roman" w:hAnsi="Times New Roman"/>
          <w:bCs/>
          <w:sz w:val="24"/>
          <w:szCs w:val="24"/>
        </w:rPr>
        <w:t>tsižvelgus į tai,</w:t>
      </w:r>
      <w:r w:rsidR="00D35C44" w:rsidRPr="00F04199">
        <w:rPr>
          <w:rFonts w:ascii="Times New Roman" w:hAnsi="Times New Roman"/>
          <w:bCs/>
          <w:sz w:val="24"/>
          <w:szCs w:val="24"/>
        </w:rPr>
        <w:t xml:space="preserve"> kad dalis įveistų miškų nukentėjo dėl ekstremalios situacijos (didelio kritulių kiekio) Lietuvoje,</w:t>
      </w:r>
      <w:r w:rsidR="00B23808" w:rsidRPr="00F04199">
        <w:rPr>
          <w:rFonts w:ascii="Times New Roman" w:hAnsi="Times New Roman"/>
          <w:bCs/>
          <w:sz w:val="24"/>
          <w:szCs w:val="24"/>
        </w:rPr>
        <w:t xml:space="preserve"> </w:t>
      </w:r>
      <w:r w:rsidR="00D35C44" w:rsidRPr="00F04199">
        <w:rPr>
          <w:rFonts w:ascii="Times New Roman" w:hAnsi="Times New Roman"/>
          <w:bCs/>
          <w:sz w:val="24"/>
          <w:szCs w:val="24"/>
        </w:rPr>
        <w:t>siūloma</w:t>
      </w:r>
      <w:r w:rsidR="00B23808" w:rsidRPr="00F04199">
        <w:rPr>
          <w:rFonts w:ascii="Times New Roman" w:hAnsi="Times New Roman"/>
          <w:bCs/>
          <w:sz w:val="24"/>
          <w:szCs w:val="24"/>
        </w:rPr>
        <w:t xml:space="preserve"> Programoje </w:t>
      </w:r>
      <w:r w:rsidR="003C0B88" w:rsidRPr="00F04199">
        <w:rPr>
          <w:rFonts w:ascii="Times New Roman" w:hAnsi="Times New Roman"/>
          <w:bCs/>
          <w:sz w:val="24"/>
          <w:szCs w:val="24"/>
        </w:rPr>
        <w:t>pa</w:t>
      </w:r>
      <w:r w:rsidR="00B23808" w:rsidRPr="00F04199">
        <w:rPr>
          <w:rFonts w:ascii="Times New Roman" w:hAnsi="Times New Roman"/>
          <w:bCs/>
          <w:sz w:val="24"/>
          <w:szCs w:val="24"/>
        </w:rPr>
        <w:t>koreguoti rodikli</w:t>
      </w:r>
      <w:r w:rsidR="003C0B88" w:rsidRPr="00F04199">
        <w:rPr>
          <w:rFonts w:ascii="Times New Roman" w:hAnsi="Times New Roman"/>
          <w:bCs/>
          <w:sz w:val="24"/>
          <w:szCs w:val="24"/>
        </w:rPr>
        <w:t>ai (Programos pakeitimui EK pritarė 2018-06-12)</w:t>
      </w:r>
      <w:r w:rsidR="00774920" w:rsidRPr="00F04199">
        <w:rPr>
          <w:rFonts w:ascii="Times New Roman" w:hAnsi="Times New Roman"/>
          <w:bCs/>
          <w:sz w:val="24"/>
          <w:szCs w:val="24"/>
        </w:rPr>
        <w:t>;</w:t>
      </w:r>
    </w:p>
    <w:p w14:paraId="6FE1552E" w14:textId="0F67E1BC" w:rsidR="00774920" w:rsidRPr="00F04199" w:rsidRDefault="00774920" w:rsidP="00774920">
      <w:pPr>
        <w:pStyle w:val="Sraopastraipa"/>
        <w:numPr>
          <w:ilvl w:val="1"/>
          <w:numId w:val="1"/>
        </w:numPr>
        <w:spacing w:line="276" w:lineRule="auto"/>
        <w:jc w:val="both"/>
        <w:rPr>
          <w:rFonts w:ascii="Times New Roman" w:hAnsi="Times New Roman"/>
          <w:bCs/>
          <w:sz w:val="24"/>
          <w:szCs w:val="24"/>
        </w:rPr>
      </w:pPr>
      <w:r w:rsidRPr="00F04199">
        <w:rPr>
          <w:rFonts w:ascii="Times New Roman" w:hAnsi="Times New Roman"/>
          <w:bCs/>
          <w:sz w:val="24"/>
          <w:szCs w:val="24"/>
        </w:rPr>
        <w:t xml:space="preserve">siekiant sudaryti geresnes galimybes pareiškėjams pateikti paraiškas, </w:t>
      </w:r>
      <w:r w:rsidR="002B64CA" w:rsidRPr="00F04199">
        <w:rPr>
          <w:rFonts w:ascii="Times New Roman" w:hAnsi="Times New Roman"/>
          <w:bCs/>
          <w:sz w:val="24"/>
          <w:szCs w:val="24"/>
        </w:rPr>
        <w:t xml:space="preserve">2018 m. </w:t>
      </w:r>
      <w:r w:rsidRPr="00F04199">
        <w:rPr>
          <w:rFonts w:ascii="Times New Roman" w:hAnsi="Times New Roman"/>
          <w:bCs/>
          <w:sz w:val="24"/>
          <w:szCs w:val="24"/>
        </w:rPr>
        <w:t>paraiškų priėmim</w:t>
      </w:r>
      <w:r w:rsidR="002B64CA" w:rsidRPr="00F04199">
        <w:rPr>
          <w:rFonts w:ascii="Times New Roman" w:hAnsi="Times New Roman"/>
          <w:bCs/>
          <w:sz w:val="24"/>
          <w:szCs w:val="24"/>
        </w:rPr>
        <w:t>as</w:t>
      </w:r>
      <w:r w:rsidRPr="00F04199">
        <w:rPr>
          <w:rFonts w:ascii="Times New Roman" w:hAnsi="Times New Roman"/>
          <w:bCs/>
          <w:sz w:val="24"/>
          <w:szCs w:val="24"/>
        </w:rPr>
        <w:t xml:space="preserve"> organizuo</w:t>
      </w:r>
      <w:r w:rsidR="002B64CA" w:rsidRPr="00F04199">
        <w:rPr>
          <w:rFonts w:ascii="Times New Roman" w:hAnsi="Times New Roman"/>
          <w:bCs/>
          <w:sz w:val="24"/>
          <w:szCs w:val="24"/>
        </w:rPr>
        <w:t>jamas</w:t>
      </w:r>
      <w:r w:rsidRPr="00F04199">
        <w:rPr>
          <w:rFonts w:ascii="Times New Roman" w:hAnsi="Times New Roman"/>
          <w:bCs/>
          <w:sz w:val="24"/>
          <w:szCs w:val="24"/>
        </w:rPr>
        <w:t xml:space="preserve"> 2 kartus.</w:t>
      </w:r>
    </w:p>
    <w:p w14:paraId="2091D9D1" w14:textId="77777777" w:rsidR="00C92161" w:rsidRPr="00CD720C" w:rsidRDefault="00C92161" w:rsidP="00C92161">
      <w:pPr>
        <w:spacing w:line="276" w:lineRule="auto"/>
        <w:rPr>
          <w:rFonts w:ascii="Times New Roman"/>
          <w:bCs/>
          <w:sz w:val="24"/>
        </w:rPr>
      </w:pPr>
    </w:p>
    <w:p w14:paraId="6699E862" w14:textId="3973B960" w:rsidR="00790CB4" w:rsidRPr="00CD720C" w:rsidRDefault="007C3007" w:rsidP="00166EA2">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2.3. Šešto prioriteto (P6) įgyvendinimo problemos ir vadovaujančios institucijos veiksmai</w:t>
      </w:r>
    </w:p>
    <w:p w14:paraId="75CA3097" w14:textId="236565DC" w:rsidR="00226C73" w:rsidRDefault="00226C73" w:rsidP="00B35AB3">
      <w:pPr>
        <w:pStyle w:val="Sraopastraipa"/>
        <w:spacing w:line="276" w:lineRule="auto"/>
        <w:ind w:left="0" w:firstLine="1134"/>
        <w:jc w:val="both"/>
        <w:rPr>
          <w:rFonts w:ascii="Times New Roman" w:hAnsi="Times New Roman"/>
          <w:bCs/>
          <w:sz w:val="24"/>
        </w:rPr>
      </w:pPr>
      <w:r>
        <w:rPr>
          <w:rFonts w:ascii="Times New Roman" w:hAnsi="Times New Roman"/>
          <w:bCs/>
          <w:sz w:val="24"/>
        </w:rPr>
        <w:t>Šio</w:t>
      </w:r>
      <w:r w:rsidRPr="00CD720C">
        <w:rPr>
          <w:rFonts w:ascii="Times New Roman" w:hAnsi="Times New Roman"/>
          <w:bCs/>
          <w:sz w:val="24"/>
        </w:rPr>
        <w:t xml:space="preserve"> prioriteto rodiklio „Bendros viešosios išlaidos“ orientyro reikšmė pasiekta tik 2</w:t>
      </w:r>
      <w:r w:rsidR="00B34583">
        <w:rPr>
          <w:rFonts w:ascii="Times New Roman" w:hAnsi="Times New Roman"/>
          <w:bCs/>
          <w:sz w:val="24"/>
        </w:rPr>
        <w:t>7,5</w:t>
      </w:r>
      <w:r w:rsidRPr="00CD720C">
        <w:rPr>
          <w:rFonts w:ascii="Times New Roman" w:hAnsi="Times New Roman"/>
          <w:bCs/>
          <w:sz w:val="24"/>
        </w:rPr>
        <w:t xml:space="preserve"> proc.</w:t>
      </w:r>
    </w:p>
    <w:p w14:paraId="538A34E1" w14:textId="12843AA3" w:rsidR="00B35AB3" w:rsidRPr="00CD720C" w:rsidRDefault="00B35AB3" w:rsidP="00B35AB3">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Problemos:</w:t>
      </w:r>
    </w:p>
    <w:p w14:paraId="632B8562" w14:textId="6C2C3E1C" w:rsidR="00B35AB3" w:rsidRPr="00CD720C" w:rsidRDefault="00F908A5"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Užtruko</w:t>
      </w:r>
      <w:r w:rsidR="00B35AB3" w:rsidRPr="00CD720C">
        <w:rPr>
          <w:rFonts w:ascii="Times New Roman" w:hAnsi="Times New Roman"/>
          <w:bCs/>
          <w:sz w:val="24"/>
          <w:szCs w:val="24"/>
        </w:rPr>
        <w:t xml:space="preserve"> priemonės „LEADER programa“ vietos plėtros strategijų </w:t>
      </w:r>
      <w:r w:rsidR="008161C6" w:rsidRPr="00CD720C">
        <w:rPr>
          <w:rFonts w:ascii="Times New Roman" w:hAnsi="Times New Roman"/>
          <w:bCs/>
          <w:sz w:val="24"/>
          <w:szCs w:val="24"/>
        </w:rPr>
        <w:t xml:space="preserve">(toliau – VPS) </w:t>
      </w:r>
      <w:r w:rsidR="00B35AB3" w:rsidRPr="00CD720C">
        <w:rPr>
          <w:rFonts w:ascii="Times New Roman" w:hAnsi="Times New Roman"/>
          <w:bCs/>
          <w:sz w:val="24"/>
          <w:szCs w:val="24"/>
        </w:rPr>
        <w:t>įgyvendinim</w:t>
      </w:r>
      <w:r>
        <w:rPr>
          <w:rFonts w:ascii="Times New Roman" w:hAnsi="Times New Roman"/>
          <w:bCs/>
          <w:sz w:val="24"/>
          <w:szCs w:val="24"/>
        </w:rPr>
        <w:t>o pradžia</w:t>
      </w:r>
      <w:r w:rsidR="00B35AB3" w:rsidRPr="00CD720C">
        <w:rPr>
          <w:rFonts w:ascii="Times New Roman" w:hAnsi="Times New Roman"/>
          <w:bCs/>
          <w:sz w:val="24"/>
          <w:szCs w:val="24"/>
        </w:rPr>
        <w:t>;</w:t>
      </w:r>
    </w:p>
    <w:p w14:paraId="7F72929E" w14:textId="527AA150" w:rsidR="00B35AB3" w:rsidRPr="00CD720C" w:rsidRDefault="00B35AB3"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Atsilieka priemonės „Ūkio ir verslo plėtra“ veiklų sričių „Parama ekonominės veiklos pradžiai kaimo vietovėse“ ir „Parama investicijoms, skirtoms ekonominės veiklos kūrimui ir plėtrai“ įgyvendinimas;</w:t>
      </w:r>
    </w:p>
    <w:p w14:paraId="458B6C67" w14:textId="38E6FDAE" w:rsidR="00B35AB3" w:rsidRPr="00CD720C" w:rsidRDefault="00940E70"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 xml:space="preserve">Užtruko </w:t>
      </w:r>
      <w:r w:rsidR="002B652B" w:rsidRPr="00CD720C">
        <w:rPr>
          <w:rFonts w:ascii="Times New Roman" w:hAnsi="Times New Roman"/>
          <w:bCs/>
          <w:sz w:val="24"/>
          <w:szCs w:val="24"/>
        </w:rPr>
        <w:t xml:space="preserve">veiklos srities </w:t>
      </w:r>
      <w:r w:rsidR="00B35AB3" w:rsidRPr="00CD720C">
        <w:rPr>
          <w:rFonts w:ascii="Times New Roman" w:hAnsi="Times New Roman"/>
          <w:bCs/>
          <w:sz w:val="24"/>
          <w:szCs w:val="24"/>
        </w:rPr>
        <w:t>„</w:t>
      </w:r>
      <w:r w:rsidR="002B652B" w:rsidRPr="00CD720C">
        <w:rPr>
          <w:rFonts w:ascii="Times New Roman" w:hAnsi="Times New Roman"/>
          <w:bCs/>
          <w:sz w:val="24"/>
          <w:szCs w:val="24"/>
        </w:rPr>
        <w:t>Parama investicijoms į v</w:t>
      </w:r>
      <w:r w:rsidR="00B35AB3" w:rsidRPr="00CD720C">
        <w:rPr>
          <w:rFonts w:ascii="Times New Roman" w:hAnsi="Times New Roman"/>
          <w:bCs/>
          <w:sz w:val="24"/>
          <w:szCs w:val="24"/>
        </w:rPr>
        <w:t>isų rūšių mažos apimties infrastruktūr</w:t>
      </w:r>
      <w:r w:rsidR="002B652B" w:rsidRPr="00CD720C">
        <w:rPr>
          <w:rFonts w:ascii="Times New Roman" w:hAnsi="Times New Roman"/>
          <w:bCs/>
          <w:sz w:val="24"/>
          <w:szCs w:val="24"/>
        </w:rPr>
        <w:t>ą</w:t>
      </w:r>
      <w:r w:rsidR="00B35AB3" w:rsidRPr="00CD720C">
        <w:rPr>
          <w:rFonts w:ascii="Times New Roman" w:hAnsi="Times New Roman"/>
          <w:bCs/>
          <w:sz w:val="24"/>
          <w:szCs w:val="24"/>
        </w:rPr>
        <w:t>“ įgyvendinim</w:t>
      </w:r>
      <w:r w:rsidRPr="00CD720C">
        <w:rPr>
          <w:rFonts w:ascii="Times New Roman" w:hAnsi="Times New Roman"/>
          <w:bCs/>
          <w:sz w:val="24"/>
          <w:szCs w:val="24"/>
        </w:rPr>
        <w:t>o pradžia.</w:t>
      </w:r>
      <w:r w:rsidR="00B35AB3" w:rsidRPr="00CD720C">
        <w:rPr>
          <w:rFonts w:ascii="Times New Roman" w:hAnsi="Times New Roman"/>
          <w:bCs/>
          <w:sz w:val="24"/>
          <w:szCs w:val="24"/>
        </w:rPr>
        <w:t xml:space="preserve"> </w:t>
      </w:r>
    </w:p>
    <w:p w14:paraId="75947D90" w14:textId="1EBB0288" w:rsidR="00B35AB3" w:rsidRPr="00CD720C" w:rsidRDefault="003E4D4A" w:rsidP="00166EA2">
      <w:pPr>
        <w:pStyle w:val="Sraopastraipa"/>
        <w:spacing w:line="276" w:lineRule="auto"/>
        <w:ind w:left="0" w:firstLine="1134"/>
        <w:jc w:val="both"/>
        <w:rPr>
          <w:rFonts w:ascii="Times New Roman" w:hAnsi="Times New Roman"/>
          <w:bCs/>
          <w:sz w:val="24"/>
          <w:szCs w:val="24"/>
        </w:rPr>
      </w:pPr>
      <w:r w:rsidRPr="00CD720C">
        <w:rPr>
          <w:rFonts w:ascii="Times New Roman" w:hAnsi="Times New Roman"/>
          <w:b/>
          <w:bCs/>
          <w:sz w:val="24"/>
          <w:szCs w:val="24"/>
        </w:rPr>
        <w:t>Priežastys:</w:t>
      </w:r>
    </w:p>
    <w:p w14:paraId="2B3E1F44" w14:textId="4857AD38" w:rsidR="00D41518" w:rsidRPr="00E358E4" w:rsidRDefault="00E358E4" w:rsidP="00E358E4">
      <w:pPr>
        <w:pStyle w:val="Sraopastraipa"/>
        <w:numPr>
          <w:ilvl w:val="0"/>
          <w:numId w:val="1"/>
        </w:numPr>
        <w:spacing w:line="276" w:lineRule="auto"/>
        <w:jc w:val="both"/>
        <w:rPr>
          <w:rFonts w:ascii="Times New Roman" w:hAnsi="Times New Roman"/>
          <w:bCs/>
          <w:sz w:val="24"/>
          <w:szCs w:val="24"/>
        </w:rPr>
      </w:pPr>
      <w:r w:rsidRPr="00E358E4">
        <w:rPr>
          <w:rFonts w:ascii="Times New Roman" w:eastAsia="Times New Roman" w:hAnsi="Times New Roman"/>
          <w:sz w:val="24"/>
          <w:szCs w:val="24"/>
        </w:rPr>
        <w:t xml:space="preserve">Dėl </w:t>
      </w:r>
      <w:r w:rsidRPr="00E358E4">
        <w:rPr>
          <w:rFonts w:ascii="Times New Roman" w:hAnsi="Times New Roman"/>
          <w:bCs/>
          <w:sz w:val="24"/>
          <w:szCs w:val="24"/>
        </w:rPr>
        <w:t>priemonės „LEADER programa“ vietos plėtros strategijų (VPS) įgyvendinimo situacijos priežastys buvo pateiktos 1 ketvirčio ataskaitoje (</w:t>
      </w:r>
      <w:r w:rsidR="006B7A30" w:rsidRPr="00E358E4">
        <w:rPr>
          <w:rFonts w:ascii="Times New Roman" w:hAnsi="Times New Roman"/>
          <w:bCs/>
          <w:sz w:val="24"/>
          <w:szCs w:val="24"/>
        </w:rPr>
        <w:t>sudėtinga LEADER vietos plėtros strategijų administravimo sistema, kadangi dalyvauja daug šalių</w:t>
      </w:r>
      <w:r w:rsidR="00D41518" w:rsidRPr="00E358E4">
        <w:rPr>
          <w:rFonts w:ascii="Times New Roman" w:hAnsi="Times New Roman"/>
          <w:bCs/>
          <w:sz w:val="24"/>
          <w:szCs w:val="24"/>
        </w:rPr>
        <w:t>;</w:t>
      </w:r>
      <w:r w:rsidRPr="00E358E4">
        <w:rPr>
          <w:rFonts w:ascii="Times New Roman" w:hAnsi="Times New Roman"/>
          <w:bCs/>
          <w:sz w:val="24"/>
          <w:szCs w:val="24"/>
        </w:rPr>
        <w:t xml:space="preserve"> </w:t>
      </w:r>
      <w:r w:rsidR="00D41518" w:rsidRPr="00E358E4">
        <w:rPr>
          <w:rFonts w:ascii="Times New Roman" w:hAnsi="Times New Roman"/>
          <w:bCs/>
          <w:sz w:val="24"/>
          <w:szCs w:val="24"/>
        </w:rPr>
        <w:t>vietos veiklos grupės vėlai pradėjo organizuoti kvietimus teikti vietos projektų paraiškas;</w:t>
      </w:r>
      <w:r w:rsidRPr="00E358E4">
        <w:rPr>
          <w:rFonts w:ascii="Times New Roman" w:hAnsi="Times New Roman"/>
          <w:bCs/>
          <w:sz w:val="24"/>
          <w:szCs w:val="24"/>
        </w:rPr>
        <w:t xml:space="preserve"> VPS</w:t>
      </w:r>
      <w:r w:rsidR="00D41518" w:rsidRPr="00E358E4">
        <w:rPr>
          <w:rFonts w:ascii="Times New Roman" w:hAnsi="Times New Roman"/>
          <w:bCs/>
          <w:sz w:val="24"/>
          <w:szCs w:val="24"/>
        </w:rPr>
        <w:t xml:space="preserve"> tema yra sudėtinga ir reikalauja geresnio vietos veiklos grupių ir potencialių projektų vykdytojų pasirengimo;</w:t>
      </w:r>
      <w:r w:rsidRPr="00E358E4">
        <w:rPr>
          <w:rFonts w:ascii="Times New Roman" w:hAnsi="Times New Roman"/>
          <w:bCs/>
          <w:sz w:val="24"/>
          <w:szCs w:val="24"/>
        </w:rPr>
        <w:t xml:space="preserve"> </w:t>
      </w:r>
      <w:r w:rsidR="00BF7782" w:rsidRPr="00E358E4">
        <w:rPr>
          <w:rFonts w:ascii="Times New Roman" w:hAnsi="Times New Roman"/>
          <w:bCs/>
          <w:sz w:val="24"/>
          <w:szCs w:val="24"/>
        </w:rPr>
        <w:t>p</w:t>
      </w:r>
      <w:r w:rsidR="00D41518" w:rsidRPr="00E358E4">
        <w:rPr>
          <w:rFonts w:ascii="Times New Roman" w:hAnsi="Times New Roman"/>
          <w:bCs/>
          <w:sz w:val="24"/>
          <w:szCs w:val="24"/>
        </w:rPr>
        <w:t>aramos lėšomis netinkamas finansuoti pridėtinės vertės mokestis bendruomeninio ar NVO socialinio verslo vietos projektuose, o tai žymiai padidina verslo patirties neturinčių subjektų finansinę naštą ir įsipareigojimus</w:t>
      </w:r>
      <w:r>
        <w:rPr>
          <w:rFonts w:ascii="Times New Roman" w:hAnsi="Times New Roman"/>
          <w:bCs/>
          <w:sz w:val="24"/>
          <w:szCs w:val="24"/>
        </w:rPr>
        <w:t>);</w:t>
      </w:r>
    </w:p>
    <w:p w14:paraId="1B73D571" w14:textId="759B0DD3" w:rsidR="00030430" w:rsidRPr="00CD720C" w:rsidRDefault="007B1AAE" w:rsidP="00A312CC">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Dėl priemonės „Ūkio ir verslo plėtra“ veikl</w:t>
      </w:r>
      <w:r w:rsidR="00160BA2" w:rsidRPr="00CD720C">
        <w:rPr>
          <w:rFonts w:ascii="Times New Roman" w:hAnsi="Times New Roman"/>
          <w:bCs/>
          <w:sz w:val="24"/>
          <w:szCs w:val="24"/>
        </w:rPr>
        <w:t>ų</w:t>
      </w:r>
      <w:r w:rsidRPr="00CD720C">
        <w:rPr>
          <w:rFonts w:ascii="Times New Roman" w:hAnsi="Times New Roman"/>
          <w:bCs/>
          <w:sz w:val="24"/>
          <w:szCs w:val="24"/>
        </w:rPr>
        <w:t xml:space="preserve"> sričių „Parama ekonominės veiklos pradžiai kaimo vietovėse“ ir „Parama investicijoms, skirtoms ekonominės veiklos </w:t>
      </w:r>
      <w:r w:rsidRPr="00CD720C">
        <w:rPr>
          <w:rFonts w:ascii="Times New Roman" w:hAnsi="Times New Roman"/>
          <w:bCs/>
          <w:sz w:val="24"/>
          <w:szCs w:val="24"/>
        </w:rPr>
        <w:lastRenderedPageBreak/>
        <w:t>kūrimui ir plėtrai“ įgyvendinimo</w:t>
      </w:r>
      <w:r w:rsidR="00A45A98">
        <w:rPr>
          <w:rFonts w:ascii="Times New Roman" w:hAnsi="Times New Roman"/>
          <w:bCs/>
          <w:sz w:val="24"/>
          <w:szCs w:val="24"/>
        </w:rPr>
        <w:t xml:space="preserve"> </w:t>
      </w:r>
      <w:r w:rsidR="00A45A98" w:rsidRPr="00E358E4">
        <w:rPr>
          <w:rFonts w:ascii="Times New Roman" w:hAnsi="Times New Roman"/>
          <w:bCs/>
          <w:sz w:val="24"/>
          <w:szCs w:val="24"/>
        </w:rPr>
        <w:t>situacijos priežastys buvo pateiktos 1 ketvirčio ataskaitoje</w:t>
      </w:r>
      <w:r w:rsidR="00A45A98">
        <w:rPr>
          <w:rFonts w:ascii="Times New Roman" w:hAnsi="Times New Roman"/>
          <w:bCs/>
          <w:sz w:val="24"/>
          <w:szCs w:val="24"/>
        </w:rPr>
        <w:t xml:space="preserve"> (d</w:t>
      </w:r>
      <w:r w:rsidR="00223174" w:rsidRPr="00CD720C">
        <w:rPr>
          <w:rFonts w:ascii="Times New Roman" w:hAnsi="Times New Roman"/>
          <w:bCs/>
          <w:sz w:val="24"/>
          <w:szCs w:val="24"/>
        </w:rPr>
        <w:t>aug neigiamai įvertintų paraiškų</w:t>
      </w:r>
      <w:r w:rsidR="00A45A98">
        <w:rPr>
          <w:rFonts w:ascii="Times New Roman" w:hAnsi="Times New Roman"/>
          <w:bCs/>
          <w:sz w:val="24"/>
          <w:szCs w:val="24"/>
        </w:rPr>
        <w:t xml:space="preserve"> </w:t>
      </w:r>
      <w:r w:rsidR="0073538F" w:rsidRPr="00CD720C">
        <w:rPr>
          <w:rFonts w:ascii="Times New Roman" w:hAnsi="Times New Roman"/>
          <w:bCs/>
          <w:sz w:val="24"/>
          <w:szCs w:val="24"/>
        </w:rPr>
        <w:t>dėl neatitikimo tinkamumo sąlygoms, susijusioms su nuosavo finansavimo šaltinio pagrindimu, nekilnojamojo turto teisėto valdymo fakto pagrindimu, ekonominės veiklos tinkamumu; netinkamai deklaruo</w:t>
      </w:r>
      <w:r w:rsidR="00A45A98">
        <w:rPr>
          <w:rFonts w:ascii="Times New Roman" w:hAnsi="Times New Roman"/>
          <w:bCs/>
          <w:sz w:val="24"/>
          <w:szCs w:val="24"/>
        </w:rPr>
        <w:t>t</w:t>
      </w:r>
      <w:r w:rsidR="0073538F" w:rsidRPr="00CD720C">
        <w:rPr>
          <w:rFonts w:ascii="Times New Roman" w:hAnsi="Times New Roman"/>
          <w:bCs/>
          <w:sz w:val="24"/>
          <w:szCs w:val="24"/>
        </w:rPr>
        <w:t>as socialinis verslas</w:t>
      </w:r>
      <w:r w:rsidR="00A45A98">
        <w:rPr>
          <w:rFonts w:ascii="Times New Roman" w:hAnsi="Times New Roman"/>
          <w:bCs/>
          <w:sz w:val="24"/>
          <w:szCs w:val="24"/>
        </w:rPr>
        <w:t>)</w:t>
      </w:r>
      <w:r w:rsidR="00244023" w:rsidRPr="00CD720C">
        <w:rPr>
          <w:rFonts w:ascii="Times New Roman" w:hAnsi="Times New Roman"/>
          <w:bCs/>
          <w:sz w:val="24"/>
          <w:szCs w:val="24"/>
        </w:rPr>
        <w:t>.</w:t>
      </w:r>
    </w:p>
    <w:p w14:paraId="0F7E1708" w14:textId="33CEC76A" w:rsidR="00E747E1" w:rsidRPr="00CD720C" w:rsidRDefault="00030430" w:rsidP="00EC1103">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Dėl veiklos srities „Parama investicijoms į visų rūšių mažos apimties infrastruktūrą“ įgyvendinimo</w:t>
      </w:r>
      <w:r w:rsidR="00A45A98">
        <w:rPr>
          <w:rFonts w:ascii="Times New Roman" w:hAnsi="Times New Roman"/>
          <w:bCs/>
          <w:sz w:val="24"/>
          <w:szCs w:val="24"/>
        </w:rPr>
        <w:t xml:space="preserve"> </w:t>
      </w:r>
      <w:r w:rsidR="00A45A98" w:rsidRPr="00E358E4">
        <w:rPr>
          <w:rFonts w:ascii="Times New Roman" w:hAnsi="Times New Roman"/>
          <w:bCs/>
          <w:sz w:val="24"/>
          <w:szCs w:val="24"/>
        </w:rPr>
        <w:t>situacijos priežastys buvo pateiktos 1 ketvirčio ataskaitoje</w:t>
      </w:r>
      <w:r w:rsidR="00A45A98">
        <w:rPr>
          <w:rFonts w:ascii="Times New Roman" w:hAnsi="Times New Roman"/>
          <w:bCs/>
          <w:sz w:val="24"/>
          <w:szCs w:val="24"/>
        </w:rPr>
        <w:t xml:space="preserve"> (</w:t>
      </w:r>
      <w:r w:rsidR="00223174" w:rsidRPr="00CD720C">
        <w:rPr>
          <w:rFonts w:ascii="Times New Roman" w:hAnsi="Times New Roman"/>
          <w:bCs/>
          <w:sz w:val="24"/>
          <w:szCs w:val="24"/>
        </w:rPr>
        <w:t xml:space="preserve">įgyvendinama </w:t>
      </w:r>
      <w:r w:rsidR="008F2301" w:rsidRPr="00CD720C">
        <w:rPr>
          <w:rFonts w:ascii="Times New Roman" w:hAnsi="Times New Roman"/>
          <w:bCs/>
          <w:sz w:val="24"/>
          <w:szCs w:val="24"/>
        </w:rPr>
        <w:t xml:space="preserve">regionų </w:t>
      </w:r>
      <w:r w:rsidR="00223174" w:rsidRPr="00CD720C">
        <w:rPr>
          <w:rFonts w:ascii="Times New Roman" w:hAnsi="Times New Roman"/>
          <w:bCs/>
          <w:sz w:val="24"/>
          <w:szCs w:val="24"/>
        </w:rPr>
        <w:t>planavimo būdu</w:t>
      </w:r>
      <w:r w:rsidR="00A45A98">
        <w:rPr>
          <w:rFonts w:ascii="Times New Roman" w:hAnsi="Times New Roman"/>
          <w:bCs/>
          <w:sz w:val="24"/>
          <w:szCs w:val="24"/>
        </w:rPr>
        <w:t xml:space="preserve">. </w:t>
      </w:r>
      <w:r w:rsidRPr="00CD720C">
        <w:rPr>
          <w:rFonts w:ascii="Times New Roman" w:hAnsi="Times New Roman"/>
          <w:bCs/>
          <w:sz w:val="24"/>
          <w:szCs w:val="24"/>
        </w:rPr>
        <w:t>V</w:t>
      </w:r>
      <w:r w:rsidR="008F2301" w:rsidRPr="00CD720C">
        <w:rPr>
          <w:rFonts w:ascii="Times New Roman" w:hAnsi="Times New Roman"/>
          <w:bCs/>
          <w:sz w:val="24"/>
          <w:szCs w:val="24"/>
        </w:rPr>
        <w:t xml:space="preserve">isos priemonės </w:t>
      </w:r>
      <w:r w:rsidR="00A343DD" w:rsidRPr="00CD720C">
        <w:rPr>
          <w:rFonts w:ascii="Times New Roman" w:hAnsi="Times New Roman"/>
          <w:bCs/>
          <w:sz w:val="24"/>
          <w:szCs w:val="24"/>
        </w:rPr>
        <w:t xml:space="preserve">(finansuojamos </w:t>
      </w:r>
      <w:r w:rsidR="00A46ADF" w:rsidRPr="00CD720C">
        <w:rPr>
          <w:rFonts w:ascii="Times New Roman" w:hAnsi="Times New Roman"/>
          <w:bCs/>
          <w:sz w:val="24"/>
          <w:szCs w:val="24"/>
        </w:rPr>
        <w:t>skirtingų</w:t>
      </w:r>
      <w:r w:rsidR="00C97643" w:rsidRPr="00CD720C">
        <w:rPr>
          <w:rFonts w:ascii="Times New Roman" w:hAnsi="Times New Roman"/>
          <w:bCs/>
          <w:sz w:val="24"/>
          <w:szCs w:val="24"/>
        </w:rPr>
        <w:t xml:space="preserve"> </w:t>
      </w:r>
      <w:r w:rsidRPr="00CD720C">
        <w:rPr>
          <w:rFonts w:ascii="Times New Roman" w:hAnsi="Times New Roman"/>
          <w:bCs/>
          <w:sz w:val="24"/>
          <w:szCs w:val="24"/>
        </w:rPr>
        <w:t>ES</w:t>
      </w:r>
      <w:r w:rsidR="00A343DD" w:rsidRPr="00CD720C">
        <w:rPr>
          <w:rFonts w:ascii="Times New Roman" w:hAnsi="Times New Roman"/>
          <w:bCs/>
          <w:sz w:val="24"/>
          <w:szCs w:val="24"/>
        </w:rPr>
        <w:t xml:space="preserve"> investicinių fondų lėšomis) </w:t>
      </w:r>
      <w:r w:rsidR="008F2301" w:rsidRPr="00CD720C">
        <w:rPr>
          <w:rFonts w:ascii="Times New Roman" w:hAnsi="Times New Roman"/>
          <w:bCs/>
          <w:sz w:val="24"/>
          <w:szCs w:val="24"/>
        </w:rPr>
        <w:t xml:space="preserve">turėjo startuoti vienu metu, todėl Regionų plėtros departamentas prašė pratęsti projektinių pasiūlymų vertinimo terminus, o savivaldybės – paraiškų </w:t>
      </w:r>
      <w:r w:rsidR="00F354B9">
        <w:rPr>
          <w:rFonts w:ascii="Times New Roman" w:hAnsi="Times New Roman"/>
          <w:bCs/>
          <w:sz w:val="24"/>
          <w:szCs w:val="24"/>
        </w:rPr>
        <w:t>priėmimo</w:t>
      </w:r>
      <w:r w:rsidR="008F2301" w:rsidRPr="00CD720C">
        <w:rPr>
          <w:rFonts w:ascii="Times New Roman" w:hAnsi="Times New Roman"/>
          <w:bCs/>
          <w:sz w:val="24"/>
          <w:szCs w:val="24"/>
        </w:rPr>
        <w:t xml:space="preserve"> terminus</w:t>
      </w:r>
      <w:r w:rsidR="00A45A98">
        <w:rPr>
          <w:rFonts w:ascii="Times New Roman" w:hAnsi="Times New Roman"/>
          <w:bCs/>
          <w:sz w:val="24"/>
          <w:szCs w:val="24"/>
        </w:rPr>
        <w:t>)</w:t>
      </w:r>
      <w:r w:rsidR="008F2301" w:rsidRPr="00CD720C">
        <w:rPr>
          <w:rFonts w:ascii="Times New Roman" w:hAnsi="Times New Roman"/>
          <w:bCs/>
          <w:sz w:val="24"/>
          <w:szCs w:val="24"/>
        </w:rPr>
        <w:t>.</w:t>
      </w:r>
    </w:p>
    <w:p w14:paraId="46E2256C" w14:textId="340DAA4E" w:rsidR="00D77070" w:rsidRPr="00CD720C" w:rsidRDefault="00FF3BF9" w:rsidP="00FF3BF9">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t>Veiksmai</w:t>
      </w:r>
      <w:r w:rsidR="007E1AB4" w:rsidRPr="00CD720C">
        <w:rPr>
          <w:rFonts w:ascii="Times New Roman" w:hAnsi="Times New Roman"/>
          <w:b/>
          <w:bCs/>
          <w:sz w:val="24"/>
          <w:szCs w:val="24"/>
        </w:rPr>
        <w:t xml:space="preserve">. </w:t>
      </w:r>
    </w:p>
    <w:p w14:paraId="62BBEBC2" w14:textId="77777777" w:rsidR="00387603" w:rsidRPr="00CD720C" w:rsidRDefault="00387603" w:rsidP="00A312CC">
      <w:pPr>
        <w:pStyle w:val="Sraopastraipa"/>
        <w:numPr>
          <w:ilvl w:val="0"/>
          <w:numId w:val="2"/>
        </w:numPr>
        <w:spacing w:line="276" w:lineRule="auto"/>
        <w:ind w:left="0" w:firstLine="1134"/>
        <w:jc w:val="both"/>
        <w:rPr>
          <w:rFonts w:ascii="Times New Roman" w:hAnsi="Times New Roman"/>
          <w:bCs/>
          <w:sz w:val="24"/>
          <w:szCs w:val="24"/>
        </w:rPr>
      </w:pPr>
      <w:r w:rsidRPr="00CD720C">
        <w:rPr>
          <w:rFonts w:ascii="Times New Roman" w:hAnsi="Times New Roman"/>
          <w:bCs/>
          <w:sz w:val="24"/>
          <w:szCs w:val="24"/>
        </w:rPr>
        <w:t>Dėl priemonės „LEADER programa“ vietos plėtros strategijų įgyvendinimo:</w:t>
      </w:r>
    </w:p>
    <w:p w14:paraId="5E5068FC" w14:textId="4BBE3D3C" w:rsidR="00387603" w:rsidRPr="006A38CC" w:rsidRDefault="006A38CC" w:rsidP="00A312CC">
      <w:pPr>
        <w:pStyle w:val="Sraopastraipa"/>
        <w:numPr>
          <w:ilvl w:val="1"/>
          <w:numId w:val="1"/>
        </w:numPr>
        <w:spacing w:line="276" w:lineRule="auto"/>
        <w:jc w:val="both"/>
        <w:rPr>
          <w:rFonts w:ascii="Times New Roman" w:hAnsi="Times New Roman"/>
          <w:bCs/>
          <w:sz w:val="24"/>
        </w:rPr>
      </w:pPr>
      <w:r w:rsidRPr="006A38CC">
        <w:rPr>
          <w:rFonts w:ascii="Times New Roman" w:hAnsi="Times New Roman"/>
          <w:bCs/>
          <w:sz w:val="24"/>
        </w:rPr>
        <w:t>vietos plėtros strategijų įgyvendinimo problemoms identifikuoti ir spręsti bei jų įgyvendinimui paspartinti buvo organizuoti 4</w:t>
      </w:r>
      <w:r w:rsidR="00030BF7">
        <w:rPr>
          <w:rFonts w:ascii="Times New Roman" w:hAnsi="Times New Roman"/>
          <w:bCs/>
          <w:sz w:val="24"/>
        </w:rPr>
        <w:t xml:space="preserve"> </w:t>
      </w:r>
      <w:r w:rsidRPr="006A38CC">
        <w:rPr>
          <w:rFonts w:ascii="Times New Roman" w:hAnsi="Times New Roman"/>
          <w:bCs/>
          <w:sz w:val="24"/>
        </w:rPr>
        <w:t>informaciniai – mokomieji seminarai. Siekiant užtikrinti geresnę vietos projektų paraiškų vertinimo ir vietos plėtros strategijų administravimo kokybę, seminaruose dalyvavo ir NMA atstovai</w:t>
      </w:r>
      <w:r w:rsidR="00387603" w:rsidRPr="006A38CC">
        <w:rPr>
          <w:rFonts w:ascii="Times New Roman" w:hAnsi="Times New Roman"/>
          <w:bCs/>
          <w:sz w:val="24"/>
        </w:rPr>
        <w:t>;</w:t>
      </w:r>
    </w:p>
    <w:p w14:paraId="1602E0CC" w14:textId="2C235F4F" w:rsidR="0073789F" w:rsidRPr="006A38CC" w:rsidRDefault="006A38CC" w:rsidP="0002069D">
      <w:pPr>
        <w:pStyle w:val="Sraopastraipa"/>
        <w:numPr>
          <w:ilvl w:val="1"/>
          <w:numId w:val="1"/>
        </w:numPr>
        <w:spacing w:line="276" w:lineRule="auto"/>
        <w:jc w:val="both"/>
        <w:rPr>
          <w:rFonts w:ascii="Times New Roman" w:hAnsi="Times New Roman"/>
          <w:bCs/>
          <w:sz w:val="24"/>
        </w:rPr>
      </w:pPr>
      <w:r w:rsidRPr="006A38CC">
        <w:rPr>
          <w:rFonts w:ascii="Times New Roman" w:hAnsi="Times New Roman"/>
          <w:bCs/>
          <w:sz w:val="24"/>
        </w:rPr>
        <w:t>iš esmės peržiūrėtos ir supaprastintos vietos plėtros strategijų įgyvendinimą reglamentuojančios taisyklės (pakeitimai atlikti 2018 m. balandžio 18 d. žemės ūkio ministro įsakymu Nr. 3D-266), optimizuoti atskiri administraciniai procesai, peržiūrėtas NMA ir VVG funkcijų pasiskirstymas. Numatytos lankstesnės tinkamumo sąlygos ir įsipareigojimai vietos projektų vykdytojams</w:t>
      </w:r>
      <w:r w:rsidR="004A01C2" w:rsidRPr="006A38CC">
        <w:rPr>
          <w:rFonts w:ascii="Times New Roman" w:hAnsi="Times New Roman"/>
          <w:bCs/>
          <w:sz w:val="24"/>
        </w:rPr>
        <w:t>;</w:t>
      </w:r>
    </w:p>
    <w:p w14:paraId="3C5029C2" w14:textId="7C70F779" w:rsidR="0002069D" w:rsidRPr="006A38CC" w:rsidRDefault="006A38CC" w:rsidP="0002069D">
      <w:pPr>
        <w:pStyle w:val="Sraopastraipa"/>
        <w:numPr>
          <w:ilvl w:val="1"/>
          <w:numId w:val="1"/>
        </w:numPr>
        <w:spacing w:line="276" w:lineRule="auto"/>
        <w:jc w:val="both"/>
        <w:rPr>
          <w:rFonts w:ascii="Times New Roman" w:hAnsi="Times New Roman"/>
          <w:bCs/>
          <w:sz w:val="24"/>
        </w:rPr>
      </w:pPr>
      <w:r w:rsidRPr="006A38CC">
        <w:rPr>
          <w:rFonts w:ascii="Times New Roman" w:hAnsi="Times New Roman"/>
          <w:bCs/>
          <w:sz w:val="24"/>
        </w:rPr>
        <w:t xml:space="preserve">II </w:t>
      </w:r>
      <w:proofErr w:type="spellStart"/>
      <w:r w:rsidRPr="006A38CC">
        <w:rPr>
          <w:rFonts w:ascii="Times New Roman" w:hAnsi="Times New Roman"/>
          <w:bCs/>
          <w:sz w:val="24"/>
        </w:rPr>
        <w:t>ketv</w:t>
      </w:r>
      <w:proofErr w:type="spellEnd"/>
      <w:r w:rsidRPr="006A38CC">
        <w:rPr>
          <w:rFonts w:ascii="Times New Roman" w:hAnsi="Times New Roman"/>
          <w:bCs/>
          <w:sz w:val="24"/>
        </w:rPr>
        <w:t xml:space="preserve">. VVG paskelbė kvietimus teikti vietos projektų paraiškas, pagal kuriuos pateiktos 203 projektų paraiškos. Iš viso VVG yra gavusios 611 vietos projektų, kuriuose prašoma paramos suma 22,03 mln. Eur. Įvertintiems vietos projektams įgyvendinti pasirašytos 90 paramos sutarčių už 2,56 mln. Eur. Iš visų gautų vietos projektų net 64 (už 2,096 mln. Eur) pripažinti netinkamais finansuoti, atsisakė paramos ar dėl kitų priežasčių nebus įgyvendinti. Kaip ir prognozuota, 2018 m. II </w:t>
      </w:r>
      <w:proofErr w:type="spellStart"/>
      <w:r w:rsidRPr="006A38CC">
        <w:rPr>
          <w:rFonts w:ascii="Times New Roman" w:hAnsi="Times New Roman"/>
          <w:bCs/>
          <w:sz w:val="24"/>
        </w:rPr>
        <w:t>ketv</w:t>
      </w:r>
      <w:proofErr w:type="spellEnd"/>
      <w:r w:rsidRPr="006A38CC">
        <w:rPr>
          <w:rFonts w:ascii="Times New Roman" w:hAnsi="Times New Roman"/>
          <w:bCs/>
          <w:sz w:val="24"/>
        </w:rPr>
        <w:t>. yra matomas žymus VPS įgyvendinimo paspartėjimas</w:t>
      </w:r>
      <w:r w:rsidR="004A01C2" w:rsidRPr="006A38CC">
        <w:rPr>
          <w:rFonts w:ascii="Times New Roman" w:hAnsi="Times New Roman"/>
          <w:bCs/>
          <w:sz w:val="24"/>
        </w:rPr>
        <w:t>;</w:t>
      </w:r>
    </w:p>
    <w:p w14:paraId="6A5ECC71" w14:textId="1C049036" w:rsidR="0002069D" w:rsidRPr="00B72635" w:rsidRDefault="006A38CC" w:rsidP="0002069D">
      <w:pPr>
        <w:pStyle w:val="Sraopastraipa"/>
        <w:numPr>
          <w:ilvl w:val="1"/>
          <w:numId w:val="1"/>
        </w:numPr>
        <w:spacing w:line="276" w:lineRule="auto"/>
        <w:jc w:val="both"/>
        <w:rPr>
          <w:rFonts w:ascii="Times New Roman" w:hAnsi="Times New Roman"/>
          <w:bCs/>
          <w:sz w:val="24"/>
        </w:rPr>
      </w:pPr>
      <w:r w:rsidRPr="00B72635">
        <w:rPr>
          <w:rFonts w:ascii="Times New Roman" w:hAnsi="Times New Roman"/>
          <w:bCs/>
          <w:sz w:val="24"/>
        </w:rPr>
        <w:t xml:space="preserve">PVM finansavimo klausimas pakartotinai buvo svarstytas su Valstybine mokesčių inspekcija prie Finansų ministerijos (VMI) ir dar kartą aptartas su VVG. Įvertinus visas galimas rizikas ir sankcijų dėl netinkamo ES reglamentų nuostatų, susijusių su PVM kompensavimu, taikymu grėsme. PVM kompensavimo įgyvendinant KPP priemonę „LEADER“ atsisakyta, tačiau, priimtas sprendimas bendruomeninio ir NVO socialinio verslo projektams didinti paramos intensyvumą nuo 80 proc. iki 95 proc. Šis </w:t>
      </w:r>
      <w:r w:rsidR="00F35B29">
        <w:rPr>
          <w:rFonts w:ascii="Times New Roman" w:hAnsi="Times New Roman"/>
          <w:bCs/>
          <w:sz w:val="24"/>
        </w:rPr>
        <w:t>Programos</w:t>
      </w:r>
      <w:r w:rsidRPr="00B72635">
        <w:rPr>
          <w:rFonts w:ascii="Times New Roman" w:hAnsi="Times New Roman"/>
          <w:bCs/>
          <w:sz w:val="24"/>
        </w:rPr>
        <w:t xml:space="preserve"> keitimas derinamas su EK.</w:t>
      </w:r>
    </w:p>
    <w:p w14:paraId="2C6416C1" w14:textId="55DE4235" w:rsidR="00D77070" w:rsidRPr="00CD720C" w:rsidRDefault="00D77070" w:rsidP="004A01C2">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Dėl priemonės „Ūkio ir verslo plėtra“ veiklų sričių „Parama ekonominės veiklos pradžiai kaimo vietovėse“ ir „Parama investicijoms, skirtoms ekonominės veiklos kūrimui ir plėtrai“ įgyvendinimo:</w:t>
      </w:r>
    </w:p>
    <w:p w14:paraId="45C34E9E" w14:textId="3E7D4262" w:rsidR="0026397F" w:rsidRPr="00CD720C" w:rsidRDefault="00A94EA9" w:rsidP="004A01C2">
      <w:pPr>
        <w:pStyle w:val="Sraopastraipa"/>
        <w:numPr>
          <w:ilvl w:val="1"/>
          <w:numId w:val="1"/>
        </w:numPr>
        <w:spacing w:line="276" w:lineRule="auto"/>
        <w:jc w:val="both"/>
        <w:rPr>
          <w:rFonts w:ascii="Times New Roman" w:hAnsi="Times New Roman"/>
          <w:bCs/>
          <w:sz w:val="24"/>
        </w:rPr>
      </w:pPr>
      <w:r w:rsidRPr="00CD720C">
        <w:rPr>
          <w:rFonts w:ascii="Times New Roman" w:hAnsi="Times New Roman"/>
          <w:bCs/>
          <w:sz w:val="24"/>
          <w:szCs w:val="24"/>
        </w:rPr>
        <w:t>pagal veiklos sritį „Parama ekonominės veiklos pradžiai kaimo vietovėse“ 2018 m. I</w:t>
      </w:r>
      <w:r>
        <w:rPr>
          <w:rFonts w:ascii="Times New Roman" w:hAnsi="Times New Roman"/>
          <w:bCs/>
          <w:sz w:val="24"/>
          <w:szCs w:val="24"/>
        </w:rPr>
        <w:t>I</w:t>
      </w:r>
      <w:r w:rsidRPr="00CD720C">
        <w:rPr>
          <w:rFonts w:ascii="Times New Roman" w:hAnsi="Times New Roman"/>
          <w:bCs/>
          <w:sz w:val="24"/>
          <w:szCs w:val="24"/>
        </w:rPr>
        <w:t xml:space="preserve"> ketvirtį </w:t>
      </w:r>
      <w:r>
        <w:rPr>
          <w:rFonts w:ascii="Times New Roman" w:hAnsi="Times New Roman"/>
          <w:bCs/>
          <w:sz w:val="24"/>
          <w:szCs w:val="24"/>
        </w:rPr>
        <w:t xml:space="preserve">tęsiamos </w:t>
      </w:r>
      <w:r w:rsidRPr="00CD720C">
        <w:rPr>
          <w:rFonts w:ascii="Times New Roman" w:hAnsi="Times New Roman"/>
          <w:bCs/>
          <w:sz w:val="24"/>
          <w:szCs w:val="24"/>
        </w:rPr>
        <w:t xml:space="preserve">diskusijos dėl 2018 m. finansavimo sąlygų. </w:t>
      </w:r>
      <w:r>
        <w:rPr>
          <w:rFonts w:ascii="Times New Roman" w:hAnsi="Times New Roman"/>
          <w:bCs/>
          <w:sz w:val="24"/>
          <w:szCs w:val="24"/>
        </w:rPr>
        <w:lastRenderedPageBreak/>
        <w:t>Programos valdymo komitet</w:t>
      </w:r>
      <w:r w:rsidR="00892C19">
        <w:rPr>
          <w:rFonts w:ascii="Times New Roman" w:hAnsi="Times New Roman"/>
          <w:bCs/>
          <w:sz w:val="24"/>
          <w:szCs w:val="24"/>
        </w:rPr>
        <w:t>as</w:t>
      </w:r>
      <w:r>
        <w:rPr>
          <w:rFonts w:ascii="Times New Roman" w:hAnsi="Times New Roman"/>
          <w:bCs/>
          <w:sz w:val="24"/>
          <w:szCs w:val="24"/>
        </w:rPr>
        <w:t xml:space="preserve"> ir Programos stebėsenos komitetas patvirtinto </w:t>
      </w:r>
      <w:r w:rsidRPr="00CD720C">
        <w:rPr>
          <w:rFonts w:ascii="Times New Roman" w:hAnsi="Times New Roman"/>
          <w:bCs/>
          <w:sz w:val="24"/>
          <w:szCs w:val="24"/>
        </w:rPr>
        <w:t>2018 m. finansavimo sąlygų pakeitim</w:t>
      </w:r>
      <w:r>
        <w:rPr>
          <w:rFonts w:ascii="Times New Roman" w:hAnsi="Times New Roman"/>
          <w:bCs/>
          <w:sz w:val="24"/>
          <w:szCs w:val="24"/>
        </w:rPr>
        <w:t>us</w:t>
      </w:r>
      <w:r w:rsidR="0026397F" w:rsidRPr="00CD720C">
        <w:rPr>
          <w:rFonts w:ascii="Times New Roman" w:hAnsi="Times New Roman"/>
          <w:bCs/>
          <w:sz w:val="24"/>
          <w:szCs w:val="24"/>
        </w:rPr>
        <w:t>:</w:t>
      </w:r>
    </w:p>
    <w:p w14:paraId="70ABE181" w14:textId="537860C3" w:rsidR="0026397F" w:rsidRPr="00CD720C" w:rsidRDefault="0026397F" w:rsidP="004A01C2">
      <w:pPr>
        <w:pStyle w:val="Sraopastraipa"/>
        <w:numPr>
          <w:ilvl w:val="0"/>
          <w:numId w:val="4"/>
        </w:numPr>
        <w:spacing w:line="276" w:lineRule="auto"/>
        <w:jc w:val="both"/>
        <w:rPr>
          <w:rFonts w:ascii="Times New Roman" w:hAnsi="Times New Roman"/>
          <w:bCs/>
          <w:sz w:val="24"/>
        </w:rPr>
      </w:pPr>
      <w:r w:rsidRPr="00CD720C">
        <w:rPr>
          <w:rFonts w:ascii="Times New Roman" w:hAnsi="Times New Roman"/>
          <w:bCs/>
          <w:sz w:val="24"/>
        </w:rPr>
        <w:t>numatytas ilgesnis (3 mėn. vietoj 1 mėn.) paramos paraiškų rinkimo laikotarpis. Paramos paraiškos bus renkamos</w:t>
      </w:r>
      <w:r w:rsidR="004A01C2">
        <w:rPr>
          <w:rFonts w:ascii="Times New Roman" w:hAnsi="Times New Roman"/>
          <w:bCs/>
          <w:sz w:val="24"/>
        </w:rPr>
        <w:t xml:space="preserve"> </w:t>
      </w:r>
      <w:r w:rsidRPr="00CD720C">
        <w:rPr>
          <w:rFonts w:ascii="Times New Roman" w:hAnsi="Times New Roman"/>
          <w:bCs/>
          <w:sz w:val="24"/>
        </w:rPr>
        <w:t>2018</w:t>
      </w:r>
      <w:r w:rsidR="004A01C2">
        <w:rPr>
          <w:rFonts w:ascii="Times New Roman" w:hAnsi="Times New Roman"/>
          <w:bCs/>
          <w:sz w:val="24"/>
        </w:rPr>
        <w:t xml:space="preserve"> m. spalio – gruodžio mėn.</w:t>
      </w:r>
      <w:r w:rsidRPr="00CD720C">
        <w:rPr>
          <w:rFonts w:ascii="Times New Roman" w:hAnsi="Times New Roman"/>
          <w:bCs/>
          <w:sz w:val="24"/>
        </w:rPr>
        <w:t>;</w:t>
      </w:r>
    </w:p>
    <w:p w14:paraId="0CF71777" w14:textId="77777777" w:rsidR="0026397F" w:rsidRPr="00CD720C" w:rsidRDefault="0026397F" w:rsidP="004A01C2">
      <w:pPr>
        <w:pStyle w:val="Sraopastraipa"/>
        <w:numPr>
          <w:ilvl w:val="0"/>
          <w:numId w:val="4"/>
        </w:numPr>
        <w:spacing w:line="276" w:lineRule="auto"/>
        <w:jc w:val="both"/>
        <w:rPr>
          <w:rFonts w:ascii="Times New Roman" w:hAnsi="Times New Roman"/>
          <w:bCs/>
          <w:sz w:val="24"/>
        </w:rPr>
      </w:pPr>
      <w:r w:rsidRPr="00CD720C">
        <w:rPr>
          <w:rFonts w:ascii="Times New Roman" w:hAnsi="Times New Roman"/>
          <w:bCs/>
          <w:sz w:val="24"/>
        </w:rPr>
        <w:t>patikslinti ir suderinti projektų atrankos kriterijai (naujovės: atsisakoma skirti papildomus atrankos kriterijų balus už socialinio verslo vykdymą, taip pat projektams, kurie įgyvendinami savivaldybėse, kuriose gyventojų tankis mažesnis už Lietuvos vidurkį; numatyti nauji atrankos kriterijai, susiję su papildomų atrankos kriterijų balų skyrimu iš emigracijos grįžusiems asmenims, taip pat pareiškėjams, kuriems 54 metai ir daugiau;</w:t>
      </w:r>
    </w:p>
    <w:p w14:paraId="7E4BDE9C" w14:textId="77777777" w:rsidR="0026397F" w:rsidRPr="00CD720C" w:rsidRDefault="0026397F" w:rsidP="004A01C2">
      <w:pPr>
        <w:pStyle w:val="Sraopastraipa"/>
        <w:numPr>
          <w:ilvl w:val="0"/>
          <w:numId w:val="4"/>
        </w:numPr>
        <w:spacing w:line="276" w:lineRule="auto"/>
        <w:jc w:val="both"/>
        <w:rPr>
          <w:rFonts w:ascii="Times New Roman" w:hAnsi="Times New Roman"/>
          <w:bCs/>
          <w:sz w:val="24"/>
        </w:rPr>
      </w:pPr>
      <w:r w:rsidRPr="00CD720C">
        <w:rPr>
          <w:rFonts w:ascii="Times New Roman" w:hAnsi="Times New Roman"/>
          <w:bCs/>
          <w:sz w:val="24"/>
        </w:rPr>
        <w:t>sumažintas mažiausias privalomas atrankos kriterijų balų skaičius iki 55 (vietoj 60);</w:t>
      </w:r>
    </w:p>
    <w:p w14:paraId="3FA7F138" w14:textId="4C100E19" w:rsidR="0026397F" w:rsidRPr="00CD720C" w:rsidRDefault="0026397F" w:rsidP="004A01C2">
      <w:pPr>
        <w:pStyle w:val="Sraopastraipa"/>
        <w:numPr>
          <w:ilvl w:val="0"/>
          <w:numId w:val="4"/>
        </w:numPr>
        <w:spacing w:line="276" w:lineRule="auto"/>
        <w:jc w:val="both"/>
        <w:rPr>
          <w:rFonts w:ascii="Times New Roman" w:hAnsi="Times New Roman"/>
          <w:bCs/>
          <w:sz w:val="24"/>
        </w:rPr>
      </w:pPr>
      <w:r w:rsidRPr="00CD720C">
        <w:rPr>
          <w:rFonts w:ascii="Times New Roman" w:hAnsi="Times New Roman"/>
          <w:bCs/>
          <w:sz w:val="24"/>
        </w:rPr>
        <w:t>nustatyti mažesni reikalavimai pareiškėjams – fiziniams asmenims. Tinkamais pareiškėjais laikomi fiziniai asmenys, kurie nevykd</w:t>
      </w:r>
      <w:r w:rsidR="008B71F3">
        <w:rPr>
          <w:rFonts w:ascii="Times New Roman" w:hAnsi="Times New Roman"/>
          <w:bCs/>
          <w:sz w:val="24"/>
        </w:rPr>
        <w:t>ė</w:t>
      </w:r>
      <w:r w:rsidRPr="00CD720C">
        <w:rPr>
          <w:rFonts w:ascii="Times New Roman" w:hAnsi="Times New Roman"/>
          <w:bCs/>
          <w:sz w:val="24"/>
        </w:rPr>
        <w:t xml:space="preserve"> ekonominės veiklos 1 metus (2017 m. buvo 3 m.) arba per nustatytą laikotarpį ją vykdę mažiau kaip 30 kalendorinių dienų;</w:t>
      </w:r>
    </w:p>
    <w:p w14:paraId="28DDD693" w14:textId="4AF62FF2" w:rsidR="0026397F" w:rsidRPr="00CD720C" w:rsidRDefault="0026397F" w:rsidP="004A01C2">
      <w:pPr>
        <w:pStyle w:val="Sraopastraipa"/>
        <w:numPr>
          <w:ilvl w:val="0"/>
          <w:numId w:val="4"/>
        </w:numPr>
        <w:spacing w:line="276" w:lineRule="auto"/>
        <w:jc w:val="both"/>
        <w:rPr>
          <w:rFonts w:ascii="Times New Roman" w:hAnsi="Times New Roman"/>
          <w:bCs/>
          <w:sz w:val="24"/>
        </w:rPr>
      </w:pPr>
      <w:r w:rsidRPr="00CD720C">
        <w:rPr>
          <w:rFonts w:ascii="Times New Roman" w:hAnsi="Times New Roman"/>
          <w:bCs/>
          <w:sz w:val="24"/>
        </w:rPr>
        <w:t>nustatyti supaprastinti reikalavimai nekilnojamojo turto, kuriame vykdoma projekte numatyta veikla, valdymui. Leidžiama nekilnojamojo turto teisėto valdymo faktą įregistruoti nekilnojamojo turto registre iki paramos sutarties pasirašymo (2016 m. ir 2017 m. buvo reikalaujama šiuos veiksmus atlikti iki paramos paraiškos pateikimo).</w:t>
      </w:r>
    </w:p>
    <w:p w14:paraId="75A03303" w14:textId="1362FF5F" w:rsidR="00C65A59" w:rsidRPr="00CD720C" w:rsidRDefault="00C65A59" w:rsidP="004A01C2">
      <w:pPr>
        <w:pStyle w:val="Sraopastraipa"/>
        <w:numPr>
          <w:ilvl w:val="1"/>
          <w:numId w:val="1"/>
        </w:numPr>
        <w:spacing w:line="276" w:lineRule="auto"/>
        <w:jc w:val="both"/>
        <w:rPr>
          <w:rFonts w:ascii="Times New Roman" w:hAnsi="Times New Roman"/>
          <w:bCs/>
          <w:sz w:val="24"/>
          <w:szCs w:val="24"/>
        </w:rPr>
      </w:pPr>
      <w:r w:rsidRPr="00CD720C">
        <w:rPr>
          <w:rFonts w:ascii="Times New Roman" w:hAnsi="Times New Roman"/>
          <w:bCs/>
          <w:sz w:val="24"/>
          <w:szCs w:val="24"/>
        </w:rPr>
        <w:t>pagal veiklos sritį „Parama investicijoms, skirtoms ekonominės veiklos kūrimui ir plėtrai“:</w:t>
      </w:r>
    </w:p>
    <w:p w14:paraId="1DD1F0C7" w14:textId="43AC8232" w:rsidR="00C65A59" w:rsidRPr="00CD720C" w:rsidRDefault="00892C19" w:rsidP="004A01C2">
      <w:pPr>
        <w:pStyle w:val="Sraopastraipa"/>
        <w:numPr>
          <w:ilvl w:val="0"/>
          <w:numId w:val="4"/>
        </w:numPr>
        <w:spacing w:line="276" w:lineRule="auto"/>
        <w:jc w:val="both"/>
        <w:rPr>
          <w:rFonts w:ascii="Times New Roman" w:hAnsi="Times New Roman"/>
          <w:bCs/>
          <w:sz w:val="24"/>
        </w:rPr>
      </w:pPr>
      <w:r>
        <w:rPr>
          <w:rFonts w:ascii="Times New Roman" w:hAnsi="Times New Roman"/>
          <w:bCs/>
          <w:sz w:val="24"/>
        </w:rPr>
        <w:t xml:space="preserve">patvirtintos </w:t>
      </w:r>
      <w:r w:rsidRPr="00CD720C">
        <w:rPr>
          <w:rFonts w:ascii="Times New Roman" w:hAnsi="Times New Roman"/>
          <w:bCs/>
          <w:sz w:val="24"/>
        </w:rPr>
        <w:t>2018 m. finansavimo sąlyg</w:t>
      </w:r>
      <w:r>
        <w:rPr>
          <w:rFonts w:ascii="Times New Roman" w:hAnsi="Times New Roman"/>
          <w:bCs/>
          <w:sz w:val="24"/>
        </w:rPr>
        <w:t>os</w:t>
      </w:r>
      <w:r w:rsidRPr="00CD720C">
        <w:rPr>
          <w:rFonts w:ascii="Times New Roman" w:hAnsi="Times New Roman"/>
          <w:bCs/>
          <w:sz w:val="24"/>
        </w:rPr>
        <w:t>. Paraišk</w:t>
      </w:r>
      <w:r>
        <w:rPr>
          <w:rFonts w:ascii="Times New Roman" w:hAnsi="Times New Roman"/>
          <w:bCs/>
          <w:sz w:val="24"/>
        </w:rPr>
        <w:t>o</w:t>
      </w:r>
      <w:r w:rsidRPr="00CD720C">
        <w:rPr>
          <w:rFonts w:ascii="Times New Roman" w:hAnsi="Times New Roman"/>
          <w:bCs/>
          <w:sz w:val="24"/>
        </w:rPr>
        <w:t xml:space="preserve">s </w:t>
      </w:r>
      <w:r>
        <w:rPr>
          <w:rFonts w:ascii="Times New Roman" w:hAnsi="Times New Roman"/>
          <w:bCs/>
          <w:sz w:val="24"/>
        </w:rPr>
        <w:t>bus renkamos</w:t>
      </w:r>
      <w:r w:rsidRPr="00CD720C">
        <w:rPr>
          <w:rFonts w:ascii="Times New Roman" w:hAnsi="Times New Roman"/>
          <w:bCs/>
          <w:sz w:val="24"/>
        </w:rPr>
        <w:t xml:space="preserve"> 2018 m. rugpjūčio – rugsėjo mėn. </w:t>
      </w:r>
      <w:r>
        <w:rPr>
          <w:rFonts w:ascii="Times New Roman" w:hAnsi="Times New Roman"/>
          <w:bCs/>
          <w:sz w:val="24"/>
        </w:rPr>
        <w:t>Patikslinti</w:t>
      </w:r>
      <w:r w:rsidRPr="00CD720C">
        <w:rPr>
          <w:rFonts w:ascii="Times New Roman" w:hAnsi="Times New Roman"/>
          <w:bCs/>
          <w:sz w:val="24"/>
        </w:rPr>
        <w:t xml:space="preserve"> 2018 m. projektų atrankos kriterijai (siūloma balus skirti mažoms įmonėms, projektams, kurių vertė didesnė kaip 400 000 Eur, atsisakoma balų už gamybos veiklą);</w:t>
      </w:r>
    </w:p>
    <w:p w14:paraId="1A0ED158" w14:textId="5864C6F8" w:rsidR="00C65A59" w:rsidRPr="00CD720C" w:rsidRDefault="00892C19" w:rsidP="004A01C2">
      <w:pPr>
        <w:pStyle w:val="Sraopastraipa"/>
        <w:numPr>
          <w:ilvl w:val="0"/>
          <w:numId w:val="4"/>
        </w:numPr>
        <w:spacing w:line="276" w:lineRule="auto"/>
        <w:jc w:val="both"/>
        <w:rPr>
          <w:rFonts w:ascii="Times New Roman" w:hAnsi="Times New Roman"/>
          <w:bCs/>
          <w:sz w:val="24"/>
        </w:rPr>
      </w:pPr>
      <w:r>
        <w:rPr>
          <w:rFonts w:ascii="Times New Roman" w:hAnsi="Times New Roman"/>
          <w:bCs/>
          <w:sz w:val="24"/>
        </w:rPr>
        <w:t xml:space="preserve">nustatyta, kad </w:t>
      </w:r>
      <w:r w:rsidRPr="00CD720C">
        <w:rPr>
          <w:rFonts w:ascii="Times New Roman" w:hAnsi="Times New Roman"/>
          <w:bCs/>
          <w:sz w:val="24"/>
        </w:rPr>
        <w:t>tinkam</w:t>
      </w:r>
      <w:r>
        <w:rPr>
          <w:rFonts w:ascii="Times New Roman" w:hAnsi="Times New Roman"/>
          <w:bCs/>
          <w:sz w:val="24"/>
        </w:rPr>
        <w:t>u</w:t>
      </w:r>
      <w:r w:rsidRPr="00CD720C">
        <w:rPr>
          <w:rFonts w:ascii="Times New Roman" w:hAnsi="Times New Roman"/>
          <w:bCs/>
          <w:sz w:val="24"/>
        </w:rPr>
        <w:t xml:space="preserve"> pareiškėj</w:t>
      </w:r>
      <w:r>
        <w:rPr>
          <w:rFonts w:ascii="Times New Roman" w:hAnsi="Times New Roman"/>
          <w:bCs/>
          <w:sz w:val="24"/>
        </w:rPr>
        <w:t>u</w:t>
      </w:r>
      <w:r w:rsidRPr="00CD720C">
        <w:rPr>
          <w:rFonts w:ascii="Times New Roman" w:hAnsi="Times New Roman"/>
          <w:bCs/>
          <w:sz w:val="24"/>
        </w:rPr>
        <w:t xml:space="preserve"> </w:t>
      </w:r>
      <w:r>
        <w:rPr>
          <w:rFonts w:ascii="Times New Roman" w:hAnsi="Times New Roman"/>
          <w:bCs/>
          <w:sz w:val="24"/>
        </w:rPr>
        <w:t>pripažįstami</w:t>
      </w:r>
      <w:r w:rsidRPr="00CD720C">
        <w:rPr>
          <w:rFonts w:ascii="Times New Roman" w:hAnsi="Times New Roman"/>
          <w:bCs/>
          <w:sz w:val="24"/>
        </w:rPr>
        <w:t xml:space="preserve"> paraiškos teikimo metais įsteigt</w:t>
      </w:r>
      <w:r>
        <w:rPr>
          <w:rFonts w:ascii="Times New Roman" w:hAnsi="Times New Roman"/>
          <w:bCs/>
          <w:sz w:val="24"/>
        </w:rPr>
        <w:t>as</w:t>
      </w:r>
      <w:r w:rsidRPr="00CD720C">
        <w:rPr>
          <w:rFonts w:ascii="Times New Roman" w:hAnsi="Times New Roman"/>
          <w:bCs/>
          <w:sz w:val="24"/>
        </w:rPr>
        <w:t xml:space="preserve"> priva</w:t>
      </w:r>
      <w:r>
        <w:rPr>
          <w:rFonts w:ascii="Times New Roman" w:hAnsi="Times New Roman"/>
          <w:bCs/>
          <w:sz w:val="24"/>
        </w:rPr>
        <w:t>tus</w:t>
      </w:r>
      <w:r w:rsidRPr="00CD720C">
        <w:rPr>
          <w:rFonts w:ascii="Times New Roman" w:hAnsi="Times New Roman"/>
          <w:bCs/>
          <w:sz w:val="24"/>
        </w:rPr>
        <w:t xml:space="preserve"> juridini</w:t>
      </w:r>
      <w:r>
        <w:rPr>
          <w:rFonts w:ascii="Times New Roman" w:hAnsi="Times New Roman"/>
          <w:bCs/>
          <w:sz w:val="24"/>
        </w:rPr>
        <w:t>s</w:t>
      </w:r>
      <w:r w:rsidRPr="00CD720C">
        <w:rPr>
          <w:rFonts w:ascii="Times New Roman" w:hAnsi="Times New Roman"/>
          <w:bCs/>
          <w:sz w:val="24"/>
        </w:rPr>
        <w:t xml:space="preserve"> asm</w:t>
      </w:r>
      <w:r>
        <w:rPr>
          <w:rFonts w:ascii="Times New Roman" w:hAnsi="Times New Roman"/>
          <w:bCs/>
          <w:sz w:val="24"/>
        </w:rPr>
        <w:t>uo</w:t>
      </w:r>
      <w:r w:rsidRPr="00CD720C">
        <w:rPr>
          <w:rFonts w:ascii="Times New Roman" w:hAnsi="Times New Roman"/>
          <w:bCs/>
          <w:sz w:val="24"/>
        </w:rPr>
        <w:t>, jeigu šio juridinio asmens pagrindinis akcininkas iki tol vykdė veiklą pagal verslo liudijimą arba individualios veiklos pažymą</w:t>
      </w:r>
      <w:r w:rsidR="00C65A59" w:rsidRPr="00CD720C">
        <w:rPr>
          <w:rFonts w:ascii="Times New Roman" w:hAnsi="Times New Roman"/>
          <w:bCs/>
          <w:sz w:val="24"/>
        </w:rPr>
        <w:t>;</w:t>
      </w:r>
    </w:p>
    <w:p w14:paraId="4581E8A5" w14:textId="0330A88F" w:rsidR="00C65A59" w:rsidRPr="00CD720C" w:rsidRDefault="00C65A59" w:rsidP="004A01C2">
      <w:pPr>
        <w:pStyle w:val="Sraopastraipa"/>
        <w:numPr>
          <w:ilvl w:val="0"/>
          <w:numId w:val="4"/>
        </w:numPr>
        <w:spacing w:line="276" w:lineRule="auto"/>
        <w:jc w:val="both"/>
        <w:rPr>
          <w:rFonts w:ascii="Times New Roman" w:hAnsi="Times New Roman"/>
          <w:bCs/>
          <w:sz w:val="24"/>
        </w:rPr>
      </w:pPr>
      <w:r w:rsidRPr="00CD720C">
        <w:rPr>
          <w:rFonts w:ascii="Times New Roman" w:hAnsi="Times New Roman"/>
          <w:bCs/>
          <w:sz w:val="24"/>
        </w:rPr>
        <w:t>nustatyti supaprastinti reikalavimai nekilnojamojo turto, kuriame vykdoma</w:t>
      </w:r>
      <w:r w:rsidRPr="00CD720C">
        <w:rPr>
          <w:rFonts w:ascii="Times New Roman" w:hAnsi="Times New Roman"/>
          <w:bCs/>
          <w:sz w:val="24"/>
          <w:szCs w:val="24"/>
        </w:rPr>
        <w:t xml:space="preserve"> projekte numatyta veikla, valdymui. Leidžiama nekilnojamojo turto</w:t>
      </w:r>
      <w:r w:rsidRPr="00CD720C">
        <w:rPr>
          <w:rFonts w:ascii="Times New Roman" w:hAnsi="Times New Roman"/>
          <w:bCs/>
          <w:sz w:val="24"/>
        </w:rPr>
        <w:t xml:space="preserve"> teisėto valdymo faktą įregistruoti nekilnojamojo turto registre iki paramos sutarties pasirašymo (2016 m. ir 2017 m. buvo reikalaujama šiuos veiksmus atlikti iki paramos paraiškos pateikimo).</w:t>
      </w:r>
    </w:p>
    <w:p w14:paraId="716354D9" w14:textId="303ACA0E" w:rsidR="00E819C2" w:rsidRPr="00BC0D54" w:rsidRDefault="00E819C2" w:rsidP="00E819C2">
      <w:pPr>
        <w:pStyle w:val="Sraopastraipa"/>
        <w:numPr>
          <w:ilvl w:val="0"/>
          <w:numId w:val="4"/>
        </w:numPr>
        <w:spacing w:line="276" w:lineRule="auto"/>
        <w:jc w:val="both"/>
        <w:rPr>
          <w:rFonts w:ascii="Times New Roman" w:hAnsi="Times New Roman"/>
          <w:bCs/>
          <w:sz w:val="24"/>
          <w:szCs w:val="24"/>
        </w:rPr>
      </w:pPr>
      <w:r w:rsidRPr="00BC0D54">
        <w:rPr>
          <w:rFonts w:ascii="Times New Roman" w:hAnsi="Times New Roman"/>
          <w:bCs/>
          <w:sz w:val="24"/>
          <w:szCs w:val="24"/>
        </w:rPr>
        <w:t>Veiklos srities „Parama investicijoms į visų rūšių mažos apimties infrastruktūr</w:t>
      </w:r>
      <w:bookmarkStart w:id="0" w:name="_GoBack"/>
      <w:bookmarkEnd w:id="0"/>
      <w:r w:rsidRPr="00BC0D54">
        <w:rPr>
          <w:rFonts w:ascii="Times New Roman" w:hAnsi="Times New Roman"/>
          <w:bCs/>
          <w:sz w:val="24"/>
          <w:szCs w:val="24"/>
        </w:rPr>
        <w:t>ą“ įgyvendinimas 2018 m. II ketvirtį vyko sklandžiai – su savivaldybėmis jau pasirašyt</w:t>
      </w:r>
      <w:r w:rsidR="00BC0D54" w:rsidRPr="00BC0D54">
        <w:rPr>
          <w:rFonts w:ascii="Times New Roman" w:hAnsi="Times New Roman"/>
          <w:bCs/>
          <w:sz w:val="24"/>
          <w:szCs w:val="24"/>
        </w:rPr>
        <w:t>os</w:t>
      </w:r>
      <w:r w:rsidRPr="00BC0D54">
        <w:rPr>
          <w:rFonts w:ascii="Times New Roman" w:hAnsi="Times New Roman"/>
          <w:bCs/>
          <w:sz w:val="24"/>
          <w:szCs w:val="24"/>
        </w:rPr>
        <w:t xml:space="preserve"> 156 paramos sutartys, dar 45 paramos sutarys yra derinamos ir bus pasirašytos artimiausiu metu. Pagal šią veiklos sritį baigiamas vertinti 81 projektas (apie 20 projektų bus svarstomi artimiausiu metu).</w:t>
      </w:r>
    </w:p>
    <w:p w14:paraId="6892066B" w14:textId="6824A493" w:rsidR="00E747E1" w:rsidRDefault="00E747E1" w:rsidP="004A01C2">
      <w:pPr>
        <w:pStyle w:val="Sraopastraipa"/>
        <w:spacing w:line="276" w:lineRule="auto"/>
        <w:ind w:left="1494"/>
        <w:jc w:val="both"/>
        <w:rPr>
          <w:rFonts w:ascii="Times New Roman" w:hAnsi="Times New Roman"/>
          <w:bCs/>
          <w:sz w:val="24"/>
          <w:szCs w:val="24"/>
        </w:rPr>
      </w:pPr>
    </w:p>
    <w:p w14:paraId="60CA89C5" w14:textId="77777777" w:rsidR="00B510C4" w:rsidRPr="00CD720C" w:rsidRDefault="00B510C4" w:rsidP="004A01C2">
      <w:pPr>
        <w:pStyle w:val="Sraopastraipa"/>
        <w:spacing w:line="276" w:lineRule="auto"/>
        <w:ind w:left="1494"/>
        <w:jc w:val="both"/>
        <w:rPr>
          <w:rFonts w:ascii="Times New Roman" w:hAnsi="Times New Roman"/>
          <w:bCs/>
          <w:sz w:val="24"/>
          <w:szCs w:val="24"/>
        </w:rPr>
      </w:pPr>
    </w:p>
    <w:p w14:paraId="5FA75C61" w14:textId="603ED895" w:rsidR="002D081A" w:rsidRPr="00CD720C" w:rsidRDefault="002D081A" w:rsidP="004A01C2">
      <w:pPr>
        <w:pStyle w:val="Sraopastraipa"/>
        <w:spacing w:line="276" w:lineRule="auto"/>
        <w:ind w:left="0" w:firstLine="1134"/>
        <w:jc w:val="both"/>
        <w:rPr>
          <w:rFonts w:ascii="Times New Roman" w:hAnsi="Times New Roman"/>
          <w:b/>
          <w:bCs/>
          <w:sz w:val="24"/>
          <w:szCs w:val="24"/>
        </w:rPr>
      </w:pPr>
      <w:r w:rsidRPr="00CD720C">
        <w:rPr>
          <w:rFonts w:ascii="Times New Roman" w:hAnsi="Times New Roman"/>
          <w:b/>
          <w:bCs/>
          <w:sz w:val="24"/>
          <w:szCs w:val="24"/>
        </w:rPr>
        <w:lastRenderedPageBreak/>
        <w:t>2.4</w:t>
      </w:r>
      <w:r w:rsidR="00E7566C" w:rsidRPr="00CD720C">
        <w:rPr>
          <w:rFonts w:ascii="Times New Roman" w:hAnsi="Times New Roman"/>
          <w:b/>
          <w:bCs/>
          <w:sz w:val="24"/>
          <w:szCs w:val="24"/>
        </w:rPr>
        <w:t>.</w:t>
      </w:r>
      <w:r w:rsidRPr="00CD720C">
        <w:rPr>
          <w:rFonts w:ascii="Times New Roman" w:hAnsi="Times New Roman"/>
          <w:b/>
          <w:bCs/>
          <w:sz w:val="24"/>
          <w:szCs w:val="24"/>
        </w:rPr>
        <w:t xml:space="preserve"> </w:t>
      </w:r>
      <w:r w:rsidR="00840C1D" w:rsidRPr="00CD720C">
        <w:rPr>
          <w:rFonts w:ascii="Times New Roman" w:hAnsi="Times New Roman"/>
          <w:b/>
          <w:bCs/>
          <w:sz w:val="24"/>
          <w:szCs w:val="24"/>
        </w:rPr>
        <w:t>V</w:t>
      </w:r>
      <w:r w:rsidRPr="00CD720C">
        <w:rPr>
          <w:rFonts w:ascii="Times New Roman" w:hAnsi="Times New Roman"/>
          <w:b/>
          <w:bCs/>
          <w:sz w:val="24"/>
          <w:szCs w:val="24"/>
        </w:rPr>
        <w:t>adovaujančios institucijos veiksmai</w:t>
      </w:r>
      <w:r w:rsidR="00840C1D" w:rsidRPr="00CD720C">
        <w:rPr>
          <w:rFonts w:ascii="Times New Roman" w:hAnsi="Times New Roman"/>
          <w:b/>
          <w:bCs/>
          <w:sz w:val="24"/>
          <w:szCs w:val="24"/>
        </w:rPr>
        <w:t>, siekiant sumažinti riziką nepasie</w:t>
      </w:r>
      <w:r w:rsidR="009A3905" w:rsidRPr="00CD720C">
        <w:rPr>
          <w:rFonts w:ascii="Times New Roman" w:hAnsi="Times New Roman"/>
          <w:b/>
          <w:bCs/>
          <w:sz w:val="24"/>
          <w:szCs w:val="24"/>
        </w:rPr>
        <w:t>k</w:t>
      </w:r>
      <w:r w:rsidR="00840C1D" w:rsidRPr="00CD720C">
        <w:rPr>
          <w:rFonts w:ascii="Times New Roman" w:hAnsi="Times New Roman"/>
          <w:b/>
          <w:bCs/>
          <w:sz w:val="24"/>
          <w:szCs w:val="24"/>
        </w:rPr>
        <w:t>ti numatytų orientyrų</w:t>
      </w:r>
    </w:p>
    <w:p w14:paraId="448EC307" w14:textId="77777777" w:rsidR="002D081A" w:rsidRPr="00CD720C" w:rsidRDefault="002D081A" w:rsidP="004A01C2">
      <w:pPr>
        <w:pStyle w:val="Sraopastraipa"/>
        <w:spacing w:line="276" w:lineRule="auto"/>
        <w:ind w:left="0" w:firstLine="1134"/>
        <w:jc w:val="both"/>
        <w:rPr>
          <w:rFonts w:ascii="Times New Roman" w:hAnsi="Times New Roman"/>
          <w:b/>
          <w:bCs/>
          <w:sz w:val="24"/>
          <w:szCs w:val="24"/>
        </w:rPr>
      </w:pPr>
    </w:p>
    <w:p w14:paraId="2A9F1E6D" w14:textId="52A6BA9F" w:rsidR="00EA4F73" w:rsidRPr="00CD720C" w:rsidRDefault="0078521C" w:rsidP="004A01C2">
      <w:pPr>
        <w:pStyle w:val="Sraopastraipa"/>
        <w:numPr>
          <w:ilvl w:val="0"/>
          <w:numId w:val="1"/>
        </w:numPr>
        <w:spacing w:line="276" w:lineRule="auto"/>
        <w:jc w:val="both"/>
        <w:rPr>
          <w:rFonts w:ascii="Times New Roman" w:hAnsi="Times New Roman"/>
          <w:bCs/>
          <w:sz w:val="24"/>
        </w:rPr>
      </w:pPr>
      <w:r w:rsidRPr="00CD720C">
        <w:rPr>
          <w:rFonts w:ascii="Times New Roman" w:hAnsi="Times New Roman"/>
          <w:bCs/>
          <w:sz w:val="24"/>
        </w:rPr>
        <w:t xml:space="preserve">2018 m. </w:t>
      </w:r>
      <w:r w:rsidR="00A45A98">
        <w:rPr>
          <w:rFonts w:ascii="Times New Roman" w:hAnsi="Times New Roman"/>
          <w:bCs/>
          <w:sz w:val="24"/>
        </w:rPr>
        <w:t>birželio 21</w:t>
      </w:r>
      <w:r w:rsidRPr="00CD720C">
        <w:rPr>
          <w:rFonts w:ascii="Times New Roman" w:hAnsi="Times New Roman"/>
          <w:bCs/>
          <w:sz w:val="24"/>
        </w:rPr>
        <w:t xml:space="preserve"> d. </w:t>
      </w:r>
      <w:r w:rsidR="00A45A98">
        <w:rPr>
          <w:rFonts w:ascii="Times New Roman" w:hAnsi="Times New Roman"/>
          <w:bCs/>
          <w:sz w:val="24"/>
        </w:rPr>
        <w:t xml:space="preserve">vyko Programos įgyvendinimo stebėsenos komiteto posėdis, kuriame pritarta </w:t>
      </w:r>
      <w:r w:rsidR="004C37FE">
        <w:rPr>
          <w:rFonts w:ascii="Times New Roman" w:hAnsi="Times New Roman"/>
          <w:bCs/>
          <w:sz w:val="24"/>
        </w:rPr>
        <w:t xml:space="preserve">Ministerijos </w:t>
      </w:r>
      <w:r w:rsidR="00A45A98">
        <w:rPr>
          <w:rFonts w:ascii="Times New Roman" w:hAnsi="Times New Roman"/>
          <w:bCs/>
          <w:sz w:val="24"/>
        </w:rPr>
        <w:t xml:space="preserve">pasiūlytiems Programos pakeitimams (įskaitant pasiūlymus mažinti 5 ir 6 prioritetų orientyrų reikšmes). Rengiamasi Programos keitimą siųsti </w:t>
      </w:r>
      <w:r w:rsidRPr="00CD720C">
        <w:rPr>
          <w:rFonts w:ascii="Times New Roman" w:hAnsi="Times New Roman"/>
          <w:bCs/>
          <w:sz w:val="24"/>
        </w:rPr>
        <w:t>Europos Komisijai</w:t>
      </w:r>
      <w:r w:rsidR="00DD0F02">
        <w:rPr>
          <w:rFonts w:ascii="Times New Roman" w:hAnsi="Times New Roman"/>
          <w:bCs/>
          <w:sz w:val="24"/>
        </w:rPr>
        <w:t>;</w:t>
      </w:r>
    </w:p>
    <w:p w14:paraId="15247A81" w14:textId="42F09AD2" w:rsidR="00030430" w:rsidRPr="00CD720C" w:rsidRDefault="00E84990" w:rsidP="004A01C2">
      <w:pPr>
        <w:pStyle w:val="Sraopastraipa"/>
        <w:numPr>
          <w:ilvl w:val="0"/>
          <w:numId w:val="1"/>
        </w:numPr>
        <w:spacing w:line="276" w:lineRule="auto"/>
        <w:jc w:val="both"/>
        <w:rPr>
          <w:rFonts w:ascii="Times New Roman" w:hAnsi="Times New Roman"/>
          <w:bCs/>
          <w:sz w:val="24"/>
        </w:rPr>
      </w:pPr>
      <w:r w:rsidRPr="00CD720C">
        <w:rPr>
          <w:rFonts w:ascii="Times New Roman" w:hAnsi="Times New Roman"/>
          <w:bCs/>
          <w:sz w:val="24"/>
          <w:szCs w:val="24"/>
        </w:rPr>
        <w:t>M</w:t>
      </w:r>
      <w:r w:rsidR="00E747E1" w:rsidRPr="00CD720C">
        <w:rPr>
          <w:rFonts w:ascii="Times New Roman" w:hAnsi="Times New Roman"/>
          <w:bCs/>
          <w:sz w:val="24"/>
          <w:szCs w:val="24"/>
        </w:rPr>
        <w:t>inisterijos atsakingi padalinia</w:t>
      </w:r>
      <w:r w:rsidR="002926B4" w:rsidRPr="00CD720C">
        <w:rPr>
          <w:rFonts w:ascii="Times New Roman" w:hAnsi="Times New Roman"/>
          <w:bCs/>
          <w:sz w:val="24"/>
          <w:szCs w:val="24"/>
        </w:rPr>
        <w:t>i</w:t>
      </w:r>
      <w:r w:rsidR="00E747E1" w:rsidRPr="00CD720C">
        <w:rPr>
          <w:rFonts w:ascii="Times New Roman" w:hAnsi="Times New Roman"/>
          <w:bCs/>
          <w:sz w:val="24"/>
          <w:szCs w:val="24"/>
        </w:rPr>
        <w:t xml:space="preserve"> im</w:t>
      </w:r>
      <w:r w:rsidR="002926B4" w:rsidRPr="00CD720C">
        <w:rPr>
          <w:rFonts w:ascii="Times New Roman" w:hAnsi="Times New Roman"/>
          <w:bCs/>
          <w:sz w:val="24"/>
          <w:szCs w:val="24"/>
        </w:rPr>
        <w:t>asi</w:t>
      </w:r>
      <w:r w:rsidR="00E747E1" w:rsidRPr="00CD720C">
        <w:rPr>
          <w:rFonts w:ascii="Times New Roman" w:hAnsi="Times New Roman"/>
          <w:bCs/>
          <w:sz w:val="24"/>
          <w:szCs w:val="24"/>
        </w:rPr>
        <w:t xml:space="preserve"> papildomų veiksmų siekiant paspartinti priemonių</w:t>
      </w:r>
      <w:r w:rsidR="005446C8" w:rsidRPr="00CD720C">
        <w:rPr>
          <w:rFonts w:ascii="Times New Roman" w:hAnsi="Times New Roman"/>
          <w:bCs/>
          <w:sz w:val="24"/>
          <w:szCs w:val="24"/>
        </w:rPr>
        <w:t xml:space="preserve"> įgyvendinimą</w:t>
      </w:r>
      <w:r w:rsidRPr="00CD720C">
        <w:rPr>
          <w:rFonts w:ascii="Times New Roman" w:hAnsi="Times New Roman"/>
          <w:bCs/>
          <w:sz w:val="24"/>
          <w:szCs w:val="24"/>
        </w:rPr>
        <w:t>;</w:t>
      </w:r>
    </w:p>
    <w:p w14:paraId="11C03B9B" w14:textId="08BC7F10" w:rsidR="00166EA2" w:rsidRPr="00CD720C" w:rsidRDefault="0026652B" w:rsidP="004A01C2">
      <w:pPr>
        <w:pStyle w:val="Sraopastraipa"/>
        <w:numPr>
          <w:ilvl w:val="0"/>
          <w:numId w:val="1"/>
        </w:numPr>
        <w:spacing w:line="276" w:lineRule="auto"/>
        <w:jc w:val="both"/>
        <w:rPr>
          <w:rFonts w:ascii="Times New Roman" w:hAnsi="Times New Roman"/>
          <w:bCs/>
          <w:sz w:val="24"/>
          <w:szCs w:val="24"/>
        </w:rPr>
      </w:pPr>
      <w:r w:rsidRPr="00CD720C">
        <w:rPr>
          <w:rFonts w:ascii="Times New Roman" w:hAnsi="Times New Roman"/>
          <w:bCs/>
          <w:sz w:val="24"/>
          <w:szCs w:val="24"/>
        </w:rPr>
        <w:t>K</w:t>
      </w:r>
      <w:r w:rsidR="003E58D7" w:rsidRPr="00CD720C">
        <w:rPr>
          <w:rFonts w:ascii="Times New Roman" w:hAnsi="Times New Roman"/>
          <w:bCs/>
          <w:sz w:val="24"/>
          <w:szCs w:val="24"/>
        </w:rPr>
        <w:t>as ketvirtį organizuo</w:t>
      </w:r>
      <w:r w:rsidRPr="00CD720C">
        <w:rPr>
          <w:rFonts w:ascii="Times New Roman" w:hAnsi="Times New Roman"/>
          <w:bCs/>
          <w:sz w:val="24"/>
          <w:szCs w:val="24"/>
        </w:rPr>
        <w:t>jamas</w:t>
      </w:r>
      <w:r w:rsidR="003E58D7" w:rsidRPr="00CD720C">
        <w:rPr>
          <w:rFonts w:ascii="Times New Roman" w:hAnsi="Times New Roman"/>
          <w:bCs/>
          <w:sz w:val="24"/>
          <w:szCs w:val="24"/>
        </w:rPr>
        <w:t xml:space="preserve"> </w:t>
      </w:r>
      <w:r w:rsidR="00166EA2" w:rsidRPr="00CD720C">
        <w:rPr>
          <w:rFonts w:ascii="Times New Roman" w:hAnsi="Times New Roman"/>
          <w:bCs/>
          <w:sz w:val="24"/>
          <w:szCs w:val="24"/>
        </w:rPr>
        <w:t>Programos veiklos rezultatų plano įgyvendinimo situacijos aptarim</w:t>
      </w:r>
      <w:r w:rsidRPr="00CD720C">
        <w:rPr>
          <w:rFonts w:ascii="Times New Roman" w:hAnsi="Times New Roman"/>
          <w:bCs/>
          <w:sz w:val="24"/>
          <w:szCs w:val="24"/>
        </w:rPr>
        <w:t>as</w:t>
      </w:r>
      <w:r w:rsidR="00166EA2" w:rsidRPr="00CD720C">
        <w:rPr>
          <w:rFonts w:ascii="Times New Roman" w:hAnsi="Times New Roman"/>
          <w:bCs/>
          <w:sz w:val="24"/>
          <w:szCs w:val="24"/>
        </w:rPr>
        <w:t>.</w:t>
      </w:r>
    </w:p>
    <w:p w14:paraId="1EE99530" w14:textId="5AB2164F" w:rsidR="00745577" w:rsidRPr="00CD720C" w:rsidRDefault="00745577" w:rsidP="001D0D1C">
      <w:pPr>
        <w:rPr>
          <w:rFonts w:ascii="Times New Roman" w:eastAsia="Calibri"/>
          <w:sz w:val="22"/>
          <w:szCs w:val="22"/>
        </w:rPr>
      </w:pPr>
      <w:r w:rsidRPr="00CD720C">
        <w:rPr>
          <w:rFonts w:ascii="Times New Roman" w:eastAsia="Calibri"/>
          <w:sz w:val="22"/>
          <w:szCs w:val="22"/>
        </w:rPr>
        <w:t xml:space="preserve">                                                                  __________________________</w:t>
      </w:r>
    </w:p>
    <w:sectPr w:rsidR="00745577" w:rsidRPr="00CD720C" w:rsidSect="00C2077A">
      <w:headerReference w:type="default" r:id="rId10"/>
      <w:endnotePr>
        <w:numFmt w:val="decimal"/>
      </w:endnotePr>
      <w:pgSz w:w="11906" w:h="16838"/>
      <w:pgMar w:top="568"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110E8" w14:textId="77777777" w:rsidR="00F00F0E" w:rsidRDefault="00F00F0E">
      <w:r>
        <w:separator/>
      </w:r>
    </w:p>
  </w:endnote>
  <w:endnote w:type="continuationSeparator" w:id="0">
    <w:p w14:paraId="3C46CB32" w14:textId="77777777" w:rsidR="00F00F0E" w:rsidRDefault="00F0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
    <w:altName w:val="Arial Unicode MS"/>
    <w:charset w:val="00"/>
    <w:family w:val="roman"/>
    <w:pitch w:val="default"/>
    <w:sig w:usb0="00000000"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A1FE0" w14:textId="77777777" w:rsidR="00F00F0E" w:rsidRDefault="00F00F0E">
      <w:r>
        <w:separator/>
      </w:r>
    </w:p>
  </w:footnote>
  <w:footnote w:type="continuationSeparator" w:id="0">
    <w:p w14:paraId="1049204C" w14:textId="77777777" w:rsidR="00F00F0E" w:rsidRDefault="00F0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884D" w14:textId="77777777" w:rsidR="004B05DD" w:rsidRDefault="004B05DD" w:rsidP="00C03391">
    <w:pPr>
      <w:widowControl/>
      <w:tabs>
        <w:tab w:val="center" w:pos="4819"/>
        <w:tab w:val="right" w:pos="9638"/>
      </w:tabs>
      <w:wordWrap/>
      <w:spacing w:line="360" w:lineRule="auto"/>
      <w:jc w:val="center"/>
      <w:rPr>
        <w:rFonts w:ascii="Times New Roman" w:eastAsia="Calibri"/>
        <w:sz w:val="24"/>
      </w:rPr>
    </w:pPr>
    <w:r>
      <w:rPr>
        <w:rFonts w:ascii="Times New Roman" w:eastAsia="Calibri"/>
        <w:sz w:val="24"/>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91D5A"/>
    <w:multiLevelType w:val="hybridMultilevel"/>
    <w:tmpl w:val="84BA45D4"/>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23918E4"/>
    <w:multiLevelType w:val="hybridMultilevel"/>
    <w:tmpl w:val="7E723DE4"/>
    <w:lvl w:ilvl="0" w:tplc="C344B35C">
      <w:start w:val="9"/>
      <w:numFmt w:val="bullet"/>
      <w:lvlText w:val="-"/>
      <w:lvlJc w:val="left"/>
      <w:pPr>
        <w:ind w:left="1494" w:hanging="360"/>
      </w:pPr>
      <w:rPr>
        <w:rFonts w:ascii="Times New Roman" w:eastAsia="TimesNewRomanPSM"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 w15:restartNumberingAfterBreak="0">
    <w:nsid w:val="2D886D8C"/>
    <w:multiLevelType w:val="hybridMultilevel"/>
    <w:tmpl w:val="AC0E48FC"/>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3" w15:restartNumberingAfterBreak="0">
    <w:nsid w:val="50FB7A79"/>
    <w:multiLevelType w:val="hybridMultilevel"/>
    <w:tmpl w:val="8F066906"/>
    <w:lvl w:ilvl="0" w:tplc="04270005">
      <w:start w:val="1"/>
      <w:numFmt w:val="bullet"/>
      <w:lvlText w:val=""/>
      <w:lvlJc w:val="left"/>
      <w:pPr>
        <w:ind w:left="2574" w:hanging="360"/>
      </w:pPr>
      <w:rPr>
        <w:rFonts w:ascii="Wingdings" w:hAnsi="Wingdings" w:hint="default"/>
      </w:rPr>
    </w:lvl>
    <w:lvl w:ilvl="1" w:tplc="04270003" w:tentative="1">
      <w:start w:val="1"/>
      <w:numFmt w:val="bullet"/>
      <w:lvlText w:val="o"/>
      <w:lvlJc w:val="left"/>
      <w:pPr>
        <w:ind w:left="3294" w:hanging="360"/>
      </w:pPr>
      <w:rPr>
        <w:rFonts w:ascii="Courier New" w:hAnsi="Courier New" w:cs="Courier New" w:hint="default"/>
      </w:rPr>
    </w:lvl>
    <w:lvl w:ilvl="2" w:tplc="04270005" w:tentative="1">
      <w:start w:val="1"/>
      <w:numFmt w:val="bullet"/>
      <w:lvlText w:val=""/>
      <w:lvlJc w:val="left"/>
      <w:pPr>
        <w:ind w:left="4014" w:hanging="360"/>
      </w:pPr>
      <w:rPr>
        <w:rFonts w:ascii="Wingdings" w:hAnsi="Wingdings" w:hint="default"/>
      </w:rPr>
    </w:lvl>
    <w:lvl w:ilvl="3" w:tplc="04270001" w:tentative="1">
      <w:start w:val="1"/>
      <w:numFmt w:val="bullet"/>
      <w:lvlText w:val=""/>
      <w:lvlJc w:val="left"/>
      <w:pPr>
        <w:ind w:left="4734" w:hanging="360"/>
      </w:pPr>
      <w:rPr>
        <w:rFonts w:ascii="Symbol" w:hAnsi="Symbol" w:hint="default"/>
      </w:rPr>
    </w:lvl>
    <w:lvl w:ilvl="4" w:tplc="04270003" w:tentative="1">
      <w:start w:val="1"/>
      <w:numFmt w:val="bullet"/>
      <w:lvlText w:val="o"/>
      <w:lvlJc w:val="left"/>
      <w:pPr>
        <w:ind w:left="5454" w:hanging="360"/>
      </w:pPr>
      <w:rPr>
        <w:rFonts w:ascii="Courier New" w:hAnsi="Courier New" w:cs="Courier New" w:hint="default"/>
      </w:rPr>
    </w:lvl>
    <w:lvl w:ilvl="5" w:tplc="04270005" w:tentative="1">
      <w:start w:val="1"/>
      <w:numFmt w:val="bullet"/>
      <w:lvlText w:val=""/>
      <w:lvlJc w:val="left"/>
      <w:pPr>
        <w:ind w:left="6174" w:hanging="360"/>
      </w:pPr>
      <w:rPr>
        <w:rFonts w:ascii="Wingdings" w:hAnsi="Wingdings" w:hint="default"/>
      </w:rPr>
    </w:lvl>
    <w:lvl w:ilvl="6" w:tplc="04270001" w:tentative="1">
      <w:start w:val="1"/>
      <w:numFmt w:val="bullet"/>
      <w:lvlText w:val=""/>
      <w:lvlJc w:val="left"/>
      <w:pPr>
        <w:ind w:left="6894" w:hanging="360"/>
      </w:pPr>
      <w:rPr>
        <w:rFonts w:ascii="Symbol" w:hAnsi="Symbol" w:hint="default"/>
      </w:rPr>
    </w:lvl>
    <w:lvl w:ilvl="7" w:tplc="04270003" w:tentative="1">
      <w:start w:val="1"/>
      <w:numFmt w:val="bullet"/>
      <w:lvlText w:val="o"/>
      <w:lvlJc w:val="left"/>
      <w:pPr>
        <w:ind w:left="7614" w:hanging="360"/>
      </w:pPr>
      <w:rPr>
        <w:rFonts w:ascii="Courier New" w:hAnsi="Courier New" w:cs="Courier New" w:hint="default"/>
      </w:rPr>
    </w:lvl>
    <w:lvl w:ilvl="8" w:tplc="04270005" w:tentative="1">
      <w:start w:val="1"/>
      <w:numFmt w:val="bullet"/>
      <w:lvlText w:val=""/>
      <w:lvlJc w:val="left"/>
      <w:pPr>
        <w:ind w:left="8334" w:hanging="360"/>
      </w:pPr>
      <w:rPr>
        <w:rFonts w:ascii="Wingdings" w:hAnsi="Wingdings" w:hint="default"/>
      </w:rPr>
    </w:lvl>
  </w:abstractNum>
  <w:abstractNum w:abstractNumId="4" w15:restartNumberingAfterBreak="0">
    <w:nsid w:val="52FA1A17"/>
    <w:multiLevelType w:val="hybridMultilevel"/>
    <w:tmpl w:val="4AFC3B3A"/>
    <w:lvl w:ilvl="0" w:tplc="04270005">
      <w:start w:val="1"/>
      <w:numFmt w:val="bullet"/>
      <w:lvlText w:val=""/>
      <w:lvlJc w:val="left"/>
      <w:pPr>
        <w:ind w:left="2934" w:hanging="360"/>
      </w:pPr>
      <w:rPr>
        <w:rFonts w:ascii="Wingdings" w:hAnsi="Wingdings" w:hint="default"/>
      </w:rPr>
    </w:lvl>
    <w:lvl w:ilvl="1" w:tplc="04270003" w:tentative="1">
      <w:start w:val="1"/>
      <w:numFmt w:val="bullet"/>
      <w:lvlText w:val="o"/>
      <w:lvlJc w:val="left"/>
      <w:pPr>
        <w:ind w:left="3654" w:hanging="360"/>
      </w:pPr>
      <w:rPr>
        <w:rFonts w:ascii="Courier New" w:hAnsi="Courier New" w:cs="Courier New" w:hint="default"/>
      </w:rPr>
    </w:lvl>
    <w:lvl w:ilvl="2" w:tplc="04270005" w:tentative="1">
      <w:start w:val="1"/>
      <w:numFmt w:val="bullet"/>
      <w:lvlText w:val=""/>
      <w:lvlJc w:val="left"/>
      <w:pPr>
        <w:ind w:left="4374" w:hanging="360"/>
      </w:pPr>
      <w:rPr>
        <w:rFonts w:ascii="Wingdings" w:hAnsi="Wingdings" w:hint="default"/>
      </w:rPr>
    </w:lvl>
    <w:lvl w:ilvl="3" w:tplc="04270001" w:tentative="1">
      <w:start w:val="1"/>
      <w:numFmt w:val="bullet"/>
      <w:lvlText w:val=""/>
      <w:lvlJc w:val="left"/>
      <w:pPr>
        <w:ind w:left="5094" w:hanging="360"/>
      </w:pPr>
      <w:rPr>
        <w:rFonts w:ascii="Symbol" w:hAnsi="Symbol" w:hint="default"/>
      </w:rPr>
    </w:lvl>
    <w:lvl w:ilvl="4" w:tplc="04270003" w:tentative="1">
      <w:start w:val="1"/>
      <w:numFmt w:val="bullet"/>
      <w:lvlText w:val="o"/>
      <w:lvlJc w:val="left"/>
      <w:pPr>
        <w:ind w:left="5814" w:hanging="360"/>
      </w:pPr>
      <w:rPr>
        <w:rFonts w:ascii="Courier New" w:hAnsi="Courier New" w:cs="Courier New" w:hint="default"/>
      </w:rPr>
    </w:lvl>
    <w:lvl w:ilvl="5" w:tplc="04270005" w:tentative="1">
      <w:start w:val="1"/>
      <w:numFmt w:val="bullet"/>
      <w:lvlText w:val=""/>
      <w:lvlJc w:val="left"/>
      <w:pPr>
        <w:ind w:left="6534" w:hanging="360"/>
      </w:pPr>
      <w:rPr>
        <w:rFonts w:ascii="Wingdings" w:hAnsi="Wingdings" w:hint="default"/>
      </w:rPr>
    </w:lvl>
    <w:lvl w:ilvl="6" w:tplc="04270001" w:tentative="1">
      <w:start w:val="1"/>
      <w:numFmt w:val="bullet"/>
      <w:lvlText w:val=""/>
      <w:lvlJc w:val="left"/>
      <w:pPr>
        <w:ind w:left="7254" w:hanging="360"/>
      </w:pPr>
      <w:rPr>
        <w:rFonts w:ascii="Symbol" w:hAnsi="Symbol" w:hint="default"/>
      </w:rPr>
    </w:lvl>
    <w:lvl w:ilvl="7" w:tplc="04270003" w:tentative="1">
      <w:start w:val="1"/>
      <w:numFmt w:val="bullet"/>
      <w:lvlText w:val="o"/>
      <w:lvlJc w:val="left"/>
      <w:pPr>
        <w:ind w:left="7974" w:hanging="360"/>
      </w:pPr>
      <w:rPr>
        <w:rFonts w:ascii="Courier New" w:hAnsi="Courier New" w:cs="Courier New" w:hint="default"/>
      </w:rPr>
    </w:lvl>
    <w:lvl w:ilvl="8" w:tplc="04270005" w:tentative="1">
      <w:start w:val="1"/>
      <w:numFmt w:val="bullet"/>
      <w:lvlText w:val=""/>
      <w:lvlJc w:val="left"/>
      <w:pPr>
        <w:ind w:left="8694" w:hanging="360"/>
      </w:pPr>
      <w:rPr>
        <w:rFonts w:ascii="Wingdings" w:hAnsi="Wingdings" w:hint="default"/>
      </w:rPr>
    </w:lvl>
  </w:abstractNum>
  <w:abstractNum w:abstractNumId="5" w15:restartNumberingAfterBreak="0">
    <w:nsid w:val="703A3E55"/>
    <w:multiLevelType w:val="hybridMultilevel"/>
    <w:tmpl w:val="E28A545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298"/>
  <w:hyphenationZone w:val="396"/>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D1"/>
    <w:rsid w:val="00000BF8"/>
    <w:rsid w:val="00001A3F"/>
    <w:rsid w:val="000023A6"/>
    <w:rsid w:val="00002B6B"/>
    <w:rsid w:val="00003183"/>
    <w:rsid w:val="0000354D"/>
    <w:rsid w:val="00003E87"/>
    <w:rsid w:val="00004EF0"/>
    <w:rsid w:val="00007611"/>
    <w:rsid w:val="000117DA"/>
    <w:rsid w:val="000128AC"/>
    <w:rsid w:val="00015DA8"/>
    <w:rsid w:val="00017920"/>
    <w:rsid w:val="0002069D"/>
    <w:rsid w:val="00021933"/>
    <w:rsid w:val="00022414"/>
    <w:rsid w:val="00022C2D"/>
    <w:rsid w:val="00023343"/>
    <w:rsid w:val="00024223"/>
    <w:rsid w:val="00025EDE"/>
    <w:rsid w:val="00030104"/>
    <w:rsid w:val="00030430"/>
    <w:rsid w:val="0003058B"/>
    <w:rsid w:val="00030A05"/>
    <w:rsid w:val="00030BF7"/>
    <w:rsid w:val="00032B1A"/>
    <w:rsid w:val="0003404B"/>
    <w:rsid w:val="00035722"/>
    <w:rsid w:val="000364D6"/>
    <w:rsid w:val="00043498"/>
    <w:rsid w:val="00043518"/>
    <w:rsid w:val="000436C7"/>
    <w:rsid w:val="000458B8"/>
    <w:rsid w:val="00045BE1"/>
    <w:rsid w:val="0005024D"/>
    <w:rsid w:val="0005167B"/>
    <w:rsid w:val="00051C6A"/>
    <w:rsid w:val="000537D9"/>
    <w:rsid w:val="00054370"/>
    <w:rsid w:val="0005728B"/>
    <w:rsid w:val="00060B6E"/>
    <w:rsid w:val="00063486"/>
    <w:rsid w:val="00065607"/>
    <w:rsid w:val="00065D39"/>
    <w:rsid w:val="0006779C"/>
    <w:rsid w:val="000714C9"/>
    <w:rsid w:val="00075109"/>
    <w:rsid w:val="00076A77"/>
    <w:rsid w:val="00076C23"/>
    <w:rsid w:val="00080B1B"/>
    <w:rsid w:val="000814D3"/>
    <w:rsid w:val="00081B87"/>
    <w:rsid w:val="00082486"/>
    <w:rsid w:val="0008278B"/>
    <w:rsid w:val="00086904"/>
    <w:rsid w:val="00086D68"/>
    <w:rsid w:val="00090C9C"/>
    <w:rsid w:val="000919DE"/>
    <w:rsid w:val="00094896"/>
    <w:rsid w:val="000A1FE2"/>
    <w:rsid w:val="000A33A2"/>
    <w:rsid w:val="000A3B73"/>
    <w:rsid w:val="000A5558"/>
    <w:rsid w:val="000A65BD"/>
    <w:rsid w:val="000B16C2"/>
    <w:rsid w:val="000B60B9"/>
    <w:rsid w:val="000B763A"/>
    <w:rsid w:val="000C1671"/>
    <w:rsid w:val="000C1CC2"/>
    <w:rsid w:val="000C2B09"/>
    <w:rsid w:val="000C2F48"/>
    <w:rsid w:val="000C3094"/>
    <w:rsid w:val="000C399C"/>
    <w:rsid w:val="000C589B"/>
    <w:rsid w:val="000C6273"/>
    <w:rsid w:val="000D0640"/>
    <w:rsid w:val="000D0F70"/>
    <w:rsid w:val="000D10A7"/>
    <w:rsid w:val="000D4F8F"/>
    <w:rsid w:val="000D61A1"/>
    <w:rsid w:val="000E47B8"/>
    <w:rsid w:val="000E6768"/>
    <w:rsid w:val="000E6CCC"/>
    <w:rsid w:val="000E6F81"/>
    <w:rsid w:val="000F2A14"/>
    <w:rsid w:val="000F3039"/>
    <w:rsid w:val="000F4B7D"/>
    <w:rsid w:val="000F4E88"/>
    <w:rsid w:val="000F538B"/>
    <w:rsid w:val="000F7692"/>
    <w:rsid w:val="000F7B0F"/>
    <w:rsid w:val="00104072"/>
    <w:rsid w:val="00105FD9"/>
    <w:rsid w:val="001071F9"/>
    <w:rsid w:val="00110F9F"/>
    <w:rsid w:val="00111BA6"/>
    <w:rsid w:val="00111FD2"/>
    <w:rsid w:val="00112CE8"/>
    <w:rsid w:val="00117672"/>
    <w:rsid w:val="001230D0"/>
    <w:rsid w:val="00123DB8"/>
    <w:rsid w:val="00124DA0"/>
    <w:rsid w:val="001259C4"/>
    <w:rsid w:val="00126D99"/>
    <w:rsid w:val="00134BF8"/>
    <w:rsid w:val="0013538D"/>
    <w:rsid w:val="001376A1"/>
    <w:rsid w:val="0014140B"/>
    <w:rsid w:val="001501CC"/>
    <w:rsid w:val="001518ED"/>
    <w:rsid w:val="0015227B"/>
    <w:rsid w:val="0015275B"/>
    <w:rsid w:val="00154C70"/>
    <w:rsid w:val="00156AF0"/>
    <w:rsid w:val="00160BA2"/>
    <w:rsid w:val="00165397"/>
    <w:rsid w:val="00165A33"/>
    <w:rsid w:val="00166EA2"/>
    <w:rsid w:val="001707D5"/>
    <w:rsid w:val="00170A4E"/>
    <w:rsid w:val="00171E9D"/>
    <w:rsid w:val="00172A96"/>
    <w:rsid w:val="00173C1B"/>
    <w:rsid w:val="001746F2"/>
    <w:rsid w:val="00184EF1"/>
    <w:rsid w:val="00186A28"/>
    <w:rsid w:val="00187862"/>
    <w:rsid w:val="00187F41"/>
    <w:rsid w:val="0019141D"/>
    <w:rsid w:val="00191AA8"/>
    <w:rsid w:val="00191F99"/>
    <w:rsid w:val="00193ACE"/>
    <w:rsid w:val="0019755E"/>
    <w:rsid w:val="001A1D46"/>
    <w:rsid w:val="001A3711"/>
    <w:rsid w:val="001A582B"/>
    <w:rsid w:val="001A6894"/>
    <w:rsid w:val="001A7B3A"/>
    <w:rsid w:val="001B0A2B"/>
    <w:rsid w:val="001B1617"/>
    <w:rsid w:val="001B2065"/>
    <w:rsid w:val="001B2168"/>
    <w:rsid w:val="001C0111"/>
    <w:rsid w:val="001C0BF8"/>
    <w:rsid w:val="001C176A"/>
    <w:rsid w:val="001C3E2B"/>
    <w:rsid w:val="001C7F26"/>
    <w:rsid w:val="001D0592"/>
    <w:rsid w:val="001D0671"/>
    <w:rsid w:val="001D0D1C"/>
    <w:rsid w:val="001D0FB3"/>
    <w:rsid w:val="001D1B17"/>
    <w:rsid w:val="001D3521"/>
    <w:rsid w:val="001D42F8"/>
    <w:rsid w:val="001D704C"/>
    <w:rsid w:val="001D7885"/>
    <w:rsid w:val="001E01B6"/>
    <w:rsid w:val="001E32BA"/>
    <w:rsid w:val="001E39AB"/>
    <w:rsid w:val="001E3BBC"/>
    <w:rsid w:val="001E4283"/>
    <w:rsid w:val="001E4FB9"/>
    <w:rsid w:val="001E7D53"/>
    <w:rsid w:val="001F1642"/>
    <w:rsid w:val="001F36B5"/>
    <w:rsid w:val="001F36F4"/>
    <w:rsid w:val="001F7CE7"/>
    <w:rsid w:val="0020618E"/>
    <w:rsid w:val="00206245"/>
    <w:rsid w:val="002062D7"/>
    <w:rsid w:val="0020695C"/>
    <w:rsid w:val="0020716E"/>
    <w:rsid w:val="002101D5"/>
    <w:rsid w:val="00210F8B"/>
    <w:rsid w:val="00211EEB"/>
    <w:rsid w:val="002124BA"/>
    <w:rsid w:val="002131EE"/>
    <w:rsid w:val="00214C7E"/>
    <w:rsid w:val="002159AD"/>
    <w:rsid w:val="00217D74"/>
    <w:rsid w:val="00222659"/>
    <w:rsid w:val="00223174"/>
    <w:rsid w:val="00223578"/>
    <w:rsid w:val="00226C73"/>
    <w:rsid w:val="00234ADB"/>
    <w:rsid w:val="00244023"/>
    <w:rsid w:val="00244265"/>
    <w:rsid w:val="00245D1C"/>
    <w:rsid w:val="002472C4"/>
    <w:rsid w:val="002508B5"/>
    <w:rsid w:val="00254474"/>
    <w:rsid w:val="0025453B"/>
    <w:rsid w:val="00255AC1"/>
    <w:rsid w:val="0025614B"/>
    <w:rsid w:val="002565FA"/>
    <w:rsid w:val="00256E9C"/>
    <w:rsid w:val="0025778E"/>
    <w:rsid w:val="0026156B"/>
    <w:rsid w:val="00261A59"/>
    <w:rsid w:val="0026397F"/>
    <w:rsid w:val="00263BAF"/>
    <w:rsid w:val="00263C2D"/>
    <w:rsid w:val="00263EFE"/>
    <w:rsid w:val="002642A1"/>
    <w:rsid w:val="002664D0"/>
    <w:rsid w:val="0026652B"/>
    <w:rsid w:val="00266CDB"/>
    <w:rsid w:val="002700F3"/>
    <w:rsid w:val="00271497"/>
    <w:rsid w:val="00271C57"/>
    <w:rsid w:val="00271CF4"/>
    <w:rsid w:val="002724BE"/>
    <w:rsid w:val="00272721"/>
    <w:rsid w:val="00272CDE"/>
    <w:rsid w:val="002733D7"/>
    <w:rsid w:val="002746AE"/>
    <w:rsid w:val="002773E8"/>
    <w:rsid w:val="00277DC8"/>
    <w:rsid w:val="00281104"/>
    <w:rsid w:val="002845A0"/>
    <w:rsid w:val="00284C60"/>
    <w:rsid w:val="00284F88"/>
    <w:rsid w:val="002867AC"/>
    <w:rsid w:val="002869EB"/>
    <w:rsid w:val="00287E35"/>
    <w:rsid w:val="00290544"/>
    <w:rsid w:val="0029140B"/>
    <w:rsid w:val="00291AEE"/>
    <w:rsid w:val="002924AE"/>
    <w:rsid w:val="002926B4"/>
    <w:rsid w:val="0029297D"/>
    <w:rsid w:val="00292C6D"/>
    <w:rsid w:val="0029659D"/>
    <w:rsid w:val="00297E6E"/>
    <w:rsid w:val="002A08C5"/>
    <w:rsid w:val="002A1A9D"/>
    <w:rsid w:val="002A1AD0"/>
    <w:rsid w:val="002B1E33"/>
    <w:rsid w:val="002B29BD"/>
    <w:rsid w:val="002B311D"/>
    <w:rsid w:val="002B4B01"/>
    <w:rsid w:val="002B64CA"/>
    <w:rsid w:val="002B652B"/>
    <w:rsid w:val="002B7704"/>
    <w:rsid w:val="002C22F1"/>
    <w:rsid w:val="002C32FF"/>
    <w:rsid w:val="002C3DF9"/>
    <w:rsid w:val="002C5DB4"/>
    <w:rsid w:val="002C794E"/>
    <w:rsid w:val="002C7CA5"/>
    <w:rsid w:val="002D0560"/>
    <w:rsid w:val="002D081A"/>
    <w:rsid w:val="002D2321"/>
    <w:rsid w:val="002D28DD"/>
    <w:rsid w:val="002D4E96"/>
    <w:rsid w:val="002D57BF"/>
    <w:rsid w:val="002D6CC6"/>
    <w:rsid w:val="002E0092"/>
    <w:rsid w:val="002E09F5"/>
    <w:rsid w:val="002E27F9"/>
    <w:rsid w:val="002E2A5A"/>
    <w:rsid w:val="002E36E0"/>
    <w:rsid w:val="002E370F"/>
    <w:rsid w:val="002E46A4"/>
    <w:rsid w:val="002E558E"/>
    <w:rsid w:val="002E6285"/>
    <w:rsid w:val="002E71D1"/>
    <w:rsid w:val="002E7238"/>
    <w:rsid w:val="002E7ACB"/>
    <w:rsid w:val="002E7E47"/>
    <w:rsid w:val="002F00B7"/>
    <w:rsid w:val="002F200F"/>
    <w:rsid w:val="002F3CC9"/>
    <w:rsid w:val="002F440B"/>
    <w:rsid w:val="002F4AF8"/>
    <w:rsid w:val="002F56B7"/>
    <w:rsid w:val="002F74AD"/>
    <w:rsid w:val="002F7A0B"/>
    <w:rsid w:val="002F7A3B"/>
    <w:rsid w:val="00302DCF"/>
    <w:rsid w:val="003033CA"/>
    <w:rsid w:val="00303E93"/>
    <w:rsid w:val="00303F38"/>
    <w:rsid w:val="00304420"/>
    <w:rsid w:val="0030532E"/>
    <w:rsid w:val="003100E6"/>
    <w:rsid w:val="00310759"/>
    <w:rsid w:val="00311D8B"/>
    <w:rsid w:val="00313290"/>
    <w:rsid w:val="00313977"/>
    <w:rsid w:val="00314D27"/>
    <w:rsid w:val="00315E18"/>
    <w:rsid w:val="00324DEE"/>
    <w:rsid w:val="00326891"/>
    <w:rsid w:val="00334B8E"/>
    <w:rsid w:val="00336C3F"/>
    <w:rsid w:val="00337FE1"/>
    <w:rsid w:val="00340A6C"/>
    <w:rsid w:val="00341AA5"/>
    <w:rsid w:val="00343CE5"/>
    <w:rsid w:val="00343EBB"/>
    <w:rsid w:val="00344886"/>
    <w:rsid w:val="00344D7F"/>
    <w:rsid w:val="00345733"/>
    <w:rsid w:val="00347FCD"/>
    <w:rsid w:val="00350B97"/>
    <w:rsid w:val="003522A6"/>
    <w:rsid w:val="00361035"/>
    <w:rsid w:val="003625D8"/>
    <w:rsid w:val="0036267B"/>
    <w:rsid w:val="00362A01"/>
    <w:rsid w:val="00362B4F"/>
    <w:rsid w:val="00363408"/>
    <w:rsid w:val="003665D1"/>
    <w:rsid w:val="00367655"/>
    <w:rsid w:val="003708D0"/>
    <w:rsid w:val="003735BB"/>
    <w:rsid w:val="0037380F"/>
    <w:rsid w:val="003756F1"/>
    <w:rsid w:val="00376442"/>
    <w:rsid w:val="0038558C"/>
    <w:rsid w:val="00385C2F"/>
    <w:rsid w:val="00386A46"/>
    <w:rsid w:val="00386E9E"/>
    <w:rsid w:val="00387603"/>
    <w:rsid w:val="003879FD"/>
    <w:rsid w:val="00393BE1"/>
    <w:rsid w:val="00393F5B"/>
    <w:rsid w:val="003954FA"/>
    <w:rsid w:val="00396361"/>
    <w:rsid w:val="003966F9"/>
    <w:rsid w:val="003A1688"/>
    <w:rsid w:val="003A1E04"/>
    <w:rsid w:val="003A229B"/>
    <w:rsid w:val="003A246F"/>
    <w:rsid w:val="003A403E"/>
    <w:rsid w:val="003A450D"/>
    <w:rsid w:val="003A618A"/>
    <w:rsid w:val="003A6E06"/>
    <w:rsid w:val="003B0E92"/>
    <w:rsid w:val="003B1AC5"/>
    <w:rsid w:val="003B1CE1"/>
    <w:rsid w:val="003B4B3E"/>
    <w:rsid w:val="003B7BCA"/>
    <w:rsid w:val="003C0735"/>
    <w:rsid w:val="003C0B88"/>
    <w:rsid w:val="003C2C20"/>
    <w:rsid w:val="003C344A"/>
    <w:rsid w:val="003C36F6"/>
    <w:rsid w:val="003C602E"/>
    <w:rsid w:val="003C6492"/>
    <w:rsid w:val="003C7902"/>
    <w:rsid w:val="003D0639"/>
    <w:rsid w:val="003D30AB"/>
    <w:rsid w:val="003D674C"/>
    <w:rsid w:val="003D7DC0"/>
    <w:rsid w:val="003E1FB6"/>
    <w:rsid w:val="003E272C"/>
    <w:rsid w:val="003E357C"/>
    <w:rsid w:val="003E4D4A"/>
    <w:rsid w:val="003E58D7"/>
    <w:rsid w:val="003E5921"/>
    <w:rsid w:val="003E61B6"/>
    <w:rsid w:val="003E623B"/>
    <w:rsid w:val="003E6BB9"/>
    <w:rsid w:val="003E7BE1"/>
    <w:rsid w:val="003F082F"/>
    <w:rsid w:val="003F31E2"/>
    <w:rsid w:val="003F37F5"/>
    <w:rsid w:val="003F47B0"/>
    <w:rsid w:val="003F4EDC"/>
    <w:rsid w:val="003F6C7B"/>
    <w:rsid w:val="004002D8"/>
    <w:rsid w:val="004017A2"/>
    <w:rsid w:val="00402839"/>
    <w:rsid w:val="00403587"/>
    <w:rsid w:val="0040427B"/>
    <w:rsid w:val="00413109"/>
    <w:rsid w:val="0041418E"/>
    <w:rsid w:val="00414C2A"/>
    <w:rsid w:val="00416EA1"/>
    <w:rsid w:val="004173F2"/>
    <w:rsid w:val="00417D95"/>
    <w:rsid w:val="004208C7"/>
    <w:rsid w:val="00423A60"/>
    <w:rsid w:val="00423AB7"/>
    <w:rsid w:val="00426982"/>
    <w:rsid w:val="00430051"/>
    <w:rsid w:val="00432152"/>
    <w:rsid w:val="0043424A"/>
    <w:rsid w:val="0043442B"/>
    <w:rsid w:val="00434F35"/>
    <w:rsid w:val="00435DCC"/>
    <w:rsid w:val="0043628B"/>
    <w:rsid w:val="004364F6"/>
    <w:rsid w:val="00440ACD"/>
    <w:rsid w:val="0044422A"/>
    <w:rsid w:val="00445183"/>
    <w:rsid w:val="0044557E"/>
    <w:rsid w:val="00445DAE"/>
    <w:rsid w:val="004477E3"/>
    <w:rsid w:val="00447EF4"/>
    <w:rsid w:val="004501AA"/>
    <w:rsid w:val="00451195"/>
    <w:rsid w:val="00453140"/>
    <w:rsid w:val="004577C9"/>
    <w:rsid w:val="004632A9"/>
    <w:rsid w:val="00466564"/>
    <w:rsid w:val="00467814"/>
    <w:rsid w:val="00467C39"/>
    <w:rsid w:val="004726A5"/>
    <w:rsid w:val="004728EE"/>
    <w:rsid w:val="00477923"/>
    <w:rsid w:val="0048042C"/>
    <w:rsid w:val="00483231"/>
    <w:rsid w:val="004833DA"/>
    <w:rsid w:val="00483BED"/>
    <w:rsid w:val="00483EA5"/>
    <w:rsid w:val="00484599"/>
    <w:rsid w:val="004862FE"/>
    <w:rsid w:val="00487980"/>
    <w:rsid w:val="00487E4F"/>
    <w:rsid w:val="004902C3"/>
    <w:rsid w:val="004906EA"/>
    <w:rsid w:val="004915C4"/>
    <w:rsid w:val="0049367B"/>
    <w:rsid w:val="00493B10"/>
    <w:rsid w:val="00494964"/>
    <w:rsid w:val="00496648"/>
    <w:rsid w:val="00497E8E"/>
    <w:rsid w:val="00497FF3"/>
    <w:rsid w:val="004A01C2"/>
    <w:rsid w:val="004A1199"/>
    <w:rsid w:val="004A311B"/>
    <w:rsid w:val="004A3BD6"/>
    <w:rsid w:val="004A4E15"/>
    <w:rsid w:val="004A61D9"/>
    <w:rsid w:val="004B0338"/>
    <w:rsid w:val="004B05DD"/>
    <w:rsid w:val="004B0F06"/>
    <w:rsid w:val="004B114C"/>
    <w:rsid w:val="004B13B4"/>
    <w:rsid w:val="004B2142"/>
    <w:rsid w:val="004B3E38"/>
    <w:rsid w:val="004B58B9"/>
    <w:rsid w:val="004B6616"/>
    <w:rsid w:val="004B6C19"/>
    <w:rsid w:val="004C0308"/>
    <w:rsid w:val="004C0AFF"/>
    <w:rsid w:val="004C0EB4"/>
    <w:rsid w:val="004C1E09"/>
    <w:rsid w:val="004C37FE"/>
    <w:rsid w:val="004C4EFB"/>
    <w:rsid w:val="004C7021"/>
    <w:rsid w:val="004C78C3"/>
    <w:rsid w:val="004D06D7"/>
    <w:rsid w:val="004D27DC"/>
    <w:rsid w:val="004D31C2"/>
    <w:rsid w:val="004D354E"/>
    <w:rsid w:val="004D3E50"/>
    <w:rsid w:val="004D57CF"/>
    <w:rsid w:val="004D5B5A"/>
    <w:rsid w:val="004D5EE1"/>
    <w:rsid w:val="004D69B6"/>
    <w:rsid w:val="004E1FE9"/>
    <w:rsid w:val="004E2A93"/>
    <w:rsid w:val="004E3145"/>
    <w:rsid w:val="004E362B"/>
    <w:rsid w:val="004E3F93"/>
    <w:rsid w:val="004E570F"/>
    <w:rsid w:val="004E6B31"/>
    <w:rsid w:val="004E7814"/>
    <w:rsid w:val="004F2EA7"/>
    <w:rsid w:val="004F3A13"/>
    <w:rsid w:val="004F5441"/>
    <w:rsid w:val="004F5BCF"/>
    <w:rsid w:val="004F6756"/>
    <w:rsid w:val="0050161F"/>
    <w:rsid w:val="00501AC1"/>
    <w:rsid w:val="0050289F"/>
    <w:rsid w:val="00505A57"/>
    <w:rsid w:val="00505F21"/>
    <w:rsid w:val="005102B7"/>
    <w:rsid w:val="00513213"/>
    <w:rsid w:val="00513234"/>
    <w:rsid w:val="00514C3F"/>
    <w:rsid w:val="00515581"/>
    <w:rsid w:val="005173AE"/>
    <w:rsid w:val="00517B74"/>
    <w:rsid w:val="005200BF"/>
    <w:rsid w:val="00521B51"/>
    <w:rsid w:val="005244E3"/>
    <w:rsid w:val="00527C91"/>
    <w:rsid w:val="00531E5F"/>
    <w:rsid w:val="00533FB4"/>
    <w:rsid w:val="00537C4E"/>
    <w:rsid w:val="0054038B"/>
    <w:rsid w:val="00540B96"/>
    <w:rsid w:val="00541965"/>
    <w:rsid w:val="00542F85"/>
    <w:rsid w:val="00544482"/>
    <w:rsid w:val="005446C8"/>
    <w:rsid w:val="005449B3"/>
    <w:rsid w:val="00544C41"/>
    <w:rsid w:val="005451C2"/>
    <w:rsid w:val="00545603"/>
    <w:rsid w:val="005457C6"/>
    <w:rsid w:val="0054771C"/>
    <w:rsid w:val="00554EE5"/>
    <w:rsid w:val="005558C4"/>
    <w:rsid w:val="00555D97"/>
    <w:rsid w:val="00556001"/>
    <w:rsid w:val="00556CE7"/>
    <w:rsid w:val="00563831"/>
    <w:rsid w:val="005639A8"/>
    <w:rsid w:val="00566DEB"/>
    <w:rsid w:val="00567112"/>
    <w:rsid w:val="00567B47"/>
    <w:rsid w:val="00574425"/>
    <w:rsid w:val="00574B10"/>
    <w:rsid w:val="005760D5"/>
    <w:rsid w:val="0057680E"/>
    <w:rsid w:val="00577CF8"/>
    <w:rsid w:val="005800F8"/>
    <w:rsid w:val="00580D31"/>
    <w:rsid w:val="005823F4"/>
    <w:rsid w:val="00584243"/>
    <w:rsid w:val="00584C91"/>
    <w:rsid w:val="005879AB"/>
    <w:rsid w:val="00590CE1"/>
    <w:rsid w:val="00591228"/>
    <w:rsid w:val="00592B10"/>
    <w:rsid w:val="0059609A"/>
    <w:rsid w:val="005A0E33"/>
    <w:rsid w:val="005A29A9"/>
    <w:rsid w:val="005A2DC4"/>
    <w:rsid w:val="005A322F"/>
    <w:rsid w:val="005A3C55"/>
    <w:rsid w:val="005A3D8E"/>
    <w:rsid w:val="005A460C"/>
    <w:rsid w:val="005B5E54"/>
    <w:rsid w:val="005C36F6"/>
    <w:rsid w:val="005C3916"/>
    <w:rsid w:val="005D1EA9"/>
    <w:rsid w:val="005D3633"/>
    <w:rsid w:val="005D43FE"/>
    <w:rsid w:val="005D518D"/>
    <w:rsid w:val="005D5665"/>
    <w:rsid w:val="005D6077"/>
    <w:rsid w:val="005E052D"/>
    <w:rsid w:val="005E0E00"/>
    <w:rsid w:val="005E25B1"/>
    <w:rsid w:val="005E2CF5"/>
    <w:rsid w:val="005E396D"/>
    <w:rsid w:val="005E546A"/>
    <w:rsid w:val="005E5C0F"/>
    <w:rsid w:val="005E5E67"/>
    <w:rsid w:val="005E73D3"/>
    <w:rsid w:val="005E75A0"/>
    <w:rsid w:val="005E7DAC"/>
    <w:rsid w:val="005F2B5F"/>
    <w:rsid w:val="005F3452"/>
    <w:rsid w:val="005F3E96"/>
    <w:rsid w:val="005F4B4D"/>
    <w:rsid w:val="005F4EAE"/>
    <w:rsid w:val="005F53ED"/>
    <w:rsid w:val="005F5AA7"/>
    <w:rsid w:val="00601CE6"/>
    <w:rsid w:val="00602E3C"/>
    <w:rsid w:val="006039FC"/>
    <w:rsid w:val="00607289"/>
    <w:rsid w:val="006114BE"/>
    <w:rsid w:val="00611A59"/>
    <w:rsid w:val="0061225B"/>
    <w:rsid w:val="00615C01"/>
    <w:rsid w:val="00620896"/>
    <w:rsid w:val="00622065"/>
    <w:rsid w:val="0062218A"/>
    <w:rsid w:val="00622DD7"/>
    <w:rsid w:val="00624025"/>
    <w:rsid w:val="00624166"/>
    <w:rsid w:val="006264BC"/>
    <w:rsid w:val="00631A20"/>
    <w:rsid w:val="00631AD7"/>
    <w:rsid w:val="00631CF3"/>
    <w:rsid w:val="00634CA6"/>
    <w:rsid w:val="006358BD"/>
    <w:rsid w:val="00635CB7"/>
    <w:rsid w:val="00640CE9"/>
    <w:rsid w:val="00641098"/>
    <w:rsid w:val="006414E4"/>
    <w:rsid w:val="00641714"/>
    <w:rsid w:val="00641884"/>
    <w:rsid w:val="00642A7B"/>
    <w:rsid w:val="00644A2E"/>
    <w:rsid w:val="00647C83"/>
    <w:rsid w:val="0065019A"/>
    <w:rsid w:val="00651FA0"/>
    <w:rsid w:val="006525D5"/>
    <w:rsid w:val="006531D6"/>
    <w:rsid w:val="006559CD"/>
    <w:rsid w:val="00660BAF"/>
    <w:rsid w:val="00660F45"/>
    <w:rsid w:val="00661A74"/>
    <w:rsid w:val="00664F33"/>
    <w:rsid w:val="00665998"/>
    <w:rsid w:val="00665CB1"/>
    <w:rsid w:val="00665E5F"/>
    <w:rsid w:val="00665EE8"/>
    <w:rsid w:val="00665F9D"/>
    <w:rsid w:val="00670129"/>
    <w:rsid w:val="00674137"/>
    <w:rsid w:val="006749CD"/>
    <w:rsid w:val="00674B7A"/>
    <w:rsid w:val="006778C2"/>
    <w:rsid w:val="00680A2A"/>
    <w:rsid w:val="00680E22"/>
    <w:rsid w:val="00682599"/>
    <w:rsid w:val="0068630E"/>
    <w:rsid w:val="006928B4"/>
    <w:rsid w:val="00692CA6"/>
    <w:rsid w:val="00695FF8"/>
    <w:rsid w:val="0069625B"/>
    <w:rsid w:val="00696A8C"/>
    <w:rsid w:val="006973E3"/>
    <w:rsid w:val="00697499"/>
    <w:rsid w:val="006977F7"/>
    <w:rsid w:val="006A0270"/>
    <w:rsid w:val="006A054C"/>
    <w:rsid w:val="006A1B23"/>
    <w:rsid w:val="006A1CE2"/>
    <w:rsid w:val="006A32F8"/>
    <w:rsid w:val="006A38CC"/>
    <w:rsid w:val="006A5CED"/>
    <w:rsid w:val="006A7CA2"/>
    <w:rsid w:val="006A7D24"/>
    <w:rsid w:val="006A7EAB"/>
    <w:rsid w:val="006B226E"/>
    <w:rsid w:val="006B2596"/>
    <w:rsid w:val="006B380E"/>
    <w:rsid w:val="006B3B65"/>
    <w:rsid w:val="006B6E3E"/>
    <w:rsid w:val="006B7A30"/>
    <w:rsid w:val="006B7BDB"/>
    <w:rsid w:val="006C2905"/>
    <w:rsid w:val="006C5E07"/>
    <w:rsid w:val="006C6B64"/>
    <w:rsid w:val="006D093E"/>
    <w:rsid w:val="006D22A3"/>
    <w:rsid w:val="006D402A"/>
    <w:rsid w:val="006D61C3"/>
    <w:rsid w:val="006D69C8"/>
    <w:rsid w:val="006D69F4"/>
    <w:rsid w:val="006E037B"/>
    <w:rsid w:val="006E15AC"/>
    <w:rsid w:val="006E7116"/>
    <w:rsid w:val="006F10A4"/>
    <w:rsid w:val="006F1886"/>
    <w:rsid w:val="006F2670"/>
    <w:rsid w:val="006F32C8"/>
    <w:rsid w:val="006F348E"/>
    <w:rsid w:val="006F5C09"/>
    <w:rsid w:val="006F60E7"/>
    <w:rsid w:val="007000E3"/>
    <w:rsid w:val="00700275"/>
    <w:rsid w:val="00702EAB"/>
    <w:rsid w:val="00702F73"/>
    <w:rsid w:val="007038FE"/>
    <w:rsid w:val="007041BC"/>
    <w:rsid w:val="00706B57"/>
    <w:rsid w:val="00707F61"/>
    <w:rsid w:val="00707FB2"/>
    <w:rsid w:val="00712706"/>
    <w:rsid w:val="00712A98"/>
    <w:rsid w:val="00713635"/>
    <w:rsid w:val="007147E0"/>
    <w:rsid w:val="00721A1C"/>
    <w:rsid w:val="00722A22"/>
    <w:rsid w:val="007241A1"/>
    <w:rsid w:val="00725DFA"/>
    <w:rsid w:val="00730AC9"/>
    <w:rsid w:val="00732DEE"/>
    <w:rsid w:val="007330A5"/>
    <w:rsid w:val="0073319F"/>
    <w:rsid w:val="00733CC7"/>
    <w:rsid w:val="007350DE"/>
    <w:rsid w:val="0073538F"/>
    <w:rsid w:val="00736FF4"/>
    <w:rsid w:val="0073789F"/>
    <w:rsid w:val="007411DA"/>
    <w:rsid w:val="007433CE"/>
    <w:rsid w:val="00744E4C"/>
    <w:rsid w:val="00745577"/>
    <w:rsid w:val="00750601"/>
    <w:rsid w:val="00751579"/>
    <w:rsid w:val="00753B52"/>
    <w:rsid w:val="00753B97"/>
    <w:rsid w:val="00754C51"/>
    <w:rsid w:val="00756708"/>
    <w:rsid w:val="00762D30"/>
    <w:rsid w:val="0076319B"/>
    <w:rsid w:val="00763C55"/>
    <w:rsid w:val="00763E98"/>
    <w:rsid w:val="007656C3"/>
    <w:rsid w:val="0076616E"/>
    <w:rsid w:val="00767828"/>
    <w:rsid w:val="00770959"/>
    <w:rsid w:val="007714D5"/>
    <w:rsid w:val="0077367B"/>
    <w:rsid w:val="0077469B"/>
    <w:rsid w:val="00774920"/>
    <w:rsid w:val="0077699C"/>
    <w:rsid w:val="00781F3A"/>
    <w:rsid w:val="00783832"/>
    <w:rsid w:val="0078521C"/>
    <w:rsid w:val="007852A0"/>
    <w:rsid w:val="00785998"/>
    <w:rsid w:val="00790CB4"/>
    <w:rsid w:val="00792CC6"/>
    <w:rsid w:val="00794914"/>
    <w:rsid w:val="007955C9"/>
    <w:rsid w:val="00795D4F"/>
    <w:rsid w:val="007965A5"/>
    <w:rsid w:val="00797658"/>
    <w:rsid w:val="007A06EA"/>
    <w:rsid w:val="007A08E4"/>
    <w:rsid w:val="007A0A2B"/>
    <w:rsid w:val="007A1C89"/>
    <w:rsid w:val="007A23F7"/>
    <w:rsid w:val="007A3F20"/>
    <w:rsid w:val="007A5ECC"/>
    <w:rsid w:val="007B1AAE"/>
    <w:rsid w:val="007B2C49"/>
    <w:rsid w:val="007B3F7E"/>
    <w:rsid w:val="007B4866"/>
    <w:rsid w:val="007B683A"/>
    <w:rsid w:val="007B761C"/>
    <w:rsid w:val="007C0B8A"/>
    <w:rsid w:val="007C0E68"/>
    <w:rsid w:val="007C1E95"/>
    <w:rsid w:val="007C203F"/>
    <w:rsid w:val="007C27F0"/>
    <w:rsid w:val="007C3007"/>
    <w:rsid w:val="007C413A"/>
    <w:rsid w:val="007C457A"/>
    <w:rsid w:val="007C6934"/>
    <w:rsid w:val="007D0C43"/>
    <w:rsid w:val="007D2AB0"/>
    <w:rsid w:val="007D5050"/>
    <w:rsid w:val="007D5236"/>
    <w:rsid w:val="007D5F81"/>
    <w:rsid w:val="007D60B4"/>
    <w:rsid w:val="007D6461"/>
    <w:rsid w:val="007D6A08"/>
    <w:rsid w:val="007D7D62"/>
    <w:rsid w:val="007E17EC"/>
    <w:rsid w:val="007E1AB4"/>
    <w:rsid w:val="007E2107"/>
    <w:rsid w:val="007E308B"/>
    <w:rsid w:val="007E54A6"/>
    <w:rsid w:val="007E5D3F"/>
    <w:rsid w:val="007E611E"/>
    <w:rsid w:val="007E66F1"/>
    <w:rsid w:val="007E6A97"/>
    <w:rsid w:val="007E6E84"/>
    <w:rsid w:val="007F0D29"/>
    <w:rsid w:val="007F18D2"/>
    <w:rsid w:val="007F284D"/>
    <w:rsid w:val="007F3807"/>
    <w:rsid w:val="007F5007"/>
    <w:rsid w:val="007F5178"/>
    <w:rsid w:val="007F7057"/>
    <w:rsid w:val="00801036"/>
    <w:rsid w:val="00801923"/>
    <w:rsid w:val="00801F4C"/>
    <w:rsid w:val="00802F3A"/>
    <w:rsid w:val="00802FFD"/>
    <w:rsid w:val="008049AF"/>
    <w:rsid w:val="00805004"/>
    <w:rsid w:val="008065CB"/>
    <w:rsid w:val="00806C15"/>
    <w:rsid w:val="00810D66"/>
    <w:rsid w:val="008115F9"/>
    <w:rsid w:val="00813911"/>
    <w:rsid w:val="008151E1"/>
    <w:rsid w:val="008161C6"/>
    <w:rsid w:val="00817C9F"/>
    <w:rsid w:val="00820B5A"/>
    <w:rsid w:val="00820CB9"/>
    <w:rsid w:val="00823AE5"/>
    <w:rsid w:val="008258CA"/>
    <w:rsid w:val="00825E96"/>
    <w:rsid w:val="0083243F"/>
    <w:rsid w:val="00840C1D"/>
    <w:rsid w:val="00841149"/>
    <w:rsid w:val="00841A17"/>
    <w:rsid w:val="00844D20"/>
    <w:rsid w:val="00846A15"/>
    <w:rsid w:val="0085207A"/>
    <w:rsid w:val="00853D73"/>
    <w:rsid w:val="0086192D"/>
    <w:rsid w:val="00864A85"/>
    <w:rsid w:val="0086655B"/>
    <w:rsid w:val="00866B92"/>
    <w:rsid w:val="00870D9B"/>
    <w:rsid w:val="00873385"/>
    <w:rsid w:val="00873EA4"/>
    <w:rsid w:val="008760AC"/>
    <w:rsid w:val="00880122"/>
    <w:rsid w:val="00880B26"/>
    <w:rsid w:val="008835ED"/>
    <w:rsid w:val="008835FA"/>
    <w:rsid w:val="00884FD9"/>
    <w:rsid w:val="008856D5"/>
    <w:rsid w:val="0088608E"/>
    <w:rsid w:val="00891DD7"/>
    <w:rsid w:val="00892C19"/>
    <w:rsid w:val="0089384E"/>
    <w:rsid w:val="00894834"/>
    <w:rsid w:val="00896273"/>
    <w:rsid w:val="008A0839"/>
    <w:rsid w:val="008A123A"/>
    <w:rsid w:val="008A28E2"/>
    <w:rsid w:val="008A3881"/>
    <w:rsid w:val="008A53D3"/>
    <w:rsid w:val="008A5FBE"/>
    <w:rsid w:val="008B24DB"/>
    <w:rsid w:val="008B4641"/>
    <w:rsid w:val="008B4EA3"/>
    <w:rsid w:val="008B6325"/>
    <w:rsid w:val="008B71F3"/>
    <w:rsid w:val="008C05E3"/>
    <w:rsid w:val="008C0E5A"/>
    <w:rsid w:val="008C1F3E"/>
    <w:rsid w:val="008C21A8"/>
    <w:rsid w:val="008C32B3"/>
    <w:rsid w:val="008C469F"/>
    <w:rsid w:val="008C5895"/>
    <w:rsid w:val="008C64A3"/>
    <w:rsid w:val="008C6BE5"/>
    <w:rsid w:val="008C7A0E"/>
    <w:rsid w:val="008D1352"/>
    <w:rsid w:val="008D27A6"/>
    <w:rsid w:val="008D7EAC"/>
    <w:rsid w:val="008E005A"/>
    <w:rsid w:val="008E69F3"/>
    <w:rsid w:val="008F1716"/>
    <w:rsid w:val="008F2301"/>
    <w:rsid w:val="008F2933"/>
    <w:rsid w:val="008F3F76"/>
    <w:rsid w:val="008F40D0"/>
    <w:rsid w:val="008F5D41"/>
    <w:rsid w:val="008F7163"/>
    <w:rsid w:val="009007CA"/>
    <w:rsid w:val="009008E4"/>
    <w:rsid w:val="009025EE"/>
    <w:rsid w:val="009036A7"/>
    <w:rsid w:val="00903E7B"/>
    <w:rsid w:val="009058E2"/>
    <w:rsid w:val="00906E81"/>
    <w:rsid w:val="0091038C"/>
    <w:rsid w:val="00913170"/>
    <w:rsid w:val="00916A95"/>
    <w:rsid w:val="00917EB4"/>
    <w:rsid w:val="00920432"/>
    <w:rsid w:val="00921D6C"/>
    <w:rsid w:val="00921E0D"/>
    <w:rsid w:val="00923EDF"/>
    <w:rsid w:val="00924616"/>
    <w:rsid w:val="009246C9"/>
    <w:rsid w:val="00926CF0"/>
    <w:rsid w:val="0092734F"/>
    <w:rsid w:val="0093411F"/>
    <w:rsid w:val="00937C83"/>
    <w:rsid w:val="0094087C"/>
    <w:rsid w:val="00940E70"/>
    <w:rsid w:val="00941639"/>
    <w:rsid w:val="00941873"/>
    <w:rsid w:val="00941D90"/>
    <w:rsid w:val="009431BB"/>
    <w:rsid w:val="009435C1"/>
    <w:rsid w:val="00944AD5"/>
    <w:rsid w:val="00944F98"/>
    <w:rsid w:val="009527F5"/>
    <w:rsid w:val="00952812"/>
    <w:rsid w:val="00953227"/>
    <w:rsid w:val="00955733"/>
    <w:rsid w:val="00960439"/>
    <w:rsid w:val="00960672"/>
    <w:rsid w:val="00966D37"/>
    <w:rsid w:val="0097156D"/>
    <w:rsid w:val="00972768"/>
    <w:rsid w:val="00974647"/>
    <w:rsid w:val="00975D68"/>
    <w:rsid w:val="009768D0"/>
    <w:rsid w:val="00980D85"/>
    <w:rsid w:val="00981A61"/>
    <w:rsid w:val="00985F22"/>
    <w:rsid w:val="009904D4"/>
    <w:rsid w:val="00991962"/>
    <w:rsid w:val="00992219"/>
    <w:rsid w:val="00992F13"/>
    <w:rsid w:val="009975DC"/>
    <w:rsid w:val="0099775B"/>
    <w:rsid w:val="009A087A"/>
    <w:rsid w:val="009A3905"/>
    <w:rsid w:val="009A4E4D"/>
    <w:rsid w:val="009A7E65"/>
    <w:rsid w:val="009B1C87"/>
    <w:rsid w:val="009B5EC0"/>
    <w:rsid w:val="009B653D"/>
    <w:rsid w:val="009B67AE"/>
    <w:rsid w:val="009B6D11"/>
    <w:rsid w:val="009C0C4E"/>
    <w:rsid w:val="009C159F"/>
    <w:rsid w:val="009C7646"/>
    <w:rsid w:val="009C779F"/>
    <w:rsid w:val="009C7CE3"/>
    <w:rsid w:val="009D033F"/>
    <w:rsid w:val="009D086B"/>
    <w:rsid w:val="009D16BF"/>
    <w:rsid w:val="009D1749"/>
    <w:rsid w:val="009D3763"/>
    <w:rsid w:val="009D4497"/>
    <w:rsid w:val="009D4B78"/>
    <w:rsid w:val="009D549B"/>
    <w:rsid w:val="009D65F7"/>
    <w:rsid w:val="009D6C21"/>
    <w:rsid w:val="009D73EB"/>
    <w:rsid w:val="009E02BE"/>
    <w:rsid w:val="009E0B61"/>
    <w:rsid w:val="009E1F30"/>
    <w:rsid w:val="009E24FA"/>
    <w:rsid w:val="009E2B71"/>
    <w:rsid w:val="009E4EDB"/>
    <w:rsid w:val="009E7F62"/>
    <w:rsid w:val="009F646E"/>
    <w:rsid w:val="009F7882"/>
    <w:rsid w:val="00A01F73"/>
    <w:rsid w:val="00A0310B"/>
    <w:rsid w:val="00A0416D"/>
    <w:rsid w:val="00A068CF"/>
    <w:rsid w:val="00A07C28"/>
    <w:rsid w:val="00A127CA"/>
    <w:rsid w:val="00A138B4"/>
    <w:rsid w:val="00A147E4"/>
    <w:rsid w:val="00A173D0"/>
    <w:rsid w:val="00A17FFD"/>
    <w:rsid w:val="00A21C51"/>
    <w:rsid w:val="00A22481"/>
    <w:rsid w:val="00A229B3"/>
    <w:rsid w:val="00A230BC"/>
    <w:rsid w:val="00A23E4F"/>
    <w:rsid w:val="00A248BB"/>
    <w:rsid w:val="00A25499"/>
    <w:rsid w:val="00A25988"/>
    <w:rsid w:val="00A25CE9"/>
    <w:rsid w:val="00A26723"/>
    <w:rsid w:val="00A270E3"/>
    <w:rsid w:val="00A27964"/>
    <w:rsid w:val="00A305AB"/>
    <w:rsid w:val="00A30D7C"/>
    <w:rsid w:val="00A312B3"/>
    <w:rsid w:val="00A312CC"/>
    <w:rsid w:val="00A33195"/>
    <w:rsid w:val="00A343DD"/>
    <w:rsid w:val="00A35CF7"/>
    <w:rsid w:val="00A4187F"/>
    <w:rsid w:val="00A43910"/>
    <w:rsid w:val="00A44A23"/>
    <w:rsid w:val="00A44CCE"/>
    <w:rsid w:val="00A45A98"/>
    <w:rsid w:val="00A46594"/>
    <w:rsid w:val="00A46ADF"/>
    <w:rsid w:val="00A515CE"/>
    <w:rsid w:val="00A5570C"/>
    <w:rsid w:val="00A55F11"/>
    <w:rsid w:val="00A644A8"/>
    <w:rsid w:val="00A64FCE"/>
    <w:rsid w:val="00A721FB"/>
    <w:rsid w:val="00A72432"/>
    <w:rsid w:val="00A72A42"/>
    <w:rsid w:val="00A75AF8"/>
    <w:rsid w:val="00A76619"/>
    <w:rsid w:val="00A770D6"/>
    <w:rsid w:val="00A8535B"/>
    <w:rsid w:val="00A87FFB"/>
    <w:rsid w:val="00A9403D"/>
    <w:rsid w:val="00A94EA9"/>
    <w:rsid w:val="00A95F36"/>
    <w:rsid w:val="00A96BE3"/>
    <w:rsid w:val="00AA5F71"/>
    <w:rsid w:val="00AA6449"/>
    <w:rsid w:val="00AA6C15"/>
    <w:rsid w:val="00AB0744"/>
    <w:rsid w:val="00AB0CE8"/>
    <w:rsid w:val="00AB267A"/>
    <w:rsid w:val="00AB3BBC"/>
    <w:rsid w:val="00AB5F83"/>
    <w:rsid w:val="00AC2C49"/>
    <w:rsid w:val="00AC4840"/>
    <w:rsid w:val="00AC54A5"/>
    <w:rsid w:val="00AC5C60"/>
    <w:rsid w:val="00AC63C9"/>
    <w:rsid w:val="00AC661A"/>
    <w:rsid w:val="00AC7312"/>
    <w:rsid w:val="00AD1700"/>
    <w:rsid w:val="00AD3029"/>
    <w:rsid w:val="00AD7510"/>
    <w:rsid w:val="00AE03E5"/>
    <w:rsid w:val="00AE053B"/>
    <w:rsid w:val="00AE11C0"/>
    <w:rsid w:val="00AE193A"/>
    <w:rsid w:val="00AE1B1E"/>
    <w:rsid w:val="00AE2521"/>
    <w:rsid w:val="00AE27F0"/>
    <w:rsid w:val="00AE46A7"/>
    <w:rsid w:val="00AF0E4C"/>
    <w:rsid w:val="00AF2A2C"/>
    <w:rsid w:val="00AF2F7B"/>
    <w:rsid w:val="00AF4842"/>
    <w:rsid w:val="00AF565A"/>
    <w:rsid w:val="00B02412"/>
    <w:rsid w:val="00B05441"/>
    <w:rsid w:val="00B066CF"/>
    <w:rsid w:val="00B07F45"/>
    <w:rsid w:val="00B21355"/>
    <w:rsid w:val="00B237B6"/>
    <w:rsid w:val="00B23808"/>
    <w:rsid w:val="00B24D22"/>
    <w:rsid w:val="00B2547E"/>
    <w:rsid w:val="00B2560F"/>
    <w:rsid w:val="00B26F7D"/>
    <w:rsid w:val="00B31092"/>
    <w:rsid w:val="00B33E05"/>
    <w:rsid w:val="00B3400B"/>
    <w:rsid w:val="00B34583"/>
    <w:rsid w:val="00B34FDB"/>
    <w:rsid w:val="00B35AB3"/>
    <w:rsid w:val="00B3702B"/>
    <w:rsid w:val="00B3768D"/>
    <w:rsid w:val="00B3791F"/>
    <w:rsid w:val="00B37E46"/>
    <w:rsid w:val="00B40541"/>
    <w:rsid w:val="00B41EF3"/>
    <w:rsid w:val="00B42052"/>
    <w:rsid w:val="00B4498D"/>
    <w:rsid w:val="00B44C83"/>
    <w:rsid w:val="00B45D98"/>
    <w:rsid w:val="00B45EA2"/>
    <w:rsid w:val="00B510C4"/>
    <w:rsid w:val="00B5236A"/>
    <w:rsid w:val="00B6123B"/>
    <w:rsid w:val="00B671F7"/>
    <w:rsid w:val="00B67680"/>
    <w:rsid w:val="00B702AA"/>
    <w:rsid w:val="00B7233A"/>
    <w:rsid w:val="00B72635"/>
    <w:rsid w:val="00B728EA"/>
    <w:rsid w:val="00B730F7"/>
    <w:rsid w:val="00B73BAE"/>
    <w:rsid w:val="00B74397"/>
    <w:rsid w:val="00B74E4D"/>
    <w:rsid w:val="00B75CB0"/>
    <w:rsid w:val="00B765E4"/>
    <w:rsid w:val="00B76D10"/>
    <w:rsid w:val="00B77678"/>
    <w:rsid w:val="00B800D4"/>
    <w:rsid w:val="00B82C79"/>
    <w:rsid w:val="00B85E1C"/>
    <w:rsid w:val="00B86D78"/>
    <w:rsid w:val="00B90539"/>
    <w:rsid w:val="00B938A1"/>
    <w:rsid w:val="00B949EC"/>
    <w:rsid w:val="00B94D0F"/>
    <w:rsid w:val="00B96A52"/>
    <w:rsid w:val="00BA0664"/>
    <w:rsid w:val="00BA1998"/>
    <w:rsid w:val="00BA19A1"/>
    <w:rsid w:val="00BA28EB"/>
    <w:rsid w:val="00BA3AE6"/>
    <w:rsid w:val="00BA3F4C"/>
    <w:rsid w:val="00BB0091"/>
    <w:rsid w:val="00BB0E9D"/>
    <w:rsid w:val="00BB45C7"/>
    <w:rsid w:val="00BB47B4"/>
    <w:rsid w:val="00BB4F2A"/>
    <w:rsid w:val="00BB76E2"/>
    <w:rsid w:val="00BB7C0A"/>
    <w:rsid w:val="00BB7EED"/>
    <w:rsid w:val="00BC0D54"/>
    <w:rsid w:val="00BC3376"/>
    <w:rsid w:val="00BC62C3"/>
    <w:rsid w:val="00BD3259"/>
    <w:rsid w:val="00BD3FBA"/>
    <w:rsid w:val="00BD43F5"/>
    <w:rsid w:val="00BD48C7"/>
    <w:rsid w:val="00BE0C75"/>
    <w:rsid w:val="00BE3891"/>
    <w:rsid w:val="00BE5342"/>
    <w:rsid w:val="00BE56C6"/>
    <w:rsid w:val="00BE5F8F"/>
    <w:rsid w:val="00BF0719"/>
    <w:rsid w:val="00BF0BE1"/>
    <w:rsid w:val="00BF2097"/>
    <w:rsid w:val="00BF29E6"/>
    <w:rsid w:val="00BF3F70"/>
    <w:rsid w:val="00BF6B19"/>
    <w:rsid w:val="00BF7782"/>
    <w:rsid w:val="00C03350"/>
    <w:rsid w:val="00C03391"/>
    <w:rsid w:val="00C0349B"/>
    <w:rsid w:val="00C03CE4"/>
    <w:rsid w:val="00C051D3"/>
    <w:rsid w:val="00C05FD3"/>
    <w:rsid w:val="00C060CE"/>
    <w:rsid w:val="00C07B85"/>
    <w:rsid w:val="00C122BE"/>
    <w:rsid w:val="00C14F20"/>
    <w:rsid w:val="00C155E6"/>
    <w:rsid w:val="00C17115"/>
    <w:rsid w:val="00C1798B"/>
    <w:rsid w:val="00C2077A"/>
    <w:rsid w:val="00C24AC1"/>
    <w:rsid w:val="00C264C3"/>
    <w:rsid w:val="00C27015"/>
    <w:rsid w:val="00C31B01"/>
    <w:rsid w:val="00C41145"/>
    <w:rsid w:val="00C41175"/>
    <w:rsid w:val="00C43E63"/>
    <w:rsid w:val="00C458FC"/>
    <w:rsid w:val="00C46803"/>
    <w:rsid w:val="00C47930"/>
    <w:rsid w:val="00C5154C"/>
    <w:rsid w:val="00C5257A"/>
    <w:rsid w:val="00C5317D"/>
    <w:rsid w:val="00C62F75"/>
    <w:rsid w:val="00C6596A"/>
    <w:rsid w:val="00C65A59"/>
    <w:rsid w:val="00C65D7D"/>
    <w:rsid w:val="00C704E6"/>
    <w:rsid w:val="00C7058B"/>
    <w:rsid w:val="00C72769"/>
    <w:rsid w:val="00C74E33"/>
    <w:rsid w:val="00C7542B"/>
    <w:rsid w:val="00C82554"/>
    <w:rsid w:val="00C85989"/>
    <w:rsid w:val="00C86754"/>
    <w:rsid w:val="00C92161"/>
    <w:rsid w:val="00C940A7"/>
    <w:rsid w:val="00C96794"/>
    <w:rsid w:val="00C96A7D"/>
    <w:rsid w:val="00C97643"/>
    <w:rsid w:val="00CA05B2"/>
    <w:rsid w:val="00CA0C28"/>
    <w:rsid w:val="00CA64E7"/>
    <w:rsid w:val="00CA720E"/>
    <w:rsid w:val="00CB0B4E"/>
    <w:rsid w:val="00CB47B7"/>
    <w:rsid w:val="00CB4B92"/>
    <w:rsid w:val="00CC0E35"/>
    <w:rsid w:val="00CC1339"/>
    <w:rsid w:val="00CC2432"/>
    <w:rsid w:val="00CC3556"/>
    <w:rsid w:val="00CC6943"/>
    <w:rsid w:val="00CC7500"/>
    <w:rsid w:val="00CC75B1"/>
    <w:rsid w:val="00CD0E1A"/>
    <w:rsid w:val="00CD48B8"/>
    <w:rsid w:val="00CD4D3C"/>
    <w:rsid w:val="00CD5897"/>
    <w:rsid w:val="00CD5E61"/>
    <w:rsid w:val="00CD720C"/>
    <w:rsid w:val="00CE1DBD"/>
    <w:rsid w:val="00CE2334"/>
    <w:rsid w:val="00CE2DBC"/>
    <w:rsid w:val="00CE3E93"/>
    <w:rsid w:val="00CE68A6"/>
    <w:rsid w:val="00CE6F9A"/>
    <w:rsid w:val="00CE7AC3"/>
    <w:rsid w:val="00CE7BE2"/>
    <w:rsid w:val="00CF35BE"/>
    <w:rsid w:val="00CF7207"/>
    <w:rsid w:val="00CF72CB"/>
    <w:rsid w:val="00D00934"/>
    <w:rsid w:val="00D01A55"/>
    <w:rsid w:val="00D03EC0"/>
    <w:rsid w:val="00D04511"/>
    <w:rsid w:val="00D0577C"/>
    <w:rsid w:val="00D11A93"/>
    <w:rsid w:val="00D139F4"/>
    <w:rsid w:val="00D13DD4"/>
    <w:rsid w:val="00D14072"/>
    <w:rsid w:val="00D14DC2"/>
    <w:rsid w:val="00D170F6"/>
    <w:rsid w:val="00D2060B"/>
    <w:rsid w:val="00D2334C"/>
    <w:rsid w:val="00D23D09"/>
    <w:rsid w:val="00D250DE"/>
    <w:rsid w:val="00D30714"/>
    <w:rsid w:val="00D31DB1"/>
    <w:rsid w:val="00D326B3"/>
    <w:rsid w:val="00D342E3"/>
    <w:rsid w:val="00D35C44"/>
    <w:rsid w:val="00D41154"/>
    <w:rsid w:val="00D41518"/>
    <w:rsid w:val="00D4290C"/>
    <w:rsid w:val="00D42ADD"/>
    <w:rsid w:val="00D46D7C"/>
    <w:rsid w:val="00D471FA"/>
    <w:rsid w:val="00D472BD"/>
    <w:rsid w:val="00D50660"/>
    <w:rsid w:val="00D52F26"/>
    <w:rsid w:val="00D53319"/>
    <w:rsid w:val="00D53546"/>
    <w:rsid w:val="00D545F9"/>
    <w:rsid w:val="00D5477B"/>
    <w:rsid w:val="00D547FC"/>
    <w:rsid w:val="00D601D3"/>
    <w:rsid w:val="00D637E1"/>
    <w:rsid w:val="00D65BB9"/>
    <w:rsid w:val="00D65C45"/>
    <w:rsid w:val="00D65F49"/>
    <w:rsid w:val="00D704AF"/>
    <w:rsid w:val="00D7096D"/>
    <w:rsid w:val="00D70FF8"/>
    <w:rsid w:val="00D71674"/>
    <w:rsid w:val="00D718B0"/>
    <w:rsid w:val="00D71DDA"/>
    <w:rsid w:val="00D732BA"/>
    <w:rsid w:val="00D7454E"/>
    <w:rsid w:val="00D752C4"/>
    <w:rsid w:val="00D77070"/>
    <w:rsid w:val="00D80A0A"/>
    <w:rsid w:val="00D80AF5"/>
    <w:rsid w:val="00D80E2C"/>
    <w:rsid w:val="00D82009"/>
    <w:rsid w:val="00D8582E"/>
    <w:rsid w:val="00D86066"/>
    <w:rsid w:val="00D948A1"/>
    <w:rsid w:val="00D94CBC"/>
    <w:rsid w:val="00D95B61"/>
    <w:rsid w:val="00D9655A"/>
    <w:rsid w:val="00D96EB2"/>
    <w:rsid w:val="00DA00FD"/>
    <w:rsid w:val="00DA0549"/>
    <w:rsid w:val="00DA0ACB"/>
    <w:rsid w:val="00DA0B3D"/>
    <w:rsid w:val="00DA1A85"/>
    <w:rsid w:val="00DA2D09"/>
    <w:rsid w:val="00DA6688"/>
    <w:rsid w:val="00DA6D6D"/>
    <w:rsid w:val="00DA7153"/>
    <w:rsid w:val="00DA740C"/>
    <w:rsid w:val="00DA7945"/>
    <w:rsid w:val="00DB034C"/>
    <w:rsid w:val="00DB259E"/>
    <w:rsid w:val="00DB62A6"/>
    <w:rsid w:val="00DB79B0"/>
    <w:rsid w:val="00DC1214"/>
    <w:rsid w:val="00DC1807"/>
    <w:rsid w:val="00DC2E58"/>
    <w:rsid w:val="00DC4BF1"/>
    <w:rsid w:val="00DC5802"/>
    <w:rsid w:val="00DC69E8"/>
    <w:rsid w:val="00DD088F"/>
    <w:rsid w:val="00DD0F02"/>
    <w:rsid w:val="00DD2104"/>
    <w:rsid w:val="00DD2192"/>
    <w:rsid w:val="00DD4ADA"/>
    <w:rsid w:val="00DD72D5"/>
    <w:rsid w:val="00DD776B"/>
    <w:rsid w:val="00DE08BE"/>
    <w:rsid w:val="00DE15DE"/>
    <w:rsid w:val="00DE406B"/>
    <w:rsid w:val="00DE5D2D"/>
    <w:rsid w:val="00DF2413"/>
    <w:rsid w:val="00DF29B1"/>
    <w:rsid w:val="00DF2BAF"/>
    <w:rsid w:val="00DF442F"/>
    <w:rsid w:val="00DF687A"/>
    <w:rsid w:val="00E00167"/>
    <w:rsid w:val="00E022A5"/>
    <w:rsid w:val="00E05018"/>
    <w:rsid w:val="00E05FAB"/>
    <w:rsid w:val="00E06916"/>
    <w:rsid w:val="00E11B99"/>
    <w:rsid w:val="00E128F9"/>
    <w:rsid w:val="00E13A36"/>
    <w:rsid w:val="00E1432D"/>
    <w:rsid w:val="00E14DE4"/>
    <w:rsid w:val="00E200DD"/>
    <w:rsid w:val="00E2137A"/>
    <w:rsid w:val="00E2624E"/>
    <w:rsid w:val="00E269E3"/>
    <w:rsid w:val="00E26C35"/>
    <w:rsid w:val="00E316C3"/>
    <w:rsid w:val="00E33D0B"/>
    <w:rsid w:val="00E33DEB"/>
    <w:rsid w:val="00E358E4"/>
    <w:rsid w:val="00E35C5D"/>
    <w:rsid w:val="00E37217"/>
    <w:rsid w:val="00E43340"/>
    <w:rsid w:val="00E45117"/>
    <w:rsid w:val="00E4626D"/>
    <w:rsid w:val="00E462FC"/>
    <w:rsid w:val="00E46C42"/>
    <w:rsid w:val="00E47221"/>
    <w:rsid w:val="00E50A41"/>
    <w:rsid w:val="00E51EBF"/>
    <w:rsid w:val="00E524D9"/>
    <w:rsid w:val="00E52F2B"/>
    <w:rsid w:val="00E536BA"/>
    <w:rsid w:val="00E5495E"/>
    <w:rsid w:val="00E557A9"/>
    <w:rsid w:val="00E56531"/>
    <w:rsid w:val="00E56F0E"/>
    <w:rsid w:val="00E60DEF"/>
    <w:rsid w:val="00E61DA9"/>
    <w:rsid w:val="00E63FAA"/>
    <w:rsid w:val="00E6594D"/>
    <w:rsid w:val="00E665C1"/>
    <w:rsid w:val="00E6698A"/>
    <w:rsid w:val="00E669D7"/>
    <w:rsid w:val="00E6757D"/>
    <w:rsid w:val="00E67DAF"/>
    <w:rsid w:val="00E715AE"/>
    <w:rsid w:val="00E73005"/>
    <w:rsid w:val="00E73BCC"/>
    <w:rsid w:val="00E747E1"/>
    <w:rsid w:val="00E7555D"/>
    <w:rsid w:val="00E7566C"/>
    <w:rsid w:val="00E76C22"/>
    <w:rsid w:val="00E800C1"/>
    <w:rsid w:val="00E80F63"/>
    <w:rsid w:val="00E819C2"/>
    <w:rsid w:val="00E84152"/>
    <w:rsid w:val="00E84990"/>
    <w:rsid w:val="00E84E2A"/>
    <w:rsid w:val="00E8619B"/>
    <w:rsid w:val="00E94F5A"/>
    <w:rsid w:val="00E967F4"/>
    <w:rsid w:val="00E97AF6"/>
    <w:rsid w:val="00E97F5C"/>
    <w:rsid w:val="00EA004C"/>
    <w:rsid w:val="00EA01CE"/>
    <w:rsid w:val="00EA01E7"/>
    <w:rsid w:val="00EA14EC"/>
    <w:rsid w:val="00EA1A01"/>
    <w:rsid w:val="00EA3324"/>
    <w:rsid w:val="00EA3BFD"/>
    <w:rsid w:val="00EA4F73"/>
    <w:rsid w:val="00EA52DD"/>
    <w:rsid w:val="00EA5C3A"/>
    <w:rsid w:val="00EA5D32"/>
    <w:rsid w:val="00EB53C7"/>
    <w:rsid w:val="00EB5C4C"/>
    <w:rsid w:val="00EB76B8"/>
    <w:rsid w:val="00EC0F4D"/>
    <w:rsid w:val="00EC235D"/>
    <w:rsid w:val="00EC2BEC"/>
    <w:rsid w:val="00EC41EF"/>
    <w:rsid w:val="00EC5A10"/>
    <w:rsid w:val="00EC5B8B"/>
    <w:rsid w:val="00EC6CF4"/>
    <w:rsid w:val="00ED1D60"/>
    <w:rsid w:val="00ED2224"/>
    <w:rsid w:val="00ED2AA1"/>
    <w:rsid w:val="00ED2D99"/>
    <w:rsid w:val="00ED58F3"/>
    <w:rsid w:val="00ED5D76"/>
    <w:rsid w:val="00EE1E58"/>
    <w:rsid w:val="00EE5375"/>
    <w:rsid w:val="00EE5D9A"/>
    <w:rsid w:val="00EF0E7E"/>
    <w:rsid w:val="00EF1FFE"/>
    <w:rsid w:val="00EF5FA1"/>
    <w:rsid w:val="00EF7D54"/>
    <w:rsid w:val="00F00A28"/>
    <w:rsid w:val="00F00F0E"/>
    <w:rsid w:val="00F04199"/>
    <w:rsid w:val="00F04C8C"/>
    <w:rsid w:val="00F0533C"/>
    <w:rsid w:val="00F072B5"/>
    <w:rsid w:val="00F10B44"/>
    <w:rsid w:val="00F10BE9"/>
    <w:rsid w:val="00F1250E"/>
    <w:rsid w:val="00F134E1"/>
    <w:rsid w:val="00F16F43"/>
    <w:rsid w:val="00F17103"/>
    <w:rsid w:val="00F1755B"/>
    <w:rsid w:val="00F23395"/>
    <w:rsid w:val="00F24988"/>
    <w:rsid w:val="00F2628A"/>
    <w:rsid w:val="00F266B0"/>
    <w:rsid w:val="00F27818"/>
    <w:rsid w:val="00F27BED"/>
    <w:rsid w:val="00F27CDB"/>
    <w:rsid w:val="00F27D9B"/>
    <w:rsid w:val="00F30962"/>
    <w:rsid w:val="00F30986"/>
    <w:rsid w:val="00F3212A"/>
    <w:rsid w:val="00F32F01"/>
    <w:rsid w:val="00F342D3"/>
    <w:rsid w:val="00F35224"/>
    <w:rsid w:val="00F354B9"/>
    <w:rsid w:val="00F35B29"/>
    <w:rsid w:val="00F372E9"/>
    <w:rsid w:val="00F436AB"/>
    <w:rsid w:val="00F445C0"/>
    <w:rsid w:val="00F458F9"/>
    <w:rsid w:val="00F45F1A"/>
    <w:rsid w:val="00F46821"/>
    <w:rsid w:val="00F47C53"/>
    <w:rsid w:val="00F50B55"/>
    <w:rsid w:val="00F50EDE"/>
    <w:rsid w:val="00F50FA9"/>
    <w:rsid w:val="00F51A7E"/>
    <w:rsid w:val="00F51CED"/>
    <w:rsid w:val="00F5233E"/>
    <w:rsid w:val="00F53E32"/>
    <w:rsid w:val="00F565F9"/>
    <w:rsid w:val="00F578C6"/>
    <w:rsid w:val="00F604DC"/>
    <w:rsid w:val="00F62D5F"/>
    <w:rsid w:val="00F6446A"/>
    <w:rsid w:val="00F668B7"/>
    <w:rsid w:val="00F66CCE"/>
    <w:rsid w:val="00F671C3"/>
    <w:rsid w:val="00F6780F"/>
    <w:rsid w:val="00F71CAE"/>
    <w:rsid w:val="00F71F36"/>
    <w:rsid w:val="00F722A8"/>
    <w:rsid w:val="00F74BD5"/>
    <w:rsid w:val="00F77BBA"/>
    <w:rsid w:val="00F802F0"/>
    <w:rsid w:val="00F908A5"/>
    <w:rsid w:val="00F90B8E"/>
    <w:rsid w:val="00F91307"/>
    <w:rsid w:val="00F92560"/>
    <w:rsid w:val="00F93BF8"/>
    <w:rsid w:val="00F93CCE"/>
    <w:rsid w:val="00F93E81"/>
    <w:rsid w:val="00F97393"/>
    <w:rsid w:val="00FA42A3"/>
    <w:rsid w:val="00FA487E"/>
    <w:rsid w:val="00FA55B1"/>
    <w:rsid w:val="00FA6115"/>
    <w:rsid w:val="00FA6A41"/>
    <w:rsid w:val="00FA7AD0"/>
    <w:rsid w:val="00FB1A2F"/>
    <w:rsid w:val="00FB2CF5"/>
    <w:rsid w:val="00FB347F"/>
    <w:rsid w:val="00FB35FB"/>
    <w:rsid w:val="00FB619F"/>
    <w:rsid w:val="00FC1DB4"/>
    <w:rsid w:val="00FC1F68"/>
    <w:rsid w:val="00FC3CFA"/>
    <w:rsid w:val="00FC4BE5"/>
    <w:rsid w:val="00FC6A58"/>
    <w:rsid w:val="00FC7BF5"/>
    <w:rsid w:val="00FD1E60"/>
    <w:rsid w:val="00FD21E5"/>
    <w:rsid w:val="00FD4CD9"/>
    <w:rsid w:val="00FD7AE2"/>
    <w:rsid w:val="00FE074A"/>
    <w:rsid w:val="00FE0AA9"/>
    <w:rsid w:val="00FE3539"/>
    <w:rsid w:val="00FE3C3A"/>
    <w:rsid w:val="00FE4B21"/>
    <w:rsid w:val="00FE74EE"/>
    <w:rsid w:val="00FE78D9"/>
    <w:rsid w:val="00FE7B8B"/>
    <w:rsid w:val="00FF0B50"/>
    <w:rsid w:val="00FF0FBF"/>
    <w:rsid w:val="00FF1E54"/>
    <w:rsid w:val="00FF3A2D"/>
    <w:rsid w:val="00FF3BF9"/>
    <w:rsid w:val="00FF3D6D"/>
    <w:rsid w:val="00FF6399"/>
    <w:rsid w:val="00FF6544"/>
    <w:rsid w:val="00FF7274"/>
    <w:rsid w:val="00FF7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88748"/>
  <w15:chartTrackingRefBased/>
  <w15:docId w15:val="{E386977E-A9E3-420A-A4DE-AD0B2C7D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NewRomanPSM"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wordWrap w:val="0"/>
      <w:autoSpaceDE w:val="0"/>
      <w:autoSpaceDN w:val="0"/>
      <w:jc w:val="both"/>
    </w:pPr>
    <w:rPr>
      <w:rFonts w:ascii="TimesNewRomanPSM"/>
      <w:kern w:val="2"/>
      <w:szCs w:val="24"/>
      <w:lang w:val="en-US" w:eastAsia="ko-K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3391"/>
    <w:pPr>
      <w:tabs>
        <w:tab w:val="center" w:pos="4819"/>
        <w:tab w:val="right" w:pos="9638"/>
      </w:tabs>
    </w:pPr>
  </w:style>
  <w:style w:type="character" w:customStyle="1" w:styleId="AntratsDiagrama">
    <w:name w:val="Antraštės Diagrama"/>
    <w:link w:val="Antrats"/>
    <w:uiPriority w:val="99"/>
    <w:rsid w:val="00C03391"/>
    <w:rPr>
      <w:rFonts w:ascii="TimesNewRomanPSM"/>
      <w:kern w:val="2"/>
      <w:szCs w:val="24"/>
      <w:lang w:val="en-US" w:eastAsia="ko-KR"/>
    </w:rPr>
  </w:style>
  <w:style w:type="paragraph" w:styleId="Porat">
    <w:name w:val="footer"/>
    <w:basedOn w:val="prastasis"/>
    <w:link w:val="PoratDiagrama"/>
    <w:uiPriority w:val="99"/>
    <w:unhideWhenUsed/>
    <w:rsid w:val="00C03391"/>
    <w:pPr>
      <w:tabs>
        <w:tab w:val="center" w:pos="4819"/>
        <w:tab w:val="right" w:pos="9638"/>
      </w:tabs>
    </w:pPr>
  </w:style>
  <w:style w:type="character" w:customStyle="1" w:styleId="PoratDiagrama">
    <w:name w:val="Poraštė Diagrama"/>
    <w:link w:val="Porat"/>
    <w:uiPriority w:val="99"/>
    <w:rsid w:val="00C03391"/>
    <w:rPr>
      <w:rFonts w:ascii="TimesNewRomanPSM"/>
      <w:kern w:val="2"/>
      <w:szCs w:val="24"/>
      <w:lang w:val="en-US" w:eastAsia="ko-KR"/>
    </w:rPr>
  </w:style>
  <w:style w:type="paragraph" w:customStyle="1" w:styleId="Default">
    <w:name w:val="Default"/>
    <w:rsid w:val="00297E6E"/>
    <w:pPr>
      <w:autoSpaceDE w:val="0"/>
      <w:autoSpaceDN w:val="0"/>
      <w:adjustRightInd w:val="0"/>
    </w:pPr>
    <w:rPr>
      <w:color w:val="000000"/>
      <w:sz w:val="24"/>
      <w:szCs w:val="24"/>
    </w:rPr>
  </w:style>
  <w:style w:type="paragraph" w:styleId="Debesliotekstas">
    <w:name w:val="Balloon Text"/>
    <w:basedOn w:val="prastasis"/>
    <w:link w:val="DebesliotekstasDiagrama"/>
    <w:uiPriority w:val="99"/>
    <w:semiHidden/>
    <w:unhideWhenUsed/>
    <w:rsid w:val="009D033F"/>
    <w:rPr>
      <w:rFonts w:ascii="Tahoma" w:hAnsi="Tahoma" w:cs="Tahoma"/>
      <w:sz w:val="16"/>
      <w:szCs w:val="16"/>
    </w:rPr>
  </w:style>
  <w:style w:type="character" w:customStyle="1" w:styleId="DebesliotekstasDiagrama">
    <w:name w:val="Debesėlio tekstas Diagrama"/>
    <w:link w:val="Debesliotekstas"/>
    <w:uiPriority w:val="99"/>
    <w:semiHidden/>
    <w:rsid w:val="009D033F"/>
    <w:rPr>
      <w:rFonts w:ascii="Tahoma" w:hAnsi="Tahoma" w:cs="Tahoma"/>
      <w:kern w:val="2"/>
      <w:sz w:val="16"/>
      <w:szCs w:val="16"/>
      <w:lang w:val="en-US" w:eastAsia="ko-KR"/>
    </w:rPr>
  </w:style>
  <w:style w:type="paragraph" w:styleId="Sraopastraipa">
    <w:name w:val="List Paragraph"/>
    <w:basedOn w:val="prastasis"/>
    <w:uiPriority w:val="34"/>
    <w:qFormat/>
    <w:rsid w:val="00466564"/>
    <w:pPr>
      <w:widowControl/>
      <w:wordWrap/>
      <w:autoSpaceDE/>
      <w:autoSpaceDN/>
      <w:ind w:left="720"/>
      <w:jc w:val="left"/>
    </w:pPr>
    <w:rPr>
      <w:rFonts w:ascii="Calibri" w:eastAsia="Calibri" w:hAnsi="Calibri"/>
      <w:kern w:val="0"/>
      <w:sz w:val="22"/>
      <w:szCs w:val="22"/>
      <w:lang w:val="lt-LT" w:eastAsia="en-US"/>
    </w:rPr>
  </w:style>
  <w:style w:type="paragraph" w:customStyle="1" w:styleId="Pagrindinistekstas1">
    <w:name w:val="Pagrindinis tekstas1"/>
    <w:rsid w:val="007E611E"/>
    <w:pPr>
      <w:autoSpaceDE w:val="0"/>
      <w:autoSpaceDN w:val="0"/>
      <w:adjustRightInd w:val="0"/>
      <w:ind w:firstLine="312"/>
      <w:jc w:val="both"/>
    </w:pPr>
    <w:rPr>
      <w:rFonts w:ascii="TimesLT" w:eastAsia="Times New Roman" w:hAnsi="TimesLT"/>
      <w:lang w:val="en-US" w:eastAsia="en-US"/>
    </w:rPr>
  </w:style>
  <w:style w:type="character" w:styleId="Komentaronuoroda">
    <w:name w:val="annotation reference"/>
    <w:uiPriority w:val="99"/>
    <w:semiHidden/>
    <w:unhideWhenUsed/>
    <w:rsid w:val="00477923"/>
    <w:rPr>
      <w:sz w:val="16"/>
      <w:szCs w:val="16"/>
    </w:rPr>
  </w:style>
  <w:style w:type="paragraph" w:styleId="Komentarotekstas">
    <w:name w:val="annotation text"/>
    <w:basedOn w:val="prastasis"/>
    <w:link w:val="KomentarotekstasDiagrama"/>
    <w:uiPriority w:val="99"/>
    <w:semiHidden/>
    <w:unhideWhenUsed/>
    <w:rsid w:val="00477923"/>
    <w:rPr>
      <w:szCs w:val="20"/>
    </w:rPr>
  </w:style>
  <w:style w:type="character" w:customStyle="1" w:styleId="KomentarotekstasDiagrama">
    <w:name w:val="Komentaro tekstas Diagrama"/>
    <w:link w:val="Komentarotekstas"/>
    <w:uiPriority w:val="99"/>
    <w:semiHidden/>
    <w:rsid w:val="00477923"/>
    <w:rPr>
      <w:rFonts w:ascii="TimesNewRomanPSM"/>
      <w:kern w:val="2"/>
      <w:lang w:val="en-US" w:eastAsia="ko-KR"/>
    </w:rPr>
  </w:style>
  <w:style w:type="paragraph" w:styleId="prastasiniatinklio">
    <w:name w:val="Normal (Web)"/>
    <w:basedOn w:val="prastasis"/>
    <w:uiPriority w:val="99"/>
    <w:semiHidden/>
    <w:unhideWhenUsed/>
    <w:rsid w:val="002101D5"/>
    <w:pPr>
      <w:widowControl/>
      <w:wordWrap/>
      <w:autoSpaceDE/>
      <w:autoSpaceDN/>
      <w:spacing w:before="100" w:beforeAutospacing="1" w:after="100" w:afterAutospacing="1"/>
      <w:jc w:val="left"/>
    </w:pPr>
    <w:rPr>
      <w:rFonts w:ascii="Times New Roman" w:eastAsia="Times New Roman"/>
      <w:kern w:val="0"/>
      <w:sz w:val="24"/>
      <w:lang w:val="lt-LT" w:eastAsia="lt-LT"/>
    </w:rPr>
  </w:style>
  <w:style w:type="paragraph" w:styleId="Komentarotema">
    <w:name w:val="annotation subject"/>
    <w:basedOn w:val="Komentarotekstas"/>
    <w:next w:val="Komentarotekstas"/>
    <w:link w:val="KomentarotemaDiagrama"/>
    <w:uiPriority w:val="99"/>
    <w:semiHidden/>
    <w:unhideWhenUsed/>
    <w:rsid w:val="00EC235D"/>
    <w:rPr>
      <w:b/>
      <w:bCs/>
    </w:rPr>
  </w:style>
  <w:style w:type="character" w:customStyle="1" w:styleId="KomentarotemaDiagrama">
    <w:name w:val="Komentaro tema Diagrama"/>
    <w:basedOn w:val="KomentarotekstasDiagrama"/>
    <w:link w:val="Komentarotema"/>
    <w:uiPriority w:val="99"/>
    <w:semiHidden/>
    <w:rsid w:val="00EC235D"/>
    <w:rPr>
      <w:rFonts w:ascii="TimesNewRomanPSM"/>
      <w:b/>
      <w:bCs/>
      <w:kern w:val="2"/>
      <w:lang w:val="en-US" w:eastAsia="ko-KR"/>
    </w:rPr>
  </w:style>
  <w:style w:type="character" w:styleId="Grietas">
    <w:name w:val="Strong"/>
    <w:basedOn w:val="Numatytasispastraiposriftas"/>
    <w:uiPriority w:val="22"/>
    <w:qFormat/>
    <w:rsid w:val="00023343"/>
    <w:rPr>
      <w:b/>
      <w:bCs/>
    </w:rPr>
  </w:style>
  <w:style w:type="paragraph" w:styleId="Betarp">
    <w:name w:val="No Spacing"/>
    <w:uiPriority w:val="1"/>
    <w:qFormat/>
    <w:rsid w:val="00B90539"/>
    <w:rPr>
      <w:rFonts w:eastAsia="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0187">
      <w:bodyDiv w:val="1"/>
      <w:marLeft w:val="0"/>
      <w:marRight w:val="0"/>
      <w:marTop w:val="0"/>
      <w:marBottom w:val="0"/>
      <w:divBdr>
        <w:top w:val="none" w:sz="0" w:space="0" w:color="auto"/>
        <w:left w:val="none" w:sz="0" w:space="0" w:color="auto"/>
        <w:bottom w:val="none" w:sz="0" w:space="0" w:color="auto"/>
        <w:right w:val="none" w:sz="0" w:space="0" w:color="auto"/>
      </w:divBdr>
    </w:div>
    <w:div w:id="72356637">
      <w:bodyDiv w:val="1"/>
      <w:marLeft w:val="0"/>
      <w:marRight w:val="0"/>
      <w:marTop w:val="0"/>
      <w:marBottom w:val="0"/>
      <w:divBdr>
        <w:top w:val="none" w:sz="0" w:space="0" w:color="auto"/>
        <w:left w:val="none" w:sz="0" w:space="0" w:color="auto"/>
        <w:bottom w:val="none" w:sz="0" w:space="0" w:color="auto"/>
        <w:right w:val="none" w:sz="0" w:space="0" w:color="auto"/>
      </w:divBdr>
    </w:div>
    <w:div w:id="107816101">
      <w:bodyDiv w:val="1"/>
      <w:marLeft w:val="0"/>
      <w:marRight w:val="0"/>
      <w:marTop w:val="0"/>
      <w:marBottom w:val="0"/>
      <w:divBdr>
        <w:top w:val="none" w:sz="0" w:space="0" w:color="auto"/>
        <w:left w:val="none" w:sz="0" w:space="0" w:color="auto"/>
        <w:bottom w:val="none" w:sz="0" w:space="0" w:color="auto"/>
        <w:right w:val="none" w:sz="0" w:space="0" w:color="auto"/>
      </w:divBdr>
    </w:div>
    <w:div w:id="179853042">
      <w:bodyDiv w:val="1"/>
      <w:marLeft w:val="0"/>
      <w:marRight w:val="0"/>
      <w:marTop w:val="0"/>
      <w:marBottom w:val="0"/>
      <w:divBdr>
        <w:top w:val="none" w:sz="0" w:space="0" w:color="auto"/>
        <w:left w:val="none" w:sz="0" w:space="0" w:color="auto"/>
        <w:bottom w:val="none" w:sz="0" w:space="0" w:color="auto"/>
        <w:right w:val="none" w:sz="0" w:space="0" w:color="auto"/>
      </w:divBdr>
    </w:div>
    <w:div w:id="221060556">
      <w:bodyDiv w:val="1"/>
      <w:marLeft w:val="0"/>
      <w:marRight w:val="0"/>
      <w:marTop w:val="0"/>
      <w:marBottom w:val="0"/>
      <w:divBdr>
        <w:top w:val="none" w:sz="0" w:space="0" w:color="auto"/>
        <w:left w:val="none" w:sz="0" w:space="0" w:color="auto"/>
        <w:bottom w:val="none" w:sz="0" w:space="0" w:color="auto"/>
        <w:right w:val="none" w:sz="0" w:space="0" w:color="auto"/>
      </w:divBdr>
    </w:div>
    <w:div w:id="316962642">
      <w:bodyDiv w:val="1"/>
      <w:marLeft w:val="0"/>
      <w:marRight w:val="0"/>
      <w:marTop w:val="0"/>
      <w:marBottom w:val="0"/>
      <w:divBdr>
        <w:top w:val="none" w:sz="0" w:space="0" w:color="auto"/>
        <w:left w:val="none" w:sz="0" w:space="0" w:color="auto"/>
        <w:bottom w:val="none" w:sz="0" w:space="0" w:color="auto"/>
        <w:right w:val="none" w:sz="0" w:space="0" w:color="auto"/>
      </w:divBdr>
    </w:div>
    <w:div w:id="402682584">
      <w:bodyDiv w:val="1"/>
      <w:marLeft w:val="0"/>
      <w:marRight w:val="0"/>
      <w:marTop w:val="0"/>
      <w:marBottom w:val="0"/>
      <w:divBdr>
        <w:top w:val="none" w:sz="0" w:space="0" w:color="auto"/>
        <w:left w:val="none" w:sz="0" w:space="0" w:color="auto"/>
        <w:bottom w:val="none" w:sz="0" w:space="0" w:color="auto"/>
        <w:right w:val="none" w:sz="0" w:space="0" w:color="auto"/>
      </w:divBdr>
    </w:div>
    <w:div w:id="411702941">
      <w:bodyDiv w:val="1"/>
      <w:marLeft w:val="0"/>
      <w:marRight w:val="0"/>
      <w:marTop w:val="0"/>
      <w:marBottom w:val="0"/>
      <w:divBdr>
        <w:top w:val="none" w:sz="0" w:space="0" w:color="auto"/>
        <w:left w:val="none" w:sz="0" w:space="0" w:color="auto"/>
        <w:bottom w:val="none" w:sz="0" w:space="0" w:color="auto"/>
        <w:right w:val="none" w:sz="0" w:space="0" w:color="auto"/>
      </w:divBdr>
    </w:div>
    <w:div w:id="519704801">
      <w:bodyDiv w:val="1"/>
      <w:marLeft w:val="0"/>
      <w:marRight w:val="0"/>
      <w:marTop w:val="0"/>
      <w:marBottom w:val="0"/>
      <w:divBdr>
        <w:top w:val="none" w:sz="0" w:space="0" w:color="auto"/>
        <w:left w:val="none" w:sz="0" w:space="0" w:color="auto"/>
        <w:bottom w:val="none" w:sz="0" w:space="0" w:color="auto"/>
        <w:right w:val="none" w:sz="0" w:space="0" w:color="auto"/>
      </w:divBdr>
    </w:div>
    <w:div w:id="565143447">
      <w:bodyDiv w:val="1"/>
      <w:marLeft w:val="0"/>
      <w:marRight w:val="0"/>
      <w:marTop w:val="0"/>
      <w:marBottom w:val="0"/>
      <w:divBdr>
        <w:top w:val="none" w:sz="0" w:space="0" w:color="auto"/>
        <w:left w:val="none" w:sz="0" w:space="0" w:color="auto"/>
        <w:bottom w:val="none" w:sz="0" w:space="0" w:color="auto"/>
        <w:right w:val="none" w:sz="0" w:space="0" w:color="auto"/>
      </w:divBdr>
      <w:divsChild>
        <w:div w:id="2071952303">
          <w:marLeft w:val="446"/>
          <w:marRight w:val="0"/>
          <w:marTop w:val="60"/>
          <w:marBottom w:val="0"/>
          <w:divBdr>
            <w:top w:val="none" w:sz="0" w:space="0" w:color="auto"/>
            <w:left w:val="none" w:sz="0" w:space="0" w:color="auto"/>
            <w:bottom w:val="none" w:sz="0" w:space="0" w:color="auto"/>
            <w:right w:val="none" w:sz="0" w:space="0" w:color="auto"/>
          </w:divBdr>
        </w:div>
        <w:div w:id="1147431851">
          <w:marLeft w:val="446"/>
          <w:marRight w:val="0"/>
          <w:marTop w:val="60"/>
          <w:marBottom w:val="0"/>
          <w:divBdr>
            <w:top w:val="none" w:sz="0" w:space="0" w:color="auto"/>
            <w:left w:val="none" w:sz="0" w:space="0" w:color="auto"/>
            <w:bottom w:val="none" w:sz="0" w:space="0" w:color="auto"/>
            <w:right w:val="none" w:sz="0" w:space="0" w:color="auto"/>
          </w:divBdr>
        </w:div>
      </w:divsChild>
    </w:div>
    <w:div w:id="569123643">
      <w:bodyDiv w:val="1"/>
      <w:marLeft w:val="0"/>
      <w:marRight w:val="0"/>
      <w:marTop w:val="0"/>
      <w:marBottom w:val="0"/>
      <w:divBdr>
        <w:top w:val="none" w:sz="0" w:space="0" w:color="auto"/>
        <w:left w:val="none" w:sz="0" w:space="0" w:color="auto"/>
        <w:bottom w:val="none" w:sz="0" w:space="0" w:color="auto"/>
        <w:right w:val="none" w:sz="0" w:space="0" w:color="auto"/>
      </w:divBdr>
    </w:div>
    <w:div w:id="571887441">
      <w:bodyDiv w:val="1"/>
      <w:marLeft w:val="0"/>
      <w:marRight w:val="0"/>
      <w:marTop w:val="0"/>
      <w:marBottom w:val="0"/>
      <w:divBdr>
        <w:top w:val="none" w:sz="0" w:space="0" w:color="auto"/>
        <w:left w:val="none" w:sz="0" w:space="0" w:color="auto"/>
        <w:bottom w:val="none" w:sz="0" w:space="0" w:color="auto"/>
        <w:right w:val="none" w:sz="0" w:space="0" w:color="auto"/>
      </w:divBdr>
    </w:div>
    <w:div w:id="583491332">
      <w:bodyDiv w:val="1"/>
      <w:marLeft w:val="0"/>
      <w:marRight w:val="0"/>
      <w:marTop w:val="0"/>
      <w:marBottom w:val="0"/>
      <w:divBdr>
        <w:top w:val="none" w:sz="0" w:space="0" w:color="auto"/>
        <w:left w:val="none" w:sz="0" w:space="0" w:color="auto"/>
        <w:bottom w:val="none" w:sz="0" w:space="0" w:color="auto"/>
        <w:right w:val="none" w:sz="0" w:space="0" w:color="auto"/>
      </w:divBdr>
    </w:div>
    <w:div w:id="591204174">
      <w:bodyDiv w:val="1"/>
      <w:marLeft w:val="0"/>
      <w:marRight w:val="0"/>
      <w:marTop w:val="0"/>
      <w:marBottom w:val="0"/>
      <w:divBdr>
        <w:top w:val="none" w:sz="0" w:space="0" w:color="auto"/>
        <w:left w:val="none" w:sz="0" w:space="0" w:color="auto"/>
        <w:bottom w:val="none" w:sz="0" w:space="0" w:color="auto"/>
        <w:right w:val="none" w:sz="0" w:space="0" w:color="auto"/>
      </w:divBdr>
    </w:div>
    <w:div w:id="638455702">
      <w:bodyDiv w:val="1"/>
      <w:marLeft w:val="0"/>
      <w:marRight w:val="0"/>
      <w:marTop w:val="0"/>
      <w:marBottom w:val="0"/>
      <w:divBdr>
        <w:top w:val="none" w:sz="0" w:space="0" w:color="auto"/>
        <w:left w:val="none" w:sz="0" w:space="0" w:color="auto"/>
        <w:bottom w:val="none" w:sz="0" w:space="0" w:color="auto"/>
        <w:right w:val="none" w:sz="0" w:space="0" w:color="auto"/>
      </w:divBdr>
    </w:div>
    <w:div w:id="640966807">
      <w:bodyDiv w:val="1"/>
      <w:marLeft w:val="0"/>
      <w:marRight w:val="0"/>
      <w:marTop w:val="0"/>
      <w:marBottom w:val="0"/>
      <w:divBdr>
        <w:top w:val="none" w:sz="0" w:space="0" w:color="auto"/>
        <w:left w:val="none" w:sz="0" w:space="0" w:color="auto"/>
        <w:bottom w:val="none" w:sz="0" w:space="0" w:color="auto"/>
        <w:right w:val="none" w:sz="0" w:space="0" w:color="auto"/>
      </w:divBdr>
      <w:divsChild>
        <w:div w:id="2050884025">
          <w:marLeft w:val="418"/>
          <w:marRight w:val="0"/>
          <w:marTop w:val="0"/>
          <w:marBottom w:val="120"/>
          <w:divBdr>
            <w:top w:val="none" w:sz="0" w:space="0" w:color="auto"/>
            <w:left w:val="none" w:sz="0" w:space="0" w:color="auto"/>
            <w:bottom w:val="none" w:sz="0" w:space="0" w:color="auto"/>
            <w:right w:val="none" w:sz="0" w:space="0" w:color="auto"/>
          </w:divBdr>
        </w:div>
        <w:div w:id="1431707272">
          <w:marLeft w:val="418"/>
          <w:marRight w:val="0"/>
          <w:marTop w:val="0"/>
          <w:marBottom w:val="120"/>
          <w:divBdr>
            <w:top w:val="none" w:sz="0" w:space="0" w:color="auto"/>
            <w:left w:val="none" w:sz="0" w:space="0" w:color="auto"/>
            <w:bottom w:val="none" w:sz="0" w:space="0" w:color="auto"/>
            <w:right w:val="none" w:sz="0" w:space="0" w:color="auto"/>
          </w:divBdr>
        </w:div>
        <w:div w:id="1166900313">
          <w:marLeft w:val="418"/>
          <w:marRight w:val="0"/>
          <w:marTop w:val="0"/>
          <w:marBottom w:val="120"/>
          <w:divBdr>
            <w:top w:val="none" w:sz="0" w:space="0" w:color="auto"/>
            <w:left w:val="none" w:sz="0" w:space="0" w:color="auto"/>
            <w:bottom w:val="none" w:sz="0" w:space="0" w:color="auto"/>
            <w:right w:val="none" w:sz="0" w:space="0" w:color="auto"/>
          </w:divBdr>
        </w:div>
        <w:div w:id="1119685480">
          <w:marLeft w:val="418"/>
          <w:marRight w:val="0"/>
          <w:marTop w:val="0"/>
          <w:marBottom w:val="120"/>
          <w:divBdr>
            <w:top w:val="none" w:sz="0" w:space="0" w:color="auto"/>
            <w:left w:val="none" w:sz="0" w:space="0" w:color="auto"/>
            <w:bottom w:val="none" w:sz="0" w:space="0" w:color="auto"/>
            <w:right w:val="none" w:sz="0" w:space="0" w:color="auto"/>
          </w:divBdr>
        </w:div>
        <w:div w:id="295648389">
          <w:marLeft w:val="418"/>
          <w:marRight w:val="0"/>
          <w:marTop w:val="0"/>
          <w:marBottom w:val="120"/>
          <w:divBdr>
            <w:top w:val="none" w:sz="0" w:space="0" w:color="auto"/>
            <w:left w:val="none" w:sz="0" w:space="0" w:color="auto"/>
            <w:bottom w:val="none" w:sz="0" w:space="0" w:color="auto"/>
            <w:right w:val="none" w:sz="0" w:space="0" w:color="auto"/>
          </w:divBdr>
        </w:div>
        <w:div w:id="530655693">
          <w:marLeft w:val="418"/>
          <w:marRight w:val="0"/>
          <w:marTop w:val="0"/>
          <w:marBottom w:val="120"/>
          <w:divBdr>
            <w:top w:val="none" w:sz="0" w:space="0" w:color="auto"/>
            <w:left w:val="none" w:sz="0" w:space="0" w:color="auto"/>
            <w:bottom w:val="none" w:sz="0" w:space="0" w:color="auto"/>
            <w:right w:val="none" w:sz="0" w:space="0" w:color="auto"/>
          </w:divBdr>
        </w:div>
      </w:divsChild>
    </w:div>
    <w:div w:id="731733219">
      <w:bodyDiv w:val="1"/>
      <w:marLeft w:val="0"/>
      <w:marRight w:val="0"/>
      <w:marTop w:val="0"/>
      <w:marBottom w:val="0"/>
      <w:divBdr>
        <w:top w:val="none" w:sz="0" w:space="0" w:color="auto"/>
        <w:left w:val="none" w:sz="0" w:space="0" w:color="auto"/>
        <w:bottom w:val="none" w:sz="0" w:space="0" w:color="auto"/>
        <w:right w:val="none" w:sz="0" w:space="0" w:color="auto"/>
      </w:divBdr>
    </w:div>
    <w:div w:id="732697162">
      <w:bodyDiv w:val="1"/>
      <w:marLeft w:val="0"/>
      <w:marRight w:val="0"/>
      <w:marTop w:val="0"/>
      <w:marBottom w:val="0"/>
      <w:divBdr>
        <w:top w:val="none" w:sz="0" w:space="0" w:color="auto"/>
        <w:left w:val="none" w:sz="0" w:space="0" w:color="auto"/>
        <w:bottom w:val="none" w:sz="0" w:space="0" w:color="auto"/>
        <w:right w:val="none" w:sz="0" w:space="0" w:color="auto"/>
      </w:divBdr>
    </w:div>
    <w:div w:id="768355150">
      <w:bodyDiv w:val="1"/>
      <w:marLeft w:val="0"/>
      <w:marRight w:val="0"/>
      <w:marTop w:val="0"/>
      <w:marBottom w:val="0"/>
      <w:divBdr>
        <w:top w:val="none" w:sz="0" w:space="0" w:color="auto"/>
        <w:left w:val="none" w:sz="0" w:space="0" w:color="auto"/>
        <w:bottom w:val="none" w:sz="0" w:space="0" w:color="auto"/>
        <w:right w:val="none" w:sz="0" w:space="0" w:color="auto"/>
      </w:divBdr>
    </w:div>
    <w:div w:id="778649020">
      <w:bodyDiv w:val="1"/>
      <w:marLeft w:val="0"/>
      <w:marRight w:val="0"/>
      <w:marTop w:val="0"/>
      <w:marBottom w:val="0"/>
      <w:divBdr>
        <w:top w:val="none" w:sz="0" w:space="0" w:color="auto"/>
        <w:left w:val="none" w:sz="0" w:space="0" w:color="auto"/>
        <w:bottom w:val="none" w:sz="0" w:space="0" w:color="auto"/>
        <w:right w:val="none" w:sz="0" w:space="0" w:color="auto"/>
      </w:divBdr>
    </w:div>
    <w:div w:id="946623865">
      <w:bodyDiv w:val="1"/>
      <w:marLeft w:val="0"/>
      <w:marRight w:val="0"/>
      <w:marTop w:val="0"/>
      <w:marBottom w:val="0"/>
      <w:divBdr>
        <w:top w:val="none" w:sz="0" w:space="0" w:color="auto"/>
        <w:left w:val="none" w:sz="0" w:space="0" w:color="auto"/>
        <w:bottom w:val="none" w:sz="0" w:space="0" w:color="auto"/>
        <w:right w:val="none" w:sz="0" w:space="0" w:color="auto"/>
      </w:divBdr>
    </w:div>
    <w:div w:id="948390310">
      <w:bodyDiv w:val="1"/>
      <w:marLeft w:val="0"/>
      <w:marRight w:val="0"/>
      <w:marTop w:val="0"/>
      <w:marBottom w:val="0"/>
      <w:divBdr>
        <w:top w:val="none" w:sz="0" w:space="0" w:color="auto"/>
        <w:left w:val="none" w:sz="0" w:space="0" w:color="auto"/>
        <w:bottom w:val="none" w:sz="0" w:space="0" w:color="auto"/>
        <w:right w:val="none" w:sz="0" w:space="0" w:color="auto"/>
      </w:divBdr>
    </w:div>
    <w:div w:id="997922882">
      <w:bodyDiv w:val="1"/>
      <w:marLeft w:val="0"/>
      <w:marRight w:val="0"/>
      <w:marTop w:val="0"/>
      <w:marBottom w:val="0"/>
      <w:divBdr>
        <w:top w:val="none" w:sz="0" w:space="0" w:color="auto"/>
        <w:left w:val="none" w:sz="0" w:space="0" w:color="auto"/>
        <w:bottom w:val="none" w:sz="0" w:space="0" w:color="auto"/>
        <w:right w:val="none" w:sz="0" w:space="0" w:color="auto"/>
      </w:divBdr>
    </w:div>
    <w:div w:id="999969711">
      <w:bodyDiv w:val="1"/>
      <w:marLeft w:val="0"/>
      <w:marRight w:val="0"/>
      <w:marTop w:val="0"/>
      <w:marBottom w:val="0"/>
      <w:divBdr>
        <w:top w:val="none" w:sz="0" w:space="0" w:color="auto"/>
        <w:left w:val="none" w:sz="0" w:space="0" w:color="auto"/>
        <w:bottom w:val="none" w:sz="0" w:space="0" w:color="auto"/>
        <w:right w:val="none" w:sz="0" w:space="0" w:color="auto"/>
      </w:divBdr>
    </w:div>
    <w:div w:id="1033724525">
      <w:bodyDiv w:val="1"/>
      <w:marLeft w:val="0"/>
      <w:marRight w:val="0"/>
      <w:marTop w:val="0"/>
      <w:marBottom w:val="0"/>
      <w:divBdr>
        <w:top w:val="none" w:sz="0" w:space="0" w:color="auto"/>
        <w:left w:val="none" w:sz="0" w:space="0" w:color="auto"/>
        <w:bottom w:val="none" w:sz="0" w:space="0" w:color="auto"/>
        <w:right w:val="none" w:sz="0" w:space="0" w:color="auto"/>
      </w:divBdr>
      <w:divsChild>
        <w:div w:id="838229020">
          <w:marLeft w:val="403"/>
          <w:marRight w:val="0"/>
          <w:marTop w:val="96"/>
          <w:marBottom w:val="0"/>
          <w:divBdr>
            <w:top w:val="none" w:sz="0" w:space="0" w:color="auto"/>
            <w:left w:val="none" w:sz="0" w:space="0" w:color="auto"/>
            <w:bottom w:val="none" w:sz="0" w:space="0" w:color="auto"/>
            <w:right w:val="none" w:sz="0" w:space="0" w:color="auto"/>
          </w:divBdr>
        </w:div>
        <w:div w:id="2060325773">
          <w:marLeft w:val="403"/>
          <w:marRight w:val="0"/>
          <w:marTop w:val="96"/>
          <w:marBottom w:val="0"/>
          <w:divBdr>
            <w:top w:val="none" w:sz="0" w:space="0" w:color="auto"/>
            <w:left w:val="none" w:sz="0" w:space="0" w:color="auto"/>
            <w:bottom w:val="none" w:sz="0" w:space="0" w:color="auto"/>
            <w:right w:val="none" w:sz="0" w:space="0" w:color="auto"/>
          </w:divBdr>
        </w:div>
      </w:divsChild>
    </w:div>
    <w:div w:id="1094474148">
      <w:bodyDiv w:val="1"/>
      <w:marLeft w:val="0"/>
      <w:marRight w:val="0"/>
      <w:marTop w:val="0"/>
      <w:marBottom w:val="0"/>
      <w:divBdr>
        <w:top w:val="none" w:sz="0" w:space="0" w:color="auto"/>
        <w:left w:val="none" w:sz="0" w:space="0" w:color="auto"/>
        <w:bottom w:val="none" w:sz="0" w:space="0" w:color="auto"/>
        <w:right w:val="none" w:sz="0" w:space="0" w:color="auto"/>
      </w:divBdr>
    </w:div>
    <w:div w:id="1176964818">
      <w:bodyDiv w:val="1"/>
      <w:marLeft w:val="0"/>
      <w:marRight w:val="0"/>
      <w:marTop w:val="0"/>
      <w:marBottom w:val="0"/>
      <w:divBdr>
        <w:top w:val="none" w:sz="0" w:space="0" w:color="auto"/>
        <w:left w:val="none" w:sz="0" w:space="0" w:color="auto"/>
        <w:bottom w:val="none" w:sz="0" w:space="0" w:color="auto"/>
        <w:right w:val="none" w:sz="0" w:space="0" w:color="auto"/>
      </w:divBdr>
    </w:div>
    <w:div w:id="1209143350">
      <w:bodyDiv w:val="1"/>
      <w:marLeft w:val="0"/>
      <w:marRight w:val="0"/>
      <w:marTop w:val="0"/>
      <w:marBottom w:val="0"/>
      <w:divBdr>
        <w:top w:val="none" w:sz="0" w:space="0" w:color="auto"/>
        <w:left w:val="none" w:sz="0" w:space="0" w:color="auto"/>
        <w:bottom w:val="none" w:sz="0" w:space="0" w:color="auto"/>
        <w:right w:val="none" w:sz="0" w:space="0" w:color="auto"/>
      </w:divBdr>
    </w:div>
    <w:div w:id="1217358955">
      <w:bodyDiv w:val="1"/>
      <w:marLeft w:val="0"/>
      <w:marRight w:val="0"/>
      <w:marTop w:val="0"/>
      <w:marBottom w:val="0"/>
      <w:divBdr>
        <w:top w:val="none" w:sz="0" w:space="0" w:color="auto"/>
        <w:left w:val="none" w:sz="0" w:space="0" w:color="auto"/>
        <w:bottom w:val="none" w:sz="0" w:space="0" w:color="auto"/>
        <w:right w:val="none" w:sz="0" w:space="0" w:color="auto"/>
      </w:divBdr>
    </w:div>
    <w:div w:id="1219901405">
      <w:bodyDiv w:val="1"/>
      <w:marLeft w:val="0"/>
      <w:marRight w:val="0"/>
      <w:marTop w:val="0"/>
      <w:marBottom w:val="0"/>
      <w:divBdr>
        <w:top w:val="none" w:sz="0" w:space="0" w:color="auto"/>
        <w:left w:val="none" w:sz="0" w:space="0" w:color="auto"/>
        <w:bottom w:val="none" w:sz="0" w:space="0" w:color="auto"/>
        <w:right w:val="none" w:sz="0" w:space="0" w:color="auto"/>
      </w:divBdr>
    </w:div>
    <w:div w:id="1266501566">
      <w:bodyDiv w:val="1"/>
      <w:marLeft w:val="0"/>
      <w:marRight w:val="0"/>
      <w:marTop w:val="0"/>
      <w:marBottom w:val="0"/>
      <w:divBdr>
        <w:top w:val="none" w:sz="0" w:space="0" w:color="auto"/>
        <w:left w:val="none" w:sz="0" w:space="0" w:color="auto"/>
        <w:bottom w:val="none" w:sz="0" w:space="0" w:color="auto"/>
        <w:right w:val="none" w:sz="0" w:space="0" w:color="auto"/>
      </w:divBdr>
    </w:div>
    <w:div w:id="1295142540">
      <w:bodyDiv w:val="1"/>
      <w:marLeft w:val="0"/>
      <w:marRight w:val="0"/>
      <w:marTop w:val="0"/>
      <w:marBottom w:val="0"/>
      <w:divBdr>
        <w:top w:val="none" w:sz="0" w:space="0" w:color="auto"/>
        <w:left w:val="none" w:sz="0" w:space="0" w:color="auto"/>
        <w:bottom w:val="none" w:sz="0" w:space="0" w:color="auto"/>
        <w:right w:val="none" w:sz="0" w:space="0" w:color="auto"/>
      </w:divBdr>
      <w:divsChild>
        <w:div w:id="1329559755">
          <w:marLeft w:val="547"/>
          <w:marRight w:val="0"/>
          <w:marTop w:val="90"/>
          <w:marBottom w:val="0"/>
          <w:divBdr>
            <w:top w:val="none" w:sz="0" w:space="0" w:color="auto"/>
            <w:left w:val="none" w:sz="0" w:space="0" w:color="auto"/>
            <w:bottom w:val="none" w:sz="0" w:space="0" w:color="auto"/>
            <w:right w:val="none" w:sz="0" w:space="0" w:color="auto"/>
          </w:divBdr>
        </w:div>
        <w:div w:id="393817907">
          <w:marLeft w:val="331"/>
          <w:marRight w:val="0"/>
          <w:marTop w:val="90"/>
          <w:marBottom w:val="0"/>
          <w:divBdr>
            <w:top w:val="none" w:sz="0" w:space="0" w:color="auto"/>
            <w:left w:val="none" w:sz="0" w:space="0" w:color="auto"/>
            <w:bottom w:val="none" w:sz="0" w:space="0" w:color="auto"/>
            <w:right w:val="none" w:sz="0" w:space="0" w:color="auto"/>
          </w:divBdr>
        </w:div>
        <w:div w:id="243152946">
          <w:marLeft w:val="331"/>
          <w:marRight w:val="0"/>
          <w:marTop w:val="90"/>
          <w:marBottom w:val="0"/>
          <w:divBdr>
            <w:top w:val="none" w:sz="0" w:space="0" w:color="auto"/>
            <w:left w:val="none" w:sz="0" w:space="0" w:color="auto"/>
            <w:bottom w:val="none" w:sz="0" w:space="0" w:color="auto"/>
            <w:right w:val="none" w:sz="0" w:space="0" w:color="auto"/>
          </w:divBdr>
        </w:div>
        <w:div w:id="593364380">
          <w:marLeft w:val="331"/>
          <w:marRight w:val="0"/>
          <w:marTop w:val="90"/>
          <w:marBottom w:val="0"/>
          <w:divBdr>
            <w:top w:val="none" w:sz="0" w:space="0" w:color="auto"/>
            <w:left w:val="none" w:sz="0" w:space="0" w:color="auto"/>
            <w:bottom w:val="none" w:sz="0" w:space="0" w:color="auto"/>
            <w:right w:val="none" w:sz="0" w:space="0" w:color="auto"/>
          </w:divBdr>
        </w:div>
      </w:divsChild>
    </w:div>
    <w:div w:id="1318653761">
      <w:bodyDiv w:val="1"/>
      <w:marLeft w:val="0"/>
      <w:marRight w:val="0"/>
      <w:marTop w:val="0"/>
      <w:marBottom w:val="0"/>
      <w:divBdr>
        <w:top w:val="none" w:sz="0" w:space="0" w:color="auto"/>
        <w:left w:val="none" w:sz="0" w:space="0" w:color="auto"/>
        <w:bottom w:val="none" w:sz="0" w:space="0" w:color="auto"/>
        <w:right w:val="none" w:sz="0" w:space="0" w:color="auto"/>
      </w:divBdr>
    </w:div>
    <w:div w:id="1326206236">
      <w:bodyDiv w:val="1"/>
      <w:marLeft w:val="0"/>
      <w:marRight w:val="0"/>
      <w:marTop w:val="0"/>
      <w:marBottom w:val="0"/>
      <w:divBdr>
        <w:top w:val="none" w:sz="0" w:space="0" w:color="auto"/>
        <w:left w:val="none" w:sz="0" w:space="0" w:color="auto"/>
        <w:bottom w:val="none" w:sz="0" w:space="0" w:color="auto"/>
        <w:right w:val="none" w:sz="0" w:space="0" w:color="auto"/>
      </w:divBdr>
    </w:div>
    <w:div w:id="1361976088">
      <w:bodyDiv w:val="1"/>
      <w:marLeft w:val="0"/>
      <w:marRight w:val="0"/>
      <w:marTop w:val="0"/>
      <w:marBottom w:val="0"/>
      <w:divBdr>
        <w:top w:val="none" w:sz="0" w:space="0" w:color="auto"/>
        <w:left w:val="none" w:sz="0" w:space="0" w:color="auto"/>
        <w:bottom w:val="none" w:sz="0" w:space="0" w:color="auto"/>
        <w:right w:val="none" w:sz="0" w:space="0" w:color="auto"/>
      </w:divBdr>
    </w:div>
    <w:div w:id="1409882356">
      <w:bodyDiv w:val="1"/>
      <w:marLeft w:val="0"/>
      <w:marRight w:val="0"/>
      <w:marTop w:val="0"/>
      <w:marBottom w:val="0"/>
      <w:divBdr>
        <w:top w:val="none" w:sz="0" w:space="0" w:color="auto"/>
        <w:left w:val="none" w:sz="0" w:space="0" w:color="auto"/>
        <w:bottom w:val="none" w:sz="0" w:space="0" w:color="auto"/>
        <w:right w:val="none" w:sz="0" w:space="0" w:color="auto"/>
      </w:divBdr>
    </w:div>
    <w:div w:id="1433361042">
      <w:bodyDiv w:val="1"/>
      <w:marLeft w:val="0"/>
      <w:marRight w:val="0"/>
      <w:marTop w:val="0"/>
      <w:marBottom w:val="0"/>
      <w:divBdr>
        <w:top w:val="none" w:sz="0" w:space="0" w:color="auto"/>
        <w:left w:val="none" w:sz="0" w:space="0" w:color="auto"/>
        <w:bottom w:val="none" w:sz="0" w:space="0" w:color="auto"/>
        <w:right w:val="none" w:sz="0" w:space="0" w:color="auto"/>
      </w:divBdr>
    </w:div>
    <w:div w:id="1467233717">
      <w:bodyDiv w:val="1"/>
      <w:marLeft w:val="0"/>
      <w:marRight w:val="0"/>
      <w:marTop w:val="0"/>
      <w:marBottom w:val="0"/>
      <w:divBdr>
        <w:top w:val="none" w:sz="0" w:space="0" w:color="auto"/>
        <w:left w:val="none" w:sz="0" w:space="0" w:color="auto"/>
        <w:bottom w:val="none" w:sz="0" w:space="0" w:color="auto"/>
        <w:right w:val="none" w:sz="0" w:space="0" w:color="auto"/>
      </w:divBdr>
    </w:div>
    <w:div w:id="1472937378">
      <w:bodyDiv w:val="1"/>
      <w:marLeft w:val="0"/>
      <w:marRight w:val="0"/>
      <w:marTop w:val="0"/>
      <w:marBottom w:val="0"/>
      <w:divBdr>
        <w:top w:val="none" w:sz="0" w:space="0" w:color="auto"/>
        <w:left w:val="none" w:sz="0" w:space="0" w:color="auto"/>
        <w:bottom w:val="none" w:sz="0" w:space="0" w:color="auto"/>
        <w:right w:val="none" w:sz="0" w:space="0" w:color="auto"/>
      </w:divBdr>
      <w:divsChild>
        <w:div w:id="1559242543">
          <w:marLeft w:val="446"/>
          <w:marRight w:val="0"/>
          <w:marTop w:val="90"/>
          <w:marBottom w:val="0"/>
          <w:divBdr>
            <w:top w:val="none" w:sz="0" w:space="0" w:color="auto"/>
            <w:left w:val="none" w:sz="0" w:space="0" w:color="auto"/>
            <w:bottom w:val="none" w:sz="0" w:space="0" w:color="auto"/>
            <w:right w:val="none" w:sz="0" w:space="0" w:color="auto"/>
          </w:divBdr>
        </w:div>
        <w:div w:id="1741054401">
          <w:marLeft w:val="446"/>
          <w:marRight w:val="0"/>
          <w:marTop w:val="90"/>
          <w:marBottom w:val="0"/>
          <w:divBdr>
            <w:top w:val="none" w:sz="0" w:space="0" w:color="auto"/>
            <w:left w:val="none" w:sz="0" w:space="0" w:color="auto"/>
            <w:bottom w:val="none" w:sz="0" w:space="0" w:color="auto"/>
            <w:right w:val="none" w:sz="0" w:space="0" w:color="auto"/>
          </w:divBdr>
        </w:div>
        <w:div w:id="1910461318">
          <w:marLeft w:val="446"/>
          <w:marRight w:val="0"/>
          <w:marTop w:val="90"/>
          <w:marBottom w:val="0"/>
          <w:divBdr>
            <w:top w:val="none" w:sz="0" w:space="0" w:color="auto"/>
            <w:left w:val="none" w:sz="0" w:space="0" w:color="auto"/>
            <w:bottom w:val="none" w:sz="0" w:space="0" w:color="auto"/>
            <w:right w:val="none" w:sz="0" w:space="0" w:color="auto"/>
          </w:divBdr>
        </w:div>
        <w:div w:id="2105300036">
          <w:marLeft w:val="446"/>
          <w:marRight w:val="0"/>
          <w:marTop w:val="90"/>
          <w:marBottom w:val="0"/>
          <w:divBdr>
            <w:top w:val="none" w:sz="0" w:space="0" w:color="auto"/>
            <w:left w:val="none" w:sz="0" w:space="0" w:color="auto"/>
            <w:bottom w:val="none" w:sz="0" w:space="0" w:color="auto"/>
            <w:right w:val="none" w:sz="0" w:space="0" w:color="auto"/>
          </w:divBdr>
        </w:div>
      </w:divsChild>
    </w:div>
    <w:div w:id="1511487448">
      <w:bodyDiv w:val="1"/>
      <w:marLeft w:val="0"/>
      <w:marRight w:val="0"/>
      <w:marTop w:val="0"/>
      <w:marBottom w:val="0"/>
      <w:divBdr>
        <w:top w:val="none" w:sz="0" w:space="0" w:color="auto"/>
        <w:left w:val="none" w:sz="0" w:space="0" w:color="auto"/>
        <w:bottom w:val="none" w:sz="0" w:space="0" w:color="auto"/>
        <w:right w:val="none" w:sz="0" w:space="0" w:color="auto"/>
      </w:divBdr>
    </w:div>
    <w:div w:id="1549299002">
      <w:bodyDiv w:val="1"/>
      <w:marLeft w:val="0"/>
      <w:marRight w:val="0"/>
      <w:marTop w:val="0"/>
      <w:marBottom w:val="0"/>
      <w:divBdr>
        <w:top w:val="none" w:sz="0" w:space="0" w:color="auto"/>
        <w:left w:val="none" w:sz="0" w:space="0" w:color="auto"/>
        <w:bottom w:val="none" w:sz="0" w:space="0" w:color="auto"/>
        <w:right w:val="none" w:sz="0" w:space="0" w:color="auto"/>
      </w:divBdr>
    </w:div>
    <w:div w:id="1554459375">
      <w:bodyDiv w:val="1"/>
      <w:marLeft w:val="0"/>
      <w:marRight w:val="0"/>
      <w:marTop w:val="0"/>
      <w:marBottom w:val="0"/>
      <w:divBdr>
        <w:top w:val="none" w:sz="0" w:space="0" w:color="auto"/>
        <w:left w:val="none" w:sz="0" w:space="0" w:color="auto"/>
        <w:bottom w:val="none" w:sz="0" w:space="0" w:color="auto"/>
        <w:right w:val="none" w:sz="0" w:space="0" w:color="auto"/>
      </w:divBdr>
    </w:div>
    <w:div w:id="1583248358">
      <w:bodyDiv w:val="1"/>
      <w:marLeft w:val="0"/>
      <w:marRight w:val="0"/>
      <w:marTop w:val="0"/>
      <w:marBottom w:val="0"/>
      <w:divBdr>
        <w:top w:val="none" w:sz="0" w:space="0" w:color="auto"/>
        <w:left w:val="none" w:sz="0" w:space="0" w:color="auto"/>
        <w:bottom w:val="none" w:sz="0" w:space="0" w:color="auto"/>
        <w:right w:val="none" w:sz="0" w:space="0" w:color="auto"/>
      </w:divBdr>
    </w:div>
    <w:div w:id="1605725494">
      <w:bodyDiv w:val="1"/>
      <w:marLeft w:val="0"/>
      <w:marRight w:val="0"/>
      <w:marTop w:val="0"/>
      <w:marBottom w:val="0"/>
      <w:divBdr>
        <w:top w:val="none" w:sz="0" w:space="0" w:color="auto"/>
        <w:left w:val="none" w:sz="0" w:space="0" w:color="auto"/>
        <w:bottom w:val="none" w:sz="0" w:space="0" w:color="auto"/>
        <w:right w:val="none" w:sz="0" w:space="0" w:color="auto"/>
      </w:divBdr>
    </w:div>
    <w:div w:id="1712680296">
      <w:bodyDiv w:val="1"/>
      <w:marLeft w:val="0"/>
      <w:marRight w:val="0"/>
      <w:marTop w:val="0"/>
      <w:marBottom w:val="0"/>
      <w:divBdr>
        <w:top w:val="none" w:sz="0" w:space="0" w:color="auto"/>
        <w:left w:val="none" w:sz="0" w:space="0" w:color="auto"/>
        <w:bottom w:val="none" w:sz="0" w:space="0" w:color="auto"/>
        <w:right w:val="none" w:sz="0" w:space="0" w:color="auto"/>
      </w:divBdr>
    </w:div>
    <w:div w:id="1717192330">
      <w:bodyDiv w:val="1"/>
      <w:marLeft w:val="0"/>
      <w:marRight w:val="0"/>
      <w:marTop w:val="0"/>
      <w:marBottom w:val="0"/>
      <w:divBdr>
        <w:top w:val="none" w:sz="0" w:space="0" w:color="auto"/>
        <w:left w:val="none" w:sz="0" w:space="0" w:color="auto"/>
        <w:bottom w:val="none" w:sz="0" w:space="0" w:color="auto"/>
        <w:right w:val="none" w:sz="0" w:space="0" w:color="auto"/>
      </w:divBdr>
    </w:div>
    <w:div w:id="1737850698">
      <w:bodyDiv w:val="1"/>
      <w:marLeft w:val="0"/>
      <w:marRight w:val="0"/>
      <w:marTop w:val="0"/>
      <w:marBottom w:val="0"/>
      <w:divBdr>
        <w:top w:val="none" w:sz="0" w:space="0" w:color="auto"/>
        <w:left w:val="none" w:sz="0" w:space="0" w:color="auto"/>
        <w:bottom w:val="none" w:sz="0" w:space="0" w:color="auto"/>
        <w:right w:val="none" w:sz="0" w:space="0" w:color="auto"/>
      </w:divBdr>
    </w:div>
    <w:div w:id="1764689692">
      <w:bodyDiv w:val="1"/>
      <w:marLeft w:val="0"/>
      <w:marRight w:val="0"/>
      <w:marTop w:val="0"/>
      <w:marBottom w:val="0"/>
      <w:divBdr>
        <w:top w:val="none" w:sz="0" w:space="0" w:color="auto"/>
        <w:left w:val="none" w:sz="0" w:space="0" w:color="auto"/>
        <w:bottom w:val="none" w:sz="0" w:space="0" w:color="auto"/>
        <w:right w:val="none" w:sz="0" w:space="0" w:color="auto"/>
      </w:divBdr>
    </w:div>
    <w:div w:id="1789353247">
      <w:bodyDiv w:val="1"/>
      <w:marLeft w:val="0"/>
      <w:marRight w:val="0"/>
      <w:marTop w:val="0"/>
      <w:marBottom w:val="0"/>
      <w:divBdr>
        <w:top w:val="none" w:sz="0" w:space="0" w:color="auto"/>
        <w:left w:val="none" w:sz="0" w:space="0" w:color="auto"/>
        <w:bottom w:val="none" w:sz="0" w:space="0" w:color="auto"/>
        <w:right w:val="none" w:sz="0" w:space="0" w:color="auto"/>
      </w:divBdr>
    </w:div>
    <w:div w:id="1875384636">
      <w:bodyDiv w:val="1"/>
      <w:marLeft w:val="0"/>
      <w:marRight w:val="0"/>
      <w:marTop w:val="0"/>
      <w:marBottom w:val="0"/>
      <w:divBdr>
        <w:top w:val="none" w:sz="0" w:space="0" w:color="auto"/>
        <w:left w:val="none" w:sz="0" w:space="0" w:color="auto"/>
        <w:bottom w:val="none" w:sz="0" w:space="0" w:color="auto"/>
        <w:right w:val="none" w:sz="0" w:space="0" w:color="auto"/>
      </w:divBdr>
    </w:div>
    <w:div w:id="1884634897">
      <w:bodyDiv w:val="1"/>
      <w:marLeft w:val="0"/>
      <w:marRight w:val="0"/>
      <w:marTop w:val="0"/>
      <w:marBottom w:val="0"/>
      <w:divBdr>
        <w:top w:val="none" w:sz="0" w:space="0" w:color="auto"/>
        <w:left w:val="none" w:sz="0" w:space="0" w:color="auto"/>
        <w:bottom w:val="none" w:sz="0" w:space="0" w:color="auto"/>
        <w:right w:val="none" w:sz="0" w:space="0" w:color="auto"/>
      </w:divBdr>
      <w:divsChild>
        <w:div w:id="1205412096">
          <w:marLeft w:val="403"/>
          <w:marRight w:val="0"/>
          <w:marTop w:val="0"/>
          <w:marBottom w:val="0"/>
          <w:divBdr>
            <w:top w:val="none" w:sz="0" w:space="0" w:color="auto"/>
            <w:left w:val="none" w:sz="0" w:space="0" w:color="auto"/>
            <w:bottom w:val="none" w:sz="0" w:space="0" w:color="auto"/>
            <w:right w:val="none" w:sz="0" w:space="0" w:color="auto"/>
          </w:divBdr>
        </w:div>
        <w:div w:id="1804035472">
          <w:marLeft w:val="403"/>
          <w:marRight w:val="0"/>
          <w:marTop w:val="0"/>
          <w:marBottom w:val="0"/>
          <w:divBdr>
            <w:top w:val="none" w:sz="0" w:space="0" w:color="auto"/>
            <w:left w:val="none" w:sz="0" w:space="0" w:color="auto"/>
            <w:bottom w:val="none" w:sz="0" w:space="0" w:color="auto"/>
            <w:right w:val="none" w:sz="0" w:space="0" w:color="auto"/>
          </w:divBdr>
        </w:div>
        <w:div w:id="983241782">
          <w:marLeft w:val="403"/>
          <w:marRight w:val="0"/>
          <w:marTop w:val="0"/>
          <w:marBottom w:val="0"/>
          <w:divBdr>
            <w:top w:val="none" w:sz="0" w:space="0" w:color="auto"/>
            <w:left w:val="none" w:sz="0" w:space="0" w:color="auto"/>
            <w:bottom w:val="none" w:sz="0" w:space="0" w:color="auto"/>
            <w:right w:val="none" w:sz="0" w:space="0" w:color="auto"/>
          </w:divBdr>
        </w:div>
        <w:div w:id="1440491065">
          <w:marLeft w:val="403"/>
          <w:marRight w:val="0"/>
          <w:marTop w:val="0"/>
          <w:marBottom w:val="0"/>
          <w:divBdr>
            <w:top w:val="none" w:sz="0" w:space="0" w:color="auto"/>
            <w:left w:val="none" w:sz="0" w:space="0" w:color="auto"/>
            <w:bottom w:val="none" w:sz="0" w:space="0" w:color="auto"/>
            <w:right w:val="none" w:sz="0" w:space="0" w:color="auto"/>
          </w:divBdr>
        </w:div>
        <w:div w:id="1132677398">
          <w:marLeft w:val="403"/>
          <w:marRight w:val="0"/>
          <w:marTop w:val="0"/>
          <w:marBottom w:val="0"/>
          <w:divBdr>
            <w:top w:val="none" w:sz="0" w:space="0" w:color="auto"/>
            <w:left w:val="none" w:sz="0" w:space="0" w:color="auto"/>
            <w:bottom w:val="none" w:sz="0" w:space="0" w:color="auto"/>
            <w:right w:val="none" w:sz="0" w:space="0" w:color="auto"/>
          </w:divBdr>
        </w:div>
        <w:div w:id="240801054">
          <w:marLeft w:val="403"/>
          <w:marRight w:val="0"/>
          <w:marTop w:val="0"/>
          <w:marBottom w:val="0"/>
          <w:divBdr>
            <w:top w:val="none" w:sz="0" w:space="0" w:color="auto"/>
            <w:left w:val="none" w:sz="0" w:space="0" w:color="auto"/>
            <w:bottom w:val="none" w:sz="0" w:space="0" w:color="auto"/>
            <w:right w:val="none" w:sz="0" w:space="0" w:color="auto"/>
          </w:divBdr>
        </w:div>
        <w:div w:id="30811350">
          <w:marLeft w:val="403"/>
          <w:marRight w:val="0"/>
          <w:marTop w:val="0"/>
          <w:marBottom w:val="0"/>
          <w:divBdr>
            <w:top w:val="none" w:sz="0" w:space="0" w:color="auto"/>
            <w:left w:val="none" w:sz="0" w:space="0" w:color="auto"/>
            <w:bottom w:val="none" w:sz="0" w:space="0" w:color="auto"/>
            <w:right w:val="none" w:sz="0" w:space="0" w:color="auto"/>
          </w:divBdr>
        </w:div>
        <w:div w:id="587689167">
          <w:marLeft w:val="403"/>
          <w:marRight w:val="0"/>
          <w:marTop w:val="0"/>
          <w:marBottom w:val="0"/>
          <w:divBdr>
            <w:top w:val="none" w:sz="0" w:space="0" w:color="auto"/>
            <w:left w:val="none" w:sz="0" w:space="0" w:color="auto"/>
            <w:bottom w:val="none" w:sz="0" w:space="0" w:color="auto"/>
            <w:right w:val="none" w:sz="0" w:space="0" w:color="auto"/>
          </w:divBdr>
        </w:div>
      </w:divsChild>
    </w:div>
    <w:div w:id="2003462152">
      <w:bodyDiv w:val="1"/>
      <w:marLeft w:val="0"/>
      <w:marRight w:val="0"/>
      <w:marTop w:val="0"/>
      <w:marBottom w:val="0"/>
      <w:divBdr>
        <w:top w:val="none" w:sz="0" w:space="0" w:color="auto"/>
        <w:left w:val="none" w:sz="0" w:space="0" w:color="auto"/>
        <w:bottom w:val="none" w:sz="0" w:space="0" w:color="auto"/>
        <w:right w:val="none" w:sz="0" w:space="0" w:color="auto"/>
      </w:divBdr>
    </w:div>
    <w:div w:id="2053458287">
      <w:bodyDiv w:val="1"/>
      <w:marLeft w:val="0"/>
      <w:marRight w:val="0"/>
      <w:marTop w:val="0"/>
      <w:marBottom w:val="0"/>
      <w:divBdr>
        <w:top w:val="none" w:sz="0" w:space="0" w:color="auto"/>
        <w:left w:val="none" w:sz="0" w:space="0" w:color="auto"/>
        <w:bottom w:val="none" w:sz="0" w:space="0" w:color="auto"/>
        <w:right w:val="none" w:sz="0" w:space="0" w:color="auto"/>
      </w:divBdr>
    </w:div>
    <w:div w:id="2064939766">
      <w:bodyDiv w:val="1"/>
      <w:marLeft w:val="0"/>
      <w:marRight w:val="0"/>
      <w:marTop w:val="0"/>
      <w:marBottom w:val="0"/>
      <w:divBdr>
        <w:top w:val="none" w:sz="0" w:space="0" w:color="auto"/>
        <w:left w:val="none" w:sz="0" w:space="0" w:color="auto"/>
        <w:bottom w:val="none" w:sz="0" w:space="0" w:color="auto"/>
        <w:right w:val="none" w:sz="0" w:space="0" w:color="auto"/>
      </w:divBdr>
    </w:div>
    <w:div w:id="2075003239">
      <w:bodyDiv w:val="1"/>
      <w:marLeft w:val="0"/>
      <w:marRight w:val="0"/>
      <w:marTop w:val="0"/>
      <w:marBottom w:val="0"/>
      <w:divBdr>
        <w:top w:val="none" w:sz="0" w:space="0" w:color="auto"/>
        <w:left w:val="none" w:sz="0" w:space="0" w:color="auto"/>
        <w:bottom w:val="none" w:sz="0" w:space="0" w:color="auto"/>
        <w:right w:val="none" w:sz="0" w:space="0" w:color="auto"/>
      </w:divBdr>
    </w:div>
    <w:div w:id="2112893089">
      <w:bodyDiv w:val="1"/>
      <w:marLeft w:val="0"/>
      <w:marRight w:val="0"/>
      <w:marTop w:val="0"/>
      <w:marBottom w:val="0"/>
      <w:divBdr>
        <w:top w:val="none" w:sz="0" w:space="0" w:color="auto"/>
        <w:left w:val="none" w:sz="0" w:space="0" w:color="auto"/>
        <w:bottom w:val="none" w:sz="0" w:space="0" w:color="auto"/>
        <w:right w:val="none" w:sz="0" w:space="0" w:color="auto"/>
      </w:divBdr>
      <w:divsChild>
        <w:div w:id="397482159">
          <w:marLeft w:val="720"/>
          <w:marRight w:val="0"/>
          <w:marTop w:val="360"/>
          <w:marBottom w:val="0"/>
          <w:divBdr>
            <w:top w:val="none" w:sz="0" w:space="0" w:color="auto"/>
            <w:left w:val="none" w:sz="0" w:space="0" w:color="auto"/>
            <w:bottom w:val="none" w:sz="0" w:space="0" w:color="auto"/>
            <w:right w:val="none" w:sz="0" w:space="0" w:color="auto"/>
          </w:divBdr>
        </w:div>
        <w:div w:id="944995958">
          <w:marLeft w:val="720"/>
          <w:marRight w:val="0"/>
          <w:marTop w:val="360"/>
          <w:marBottom w:val="0"/>
          <w:divBdr>
            <w:top w:val="none" w:sz="0" w:space="0" w:color="auto"/>
            <w:left w:val="none" w:sz="0" w:space="0" w:color="auto"/>
            <w:bottom w:val="none" w:sz="0" w:space="0" w:color="auto"/>
            <w:right w:val="none" w:sz="0" w:space="0" w:color="auto"/>
          </w:divBdr>
        </w:div>
        <w:div w:id="1338003478">
          <w:marLeft w:val="72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mar\Documents\2014-2020_B&#381;&#362;P\KPP_2014-2020\STATISTIKA\Savaitin&#279;%20statistika%20KPP%202014-2020%202018-03-2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(GRAFIKUI)'!$D$7:$JZ$7</c:f>
            </c:numRef>
          </c:val>
          <c:extLst>
            <c:ext xmlns:c16="http://schemas.microsoft.com/office/drawing/2014/chart" uri="{C3380CC4-5D6E-409C-BE32-E72D297353CC}">
              <c16:uniqueId val="{00000000-B064-4BD0-9451-1FCF20AC19EC}"/>
            </c:ext>
          </c:extLst>
        </c:ser>
        <c:ser>
          <c:idx val="1"/>
          <c:order val="1"/>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(GRAFIKUI)'!$D$8:$JZ$8</c:f>
            </c:numRef>
          </c:val>
          <c:extLst>
            <c:ext xmlns:c16="http://schemas.microsoft.com/office/drawing/2014/chart" uri="{C3380CC4-5D6E-409C-BE32-E72D297353CC}">
              <c16:uniqueId val="{00000001-B064-4BD0-9451-1FCF20AC19EC}"/>
            </c:ext>
          </c:extLst>
        </c:ser>
        <c:ser>
          <c:idx val="2"/>
          <c:order val="2"/>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(GRAFIKUI)'!$D$9:$JZ$9</c:f>
            </c:numRef>
          </c:val>
          <c:extLst>
            <c:ext xmlns:c16="http://schemas.microsoft.com/office/drawing/2014/chart" uri="{C3380CC4-5D6E-409C-BE32-E72D297353CC}">
              <c16:uniqueId val="{00000002-B064-4BD0-9451-1FCF20AC19EC}"/>
            </c:ext>
          </c:extLst>
        </c:ser>
        <c:ser>
          <c:idx val="3"/>
          <c:order val="3"/>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(GRAFIKUI)'!$D$10:$JZ$10</c:f>
            </c:numRef>
          </c:val>
          <c:extLst>
            <c:ext xmlns:c16="http://schemas.microsoft.com/office/drawing/2014/chart" uri="{C3380CC4-5D6E-409C-BE32-E72D297353CC}">
              <c16:uniqueId val="{00000003-B064-4BD0-9451-1FCF20AC19EC}"/>
            </c:ext>
          </c:extLst>
        </c:ser>
        <c:ser>
          <c:idx val="4"/>
          <c:order val="4"/>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(GRAFIKUI)'!$D$11:$JZ$11</c:f>
            </c:numRef>
          </c:val>
          <c:extLst>
            <c:ext xmlns:c16="http://schemas.microsoft.com/office/drawing/2014/chart" uri="{C3380CC4-5D6E-409C-BE32-E72D297353CC}">
              <c16:uniqueId val="{00000004-B064-4BD0-9451-1FCF20AC19EC}"/>
            </c:ext>
          </c:extLst>
        </c:ser>
        <c:ser>
          <c:idx val="5"/>
          <c:order val="5"/>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(GRAFIKUI)'!$D$12:$JZ$12</c:f>
            </c:numRef>
          </c:val>
          <c:extLst>
            <c:ext xmlns:c16="http://schemas.microsoft.com/office/drawing/2014/chart" uri="{C3380CC4-5D6E-409C-BE32-E72D297353CC}">
              <c16:uniqueId val="{00000005-B064-4BD0-9451-1FCF20AC19EC}"/>
            </c:ext>
          </c:extLst>
        </c:ser>
        <c:ser>
          <c:idx val="6"/>
          <c:order val="6"/>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(GRAFIKUI)'!$D$13:$JZ$13</c:f>
            </c:numRef>
          </c:val>
          <c:extLst>
            <c:ext xmlns:c16="http://schemas.microsoft.com/office/drawing/2014/chart" uri="{C3380CC4-5D6E-409C-BE32-E72D297353CC}">
              <c16:uniqueId val="{00000006-B064-4BD0-9451-1FCF20AC19EC}"/>
            </c:ext>
          </c:extLst>
        </c:ser>
        <c:ser>
          <c:idx val="7"/>
          <c:order val="7"/>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(GRAFIKUI)'!$D$14:$JZ$14</c:f>
            </c:numRef>
          </c:val>
          <c:extLst>
            <c:ext xmlns:c16="http://schemas.microsoft.com/office/drawing/2014/chart" uri="{C3380CC4-5D6E-409C-BE32-E72D297353CC}">
              <c16:uniqueId val="{00000007-B064-4BD0-9451-1FCF20AC19EC}"/>
            </c:ext>
          </c:extLst>
        </c:ser>
        <c:ser>
          <c:idx val="8"/>
          <c:order val="8"/>
          <c:spPr>
            <a:solidFill>
              <a:schemeClr val="accent3">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(GRAFIKUI)'!$D$15:$JZ$15</c:f>
            </c:numRef>
          </c:val>
          <c:extLst>
            <c:ext xmlns:c16="http://schemas.microsoft.com/office/drawing/2014/chart" uri="{C3380CC4-5D6E-409C-BE32-E72D297353CC}">
              <c16:uniqueId val="{00000008-B064-4BD0-9451-1FCF20AC19EC}"/>
            </c:ext>
          </c:extLst>
        </c:ser>
        <c:ser>
          <c:idx val="9"/>
          <c:order val="9"/>
          <c:spPr>
            <a:solidFill>
              <a:schemeClr val="accent4">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(GRAFIKUI)'!$D$16:$JZ$16</c:f>
            </c:numRef>
          </c:val>
          <c:extLst>
            <c:ext xmlns:c16="http://schemas.microsoft.com/office/drawing/2014/chart" uri="{C3380CC4-5D6E-409C-BE32-E72D297353CC}">
              <c16:uniqueId val="{00000009-B064-4BD0-9451-1FCF20AC19EC}"/>
            </c:ext>
          </c:extLst>
        </c:ser>
        <c:ser>
          <c:idx val="10"/>
          <c:order val="10"/>
          <c:spPr>
            <a:solidFill>
              <a:schemeClr val="accent5">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(GRAFIKUI)'!$D$17:$JZ$17</c:f>
            </c:numRef>
          </c:val>
          <c:extLst>
            <c:ext xmlns:c16="http://schemas.microsoft.com/office/drawing/2014/chart" uri="{C3380CC4-5D6E-409C-BE32-E72D297353CC}">
              <c16:uniqueId val="{0000000A-B064-4BD0-9451-1FCF20AC19EC}"/>
            </c:ext>
          </c:extLst>
        </c:ser>
        <c:ser>
          <c:idx val="11"/>
          <c:order val="11"/>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(GRAFIKUI)'!$D$18:$JZ$18</c:f>
            </c:numRef>
          </c:val>
          <c:extLst>
            <c:ext xmlns:c16="http://schemas.microsoft.com/office/drawing/2014/chart" uri="{C3380CC4-5D6E-409C-BE32-E72D297353CC}">
              <c16:uniqueId val="{0000000B-B064-4BD0-9451-1FCF20AC19EC}"/>
            </c:ext>
          </c:extLst>
        </c:ser>
        <c:ser>
          <c:idx val="12"/>
          <c:order val="12"/>
          <c:spPr>
            <a:solidFill>
              <a:schemeClr val="accent1">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(GRAFIKUI)'!$D$19:$JZ$19</c:f>
            </c:numRef>
          </c:val>
          <c:extLst>
            <c:ext xmlns:c16="http://schemas.microsoft.com/office/drawing/2014/chart" uri="{C3380CC4-5D6E-409C-BE32-E72D297353CC}">
              <c16:uniqueId val="{0000000C-B064-4BD0-9451-1FCF20AC19EC}"/>
            </c:ext>
          </c:extLst>
        </c:ser>
        <c:ser>
          <c:idx val="13"/>
          <c:order val="13"/>
          <c:spPr>
            <a:solidFill>
              <a:schemeClr val="accent2">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(GRAFIKUI)'!$D$20:$JZ$20</c:f>
            </c:numRef>
          </c:val>
          <c:extLst>
            <c:ext xmlns:c16="http://schemas.microsoft.com/office/drawing/2014/chart" uri="{C3380CC4-5D6E-409C-BE32-E72D297353CC}">
              <c16:uniqueId val="{0000000D-B064-4BD0-9451-1FCF20AC19EC}"/>
            </c:ext>
          </c:extLst>
        </c:ser>
        <c:ser>
          <c:idx val="14"/>
          <c:order val="14"/>
          <c:spPr>
            <a:solidFill>
              <a:schemeClr val="accent3">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(GRAFIKUI)'!$D$21:$JZ$21</c:f>
            </c:numRef>
          </c:val>
          <c:extLst>
            <c:ext xmlns:c16="http://schemas.microsoft.com/office/drawing/2014/chart" uri="{C3380CC4-5D6E-409C-BE32-E72D297353CC}">
              <c16:uniqueId val="{0000000E-B064-4BD0-9451-1FCF20AC19EC}"/>
            </c:ext>
          </c:extLst>
        </c:ser>
        <c:ser>
          <c:idx val="15"/>
          <c:order val="15"/>
          <c:spPr>
            <a:solidFill>
              <a:schemeClr val="accent4">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(GRAFIKUI)'!$D$22:$JZ$22</c:f>
            </c:numRef>
          </c:val>
          <c:extLst>
            <c:ext xmlns:c16="http://schemas.microsoft.com/office/drawing/2014/chart" uri="{C3380CC4-5D6E-409C-BE32-E72D297353CC}">
              <c16:uniqueId val="{0000000F-B064-4BD0-9451-1FCF20AC19EC}"/>
            </c:ext>
          </c:extLst>
        </c:ser>
        <c:ser>
          <c:idx val="16"/>
          <c:order val="16"/>
          <c:spPr>
            <a:solidFill>
              <a:schemeClr val="accent5">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(GRAFIKUI)'!$D$23:$JZ$23</c:f>
            </c:numRef>
          </c:val>
          <c:extLst>
            <c:ext xmlns:c16="http://schemas.microsoft.com/office/drawing/2014/chart" uri="{C3380CC4-5D6E-409C-BE32-E72D297353CC}">
              <c16:uniqueId val="{00000010-B064-4BD0-9451-1FCF20AC19EC}"/>
            </c:ext>
          </c:extLst>
        </c:ser>
        <c:ser>
          <c:idx val="17"/>
          <c:order val="17"/>
          <c:spPr>
            <a:solidFill>
              <a:schemeClr val="accent6">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(GRAFIKUI)'!$D$24:$JZ$24</c:f>
            </c:numRef>
          </c:val>
          <c:extLst>
            <c:ext xmlns:c16="http://schemas.microsoft.com/office/drawing/2014/chart" uri="{C3380CC4-5D6E-409C-BE32-E72D297353CC}">
              <c16:uniqueId val="{00000011-B064-4BD0-9451-1FCF20AC19EC}"/>
            </c:ext>
          </c:extLst>
        </c:ser>
        <c:ser>
          <c:idx val="18"/>
          <c:order val="18"/>
          <c:spPr>
            <a:solidFill>
              <a:schemeClr val="accent1">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(GRAFIKUI)'!$D$25:$JZ$25</c:f>
            </c:numRef>
          </c:val>
          <c:extLst>
            <c:ext xmlns:c16="http://schemas.microsoft.com/office/drawing/2014/chart" uri="{C3380CC4-5D6E-409C-BE32-E72D297353CC}">
              <c16:uniqueId val="{00000012-B064-4BD0-9451-1FCF20AC19EC}"/>
            </c:ext>
          </c:extLst>
        </c:ser>
        <c:ser>
          <c:idx val="19"/>
          <c:order val="19"/>
          <c:spPr>
            <a:solidFill>
              <a:schemeClr val="accent2">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(GRAFIKUI)'!$D$26:$JZ$26</c:f>
            </c:numRef>
          </c:val>
          <c:extLst>
            <c:ext xmlns:c16="http://schemas.microsoft.com/office/drawing/2014/chart" uri="{C3380CC4-5D6E-409C-BE32-E72D297353CC}">
              <c16:uniqueId val="{00000013-B064-4BD0-9451-1FCF20AC19EC}"/>
            </c:ext>
          </c:extLst>
        </c:ser>
        <c:ser>
          <c:idx val="20"/>
          <c:order val="20"/>
          <c:spPr>
            <a:solidFill>
              <a:schemeClr val="accent3">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(GRAFIKUI)'!$D$27:$JZ$27</c:f>
            </c:numRef>
          </c:val>
          <c:extLst>
            <c:ext xmlns:c16="http://schemas.microsoft.com/office/drawing/2014/chart" uri="{C3380CC4-5D6E-409C-BE32-E72D297353CC}">
              <c16:uniqueId val="{00000014-B064-4BD0-9451-1FCF20AC19EC}"/>
            </c:ext>
          </c:extLst>
        </c:ser>
        <c:ser>
          <c:idx val="21"/>
          <c:order val="21"/>
          <c:spPr>
            <a:solidFill>
              <a:schemeClr val="accent4">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(GRAFIKUI)'!$D$28:$JZ$28</c:f>
            </c:numRef>
          </c:val>
          <c:extLst>
            <c:ext xmlns:c16="http://schemas.microsoft.com/office/drawing/2014/chart" uri="{C3380CC4-5D6E-409C-BE32-E72D297353CC}">
              <c16:uniqueId val="{00000015-B064-4BD0-9451-1FCF20AC19EC}"/>
            </c:ext>
          </c:extLst>
        </c:ser>
        <c:ser>
          <c:idx val="22"/>
          <c:order val="22"/>
          <c:spPr>
            <a:solidFill>
              <a:schemeClr val="accent5">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(GRAFIKUI)'!$D$29:$JZ$29</c:f>
            </c:numRef>
          </c:val>
          <c:extLst>
            <c:ext xmlns:c16="http://schemas.microsoft.com/office/drawing/2014/chart" uri="{C3380CC4-5D6E-409C-BE32-E72D297353CC}">
              <c16:uniqueId val="{00000016-B064-4BD0-9451-1FCF20AC19EC}"/>
            </c:ext>
          </c:extLst>
        </c:ser>
        <c:ser>
          <c:idx val="23"/>
          <c:order val="23"/>
          <c:spPr>
            <a:solidFill>
              <a:schemeClr val="accent6">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(GRAFIKUI)'!$D$30:$JZ$30</c:f>
            </c:numRef>
          </c:val>
          <c:extLst>
            <c:ext xmlns:c16="http://schemas.microsoft.com/office/drawing/2014/chart" uri="{C3380CC4-5D6E-409C-BE32-E72D297353CC}">
              <c16:uniqueId val="{00000017-B064-4BD0-9451-1FCF20AC19EC}"/>
            </c:ext>
          </c:extLst>
        </c:ser>
        <c:ser>
          <c:idx val="24"/>
          <c:order val="24"/>
          <c:spPr>
            <a:solidFill>
              <a:schemeClr val="accent1">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(GRAFIKUI)'!$D$31:$JZ$31</c:f>
            </c:numRef>
          </c:val>
          <c:extLst>
            <c:ext xmlns:c16="http://schemas.microsoft.com/office/drawing/2014/chart" uri="{C3380CC4-5D6E-409C-BE32-E72D297353CC}">
              <c16:uniqueId val="{00000018-B064-4BD0-9451-1FCF20AC19EC}"/>
            </c:ext>
          </c:extLst>
        </c:ser>
        <c:ser>
          <c:idx val="25"/>
          <c:order val="25"/>
          <c:spPr>
            <a:solidFill>
              <a:schemeClr val="accent2">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(GRAFIKUI)'!$D$32:$JZ$32</c:f>
            </c:numRef>
          </c:val>
          <c:extLst>
            <c:ext xmlns:c16="http://schemas.microsoft.com/office/drawing/2014/chart" uri="{C3380CC4-5D6E-409C-BE32-E72D297353CC}">
              <c16:uniqueId val="{00000019-B064-4BD0-9451-1FCF20AC19EC}"/>
            </c:ext>
          </c:extLst>
        </c:ser>
        <c:ser>
          <c:idx val="26"/>
          <c:order val="26"/>
          <c:spPr>
            <a:solidFill>
              <a:schemeClr val="accent3">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(GRAFIKUI)'!$D$33:$JZ$33</c:f>
            </c:numRef>
          </c:val>
          <c:extLst>
            <c:ext xmlns:c16="http://schemas.microsoft.com/office/drawing/2014/chart" uri="{C3380CC4-5D6E-409C-BE32-E72D297353CC}">
              <c16:uniqueId val="{0000001A-B064-4BD0-9451-1FCF20AC19EC}"/>
            </c:ext>
          </c:extLst>
        </c:ser>
        <c:ser>
          <c:idx val="27"/>
          <c:order val="27"/>
          <c:spPr>
            <a:solidFill>
              <a:schemeClr val="accent4">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(GRAFIKUI)'!$D$34:$JZ$34</c:f>
            </c:numRef>
          </c:val>
          <c:extLst>
            <c:ext xmlns:c16="http://schemas.microsoft.com/office/drawing/2014/chart" uri="{C3380CC4-5D6E-409C-BE32-E72D297353CC}">
              <c16:uniqueId val="{0000001B-B064-4BD0-9451-1FCF20AC19EC}"/>
            </c:ext>
          </c:extLst>
        </c:ser>
        <c:ser>
          <c:idx val="28"/>
          <c:order val="28"/>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(GRAFIKUI)'!$D$35:$JZ$35</c:f>
            </c:numRef>
          </c:val>
          <c:extLst>
            <c:ext xmlns:c16="http://schemas.microsoft.com/office/drawing/2014/chart" uri="{C3380CC4-5D6E-409C-BE32-E72D297353CC}">
              <c16:uniqueId val="{0000001C-B064-4BD0-9451-1FCF20AC19EC}"/>
            </c:ext>
          </c:extLst>
        </c:ser>
        <c:ser>
          <c:idx val="29"/>
          <c:order val="29"/>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(GRAFIKUI)'!$D$36:$JZ$36</c:f>
            </c:numRef>
          </c:val>
          <c:extLst>
            <c:ext xmlns:c16="http://schemas.microsoft.com/office/drawing/2014/chart" uri="{C3380CC4-5D6E-409C-BE32-E72D297353CC}">
              <c16:uniqueId val="{0000001D-B064-4BD0-9451-1FCF20AC19EC}"/>
            </c:ext>
          </c:extLst>
        </c:ser>
        <c:ser>
          <c:idx val="30"/>
          <c:order val="30"/>
          <c:spPr>
            <a:solidFill>
              <a:schemeClr val="accent1">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(GRAFIKUI)'!$D$37:$JZ$37</c:f>
            </c:numRef>
          </c:val>
          <c:extLst>
            <c:ext xmlns:c16="http://schemas.microsoft.com/office/drawing/2014/chart" uri="{C3380CC4-5D6E-409C-BE32-E72D297353CC}">
              <c16:uniqueId val="{0000001E-B064-4BD0-9451-1FCF20AC19EC}"/>
            </c:ext>
          </c:extLst>
        </c:ser>
        <c:ser>
          <c:idx val="31"/>
          <c:order val="31"/>
          <c:spPr>
            <a:solidFill>
              <a:schemeClr val="accent2">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(GRAFIKUI)'!$D$38:$JZ$38</c:f>
            </c:numRef>
          </c:val>
          <c:extLst>
            <c:ext xmlns:c16="http://schemas.microsoft.com/office/drawing/2014/chart" uri="{C3380CC4-5D6E-409C-BE32-E72D297353CC}">
              <c16:uniqueId val="{0000001F-B064-4BD0-9451-1FCF20AC19EC}"/>
            </c:ext>
          </c:extLst>
        </c:ser>
        <c:ser>
          <c:idx val="32"/>
          <c:order val="32"/>
          <c:spPr>
            <a:solidFill>
              <a:schemeClr val="accent3">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(GRAFIKUI)'!$D$39:$JZ$39</c:f>
            </c:numRef>
          </c:val>
          <c:extLst>
            <c:ext xmlns:c16="http://schemas.microsoft.com/office/drawing/2014/chart" uri="{C3380CC4-5D6E-409C-BE32-E72D297353CC}">
              <c16:uniqueId val="{00000020-B064-4BD0-9451-1FCF20AC19EC}"/>
            </c:ext>
          </c:extLst>
        </c:ser>
        <c:ser>
          <c:idx val="33"/>
          <c:order val="33"/>
          <c:spPr>
            <a:solidFill>
              <a:schemeClr val="accent4">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(GRAFIKUI)'!$D$40:$JZ$40</c:f>
            </c:numRef>
          </c:val>
          <c:extLst>
            <c:ext xmlns:c16="http://schemas.microsoft.com/office/drawing/2014/chart" uri="{C3380CC4-5D6E-409C-BE32-E72D297353CC}">
              <c16:uniqueId val="{00000021-B064-4BD0-9451-1FCF20AC19EC}"/>
            </c:ext>
          </c:extLst>
        </c:ser>
        <c:ser>
          <c:idx val="34"/>
          <c:order val="34"/>
          <c:spPr>
            <a:solidFill>
              <a:schemeClr val="accent5">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(GRAFIKUI)'!$D$41:$JZ$41</c:f>
            </c:numRef>
          </c:val>
          <c:extLst>
            <c:ext xmlns:c16="http://schemas.microsoft.com/office/drawing/2014/chart" uri="{C3380CC4-5D6E-409C-BE32-E72D297353CC}">
              <c16:uniqueId val="{00000022-B064-4BD0-9451-1FCF20AC19EC}"/>
            </c:ext>
          </c:extLst>
        </c:ser>
        <c:ser>
          <c:idx val="35"/>
          <c:order val="35"/>
          <c:spPr>
            <a:solidFill>
              <a:schemeClr val="accent6">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(GRAFIKUI)'!$D$42:$JZ$42</c:f>
            </c:numRef>
          </c:val>
          <c:extLst>
            <c:ext xmlns:c16="http://schemas.microsoft.com/office/drawing/2014/chart" uri="{C3380CC4-5D6E-409C-BE32-E72D297353CC}">
              <c16:uniqueId val="{00000023-B064-4BD0-9451-1FCF20AC19EC}"/>
            </c:ext>
          </c:extLst>
        </c:ser>
        <c:ser>
          <c:idx val="36"/>
          <c:order val="36"/>
          <c:spPr>
            <a:solidFill>
              <a:schemeClr val="accent1">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(GRAFIKUI)'!$D$43:$JZ$43</c:f>
            </c:numRef>
          </c:val>
          <c:extLst>
            <c:ext xmlns:c16="http://schemas.microsoft.com/office/drawing/2014/chart" uri="{C3380CC4-5D6E-409C-BE32-E72D297353CC}">
              <c16:uniqueId val="{00000024-B064-4BD0-9451-1FCF20AC19EC}"/>
            </c:ext>
          </c:extLst>
        </c:ser>
        <c:ser>
          <c:idx val="37"/>
          <c:order val="37"/>
          <c:spPr>
            <a:solidFill>
              <a:schemeClr val="accent2">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(GRAFIKUI)'!$D$44:$JZ$44</c:f>
            </c:numRef>
          </c:val>
          <c:extLst>
            <c:ext xmlns:c16="http://schemas.microsoft.com/office/drawing/2014/chart" uri="{C3380CC4-5D6E-409C-BE32-E72D297353CC}">
              <c16:uniqueId val="{00000025-B064-4BD0-9451-1FCF20AC19EC}"/>
            </c:ext>
          </c:extLst>
        </c:ser>
        <c:ser>
          <c:idx val="38"/>
          <c:order val="38"/>
          <c:spPr>
            <a:solidFill>
              <a:schemeClr val="accent3">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(GRAFIKUI)'!$D$45:$JZ$45</c:f>
            </c:numRef>
          </c:val>
          <c:extLst>
            <c:ext xmlns:c16="http://schemas.microsoft.com/office/drawing/2014/chart" uri="{C3380CC4-5D6E-409C-BE32-E72D297353CC}">
              <c16:uniqueId val="{00000026-B064-4BD0-9451-1FCF20AC19EC}"/>
            </c:ext>
          </c:extLst>
        </c:ser>
        <c:ser>
          <c:idx val="39"/>
          <c:order val="39"/>
          <c:spPr>
            <a:solidFill>
              <a:schemeClr val="accent4">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(GRAFIKUI)'!$D$46:$JZ$46</c:f>
            </c:numRef>
          </c:val>
          <c:extLst>
            <c:ext xmlns:c16="http://schemas.microsoft.com/office/drawing/2014/chart" uri="{C3380CC4-5D6E-409C-BE32-E72D297353CC}">
              <c16:uniqueId val="{00000027-B064-4BD0-9451-1FCF20AC19EC}"/>
            </c:ext>
          </c:extLst>
        </c:ser>
        <c:ser>
          <c:idx val="40"/>
          <c:order val="40"/>
          <c:spPr>
            <a:solidFill>
              <a:schemeClr val="accent5">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(GRAFIKUI)'!$D$47:$JZ$47</c:f>
            </c:numRef>
          </c:val>
          <c:extLst>
            <c:ext xmlns:c16="http://schemas.microsoft.com/office/drawing/2014/chart" uri="{C3380CC4-5D6E-409C-BE32-E72D297353CC}">
              <c16:uniqueId val="{00000028-B064-4BD0-9451-1FCF20AC19EC}"/>
            </c:ext>
          </c:extLst>
        </c:ser>
        <c:ser>
          <c:idx val="41"/>
          <c:order val="41"/>
          <c:spPr>
            <a:solidFill>
              <a:schemeClr val="accent6">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(GRAFIKUI)'!$D$48:$JZ$48</c:f>
            </c:numRef>
          </c:val>
          <c:extLst>
            <c:ext xmlns:c16="http://schemas.microsoft.com/office/drawing/2014/chart" uri="{C3380CC4-5D6E-409C-BE32-E72D297353CC}">
              <c16:uniqueId val="{00000029-B064-4BD0-9451-1FCF20AC19EC}"/>
            </c:ext>
          </c:extLst>
        </c:ser>
        <c:ser>
          <c:idx val="42"/>
          <c:order val="42"/>
          <c:spPr>
            <a:solidFill>
              <a:schemeClr val="accent1">
                <a:lumMod val="7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(GRAFIKUI)'!$D$49:$JZ$49</c:f>
            </c:numRef>
          </c:val>
          <c:extLst>
            <c:ext xmlns:c16="http://schemas.microsoft.com/office/drawing/2014/chart" uri="{C3380CC4-5D6E-409C-BE32-E72D297353CC}">
              <c16:uniqueId val="{0000002A-B064-4BD0-9451-1FCF20AC19EC}"/>
            </c:ext>
          </c:extLst>
        </c:ser>
        <c:ser>
          <c:idx val="43"/>
          <c:order val="43"/>
          <c:spPr>
            <a:solidFill>
              <a:schemeClr val="accent2">
                <a:lumMod val="7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(GRAFIKUI)'!$D$50:$JZ$50</c:f>
            </c:numRef>
          </c:val>
          <c:extLst>
            <c:ext xmlns:c16="http://schemas.microsoft.com/office/drawing/2014/chart" uri="{C3380CC4-5D6E-409C-BE32-E72D297353CC}">
              <c16:uniqueId val="{0000002B-B064-4BD0-9451-1FCF20AC19EC}"/>
            </c:ext>
          </c:extLst>
        </c:ser>
        <c:ser>
          <c:idx val="44"/>
          <c:order val="44"/>
          <c:spPr>
            <a:solidFill>
              <a:schemeClr val="accent3">
                <a:lumMod val="7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(GRAFIKUI)'!$D$51:$JZ$51</c:f>
            </c:numRef>
          </c:val>
          <c:extLst>
            <c:ext xmlns:c16="http://schemas.microsoft.com/office/drawing/2014/chart" uri="{C3380CC4-5D6E-409C-BE32-E72D297353CC}">
              <c16:uniqueId val="{0000002C-B064-4BD0-9451-1FCF20AC19EC}"/>
            </c:ext>
          </c:extLst>
        </c:ser>
        <c:ser>
          <c:idx val="45"/>
          <c:order val="45"/>
          <c:spPr>
            <a:solidFill>
              <a:schemeClr val="accent4">
                <a:lumMod val="7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(GRAFIKUI)'!$D$52:$JZ$52</c:f>
            </c:numRef>
          </c:val>
          <c:extLst>
            <c:ext xmlns:c16="http://schemas.microsoft.com/office/drawing/2014/chart" uri="{C3380CC4-5D6E-409C-BE32-E72D297353CC}">
              <c16:uniqueId val="{0000002D-B064-4BD0-9451-1FCF20AC19EC}"/>
            </c:ext>
          </c:extLst>
        </c:ser>
        <c:ser>
          <c:idx val="46"/>
          <c:order val="46"/>
          <c:spPr>
            <a:solidFill>
              <a:schemeClr val="accent5">
                <a:lumMod val="7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(GRAFIKUI)'!$D$53:$JZ$53</c:f>
            </c:numRef>
          </c:val>
          <c:extLst>
            <c:ext xmlns:c16="http://schemas.microsoft.com/office/drawing/2014/chart" uri="{C3380CC4-5D6E-409C-BE32-E72D297353CC}">
              <c16:uniqueId val="{0000002E-B064-4BD0-9451-1FCF20AC19EC}"/>
            </c:ext>
          </c:extLst>
        </c:ser>
        <c:ser>
          <c:idx val="47"/>
          <c:order val="47"/>
          <c:spPr>
            <a:solidFill>
              <a:schemeClr val="accent6">
                <a:lumMod val="7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(GRAFIKUI)'!$D$54:$JZ$54</c:f>
            </c:numRef>
          </c:val>
          <c:extLst>
            <c:ext xmlns:c16="http://schemas.microsoft.com/office/drawing/2014/chart" uri="{C3380CC4-5D6E-409C-BE32-E72D297353CC}">
              <c16:uniqueId val="{0000002F-B064-4BD0-9451-1FCF20AC19EC}"/>
            </c:ext>
          </c:extLst>
        </c:ser>
        <c:ser>
          <c:idx val="48"/>
          <c:order val="48"/>
          <c:spPr>
            <a:solidFill>
              <a:schemeClr val="accent1">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(GRAFIKUI)'!$D$55:$JZ$55</c:f>
            </c:numRef>
          </c:val>
          <c:extLst>
            <c:ext xmlns:c16="http://schemas.microsoft.com/office/drawing/2014/chart" uri="{C3380CC4-5D6E-409C-BE32-E72D297353CC}">
              <c16:uniqueId val="{00000030-B064-4BD0-9451-1FCF20AC19EC}"/>
            </c:ext>
          </c:extLst>
        </c:ser>
        <c:ser>
          <c:idx val="49"/>
          <c:order val="49"/>
          <c:spPr>
            <a:solidFill>
              <a:schemeClr val="accent2">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(GRAFIKUI)'!$D$56:$JZ$56</c:f>
            </c:numRef>
          </c:val>
          <c:extLst>
            <c:ext xmlns:c16="http://schemas.microsoft.com/office/drawing/2014/chart" uri="{C3380CC4-5D6E-409C-BE32-E72D297353CC}">
              <c16:uniqueId val="{00000031-B064-4BD0-9451-1FCF20AC19EC}"/>
            </c:ext>
          </c:extLst>
        </c:ser>
        <c:ser>
          <c:idx val="50"/>
          <c:order val="50"/>
          <c:spPr>
            <a:solidFill>
              <a:schemeClr val="accent3">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(GRAFIKUI)'!$D$57:$JZ$57</c:f>
            </c:numRef>
          </c:val>
          <c:extLst>
            <c:ext xmlns:c16="http://schemas.microsoft.com/office/drawing/2014/chart" uri="{C3380CC4-5D6E-409C-BE32-E72D297353CC}">
              <c16:uniqueId val="{00000032-B064-4BD0-9451-1FCF20AC19EC}"/>
            </c:ext>
          </c:extLst>
        </c:ser>
        <c:ser>
          <c:idx val="51"/>
          <c:order val="51"/>
          <c:spPr>
            <a:solidFill>
              <a:schemeClr val="accent4">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(GRAFIKUI)'!$D$58:$JZ$58</c:f>
            </c:numRef>
          </c:val>
          <c:extLst>
            <c:ext xmlns:c16="http://schemas.microsoft.com/office/drawing/2014/chart" uri="{C3380CC4-5D6E-409C-BE32-E72D297353CC}">
              <c16:uniqueId val="{00000033-B064-4BD0-9451-1FCF20AC19EC}"/>
            </c:ext>
          </c:extLst>
        </c:ser>
        <c:ser>
          <c:idx val="52"/>
          <c:order val="52"/>
          <c:spPr>
            <a:solidFill>
              <a:schemeClr val="accent5">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(GRAFIKUI)'!$D$59:$JZ$59</c:f>
            </c:numRef>
          </c:val>
          <c:extLst>
            <c:ext xmlns:c16="http://schemas.microsoft.com/office/drawing/2014/chart" uri="{C3380CC4-5D6E-409C-BE32-E72D297353CC}">
              <c16:uniqueId val="{00000034-B064-4BD0-9451-1FCF20AC19EC}"/>
            </c:ext>
          </c:extLst>
        </c:ser>
        <c:ser>
          <c:idx val="53"/>
          <c:order val="53"/>
          <c:spPr>
            <a:solidFill>
              <a:schemeClr val="accent6">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(GRAFIKUI)'!$D$60:$JZ$60</c:f>
            </c:numRef>
          </c:val>
          <c:extLst>
            <c:ext xmlns:c16="http://schemas.microsoft.com/office/drawing/2014/chart" uri="{C3380CC4-5D6E-409C-BE32-E72D297353CC}">
              <c16:uniqueId val="{00000035-B064-4BD0-9451-1FCF20AC19EC}"/>
            </c:ext>
          </c:extLst>
        </c:ser>
        <c:ser>
          <c:idx val="54"/>
          <c:order val="54"/>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(GRAFIKUI)'!$D$61:$JZ$61</c:f>
            </c:numRef>
          </c:val>
          <c:extLst>
            <c:ext xmlns:c16="http://schemas.microsoft.com/office/drawing/2014/chart" uri="{C3380CC4-5D6E-409C-BE32-E72D297353CC}">
              <c16:uniqueId val="{00000036-B064-4BD0-9451-1FCF20AC19EC}"/>
            </c:ext>
          </c:extLst>
        </c:ser>
        <c:ser>
          <c:idx val="55"/>
          <c:order val="55"/>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(GRAFIKUI)'!$D$62:$JZ$62</c:f>
            </c:numRef>
          </c:val>
          <c:extLst>
            <c:ext xmlns:c16="http://schemas.microsoft.com/office/drawing/2014/chart" uri="{C3380CC4-5D6E-409C-BE32-E72D297353CC}">
              <c16:uniqueId val="{00000037-B064-4BD0-9451-1FCF20AC19EC}"/>
            </c:ext>
          </c:extLst>
        </c:ser>
        <c:ser>
          <c:idx val="56"/>
          <c:order val="56"/>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(GRAFIKUI)'!$D$63:$JZ$63</c:f>
            </c:numRef>
          </c:val>
          <c:extLst>
            <c:ext xmlns:c16="http://schemas.microsoft.com/office/drawing/2014/chart" uri="{C3380CC4-5D6E-409C-BE32-E72D297353CC}">
              <c16:uniqueId val="{00000038-B064-4BD0-9451-1FCF20AC19EC}"/>
            </c:ext>
          </c:extLst>
        </c:ser>
        <c:ser>
          <c:idx val="57"/>
          <c:order val="57"/>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(GRAFIKUI)'!$D$64:$JZ$64</c:f>
            </c:numRef>
          </c:val>
          <c:extLst>
            <c:ext xmlns:c16="http://schemas.microsoft.com/office/drawing/2014/chart" uri="{C3380CC4-5D6E-409C-BE32-E72D297353CC}">
              <c16:uniqueId val="{00000039-B064-4BD0-9451-1FCF20AC19EC}"/>
            </c:ext>
          </c:extLst>
        </c:ser>
        <c:ser>
          <c:idx val="58"/>
          <c:order val="58"/>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(GRAFIKUI)'!$D$65:$JZ$65</c:f>
            </c:numRef>
          </c:val>
          <c:extLst>
            <c:ext xmlns:c16="http://schemas.microsoft.com/office/drawing/2014/chart" uri="{C3380CC4-5D6E-409C-BE32-E72D297353CC}">
              <c16:uniqueId val="{0000003A-B064-4BD0-9451-1FCF20AC19EC}"/>
            </c:ext>
          </c:extLst>
        </c:ser>
        <c:ser>
          <c:idx val="59"/>
          <c:order val="59"/>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(GRAFIKUI)'!$D$66:$JZ$66</c:f>
            </c:numRef>
          </c:val>
          <c:extLst>
            <c:ext xmlns:c16="http://schemas.microsoft.com/office/drawing/2014/chart" uri="{C3380CC4-5D6E-409C-BE32-E72D297353CC}">
              <c16:uniqueId val="{0000003B-B064-4BD0-9451-1FCF20AC19EC}"/>
            </c:ext>
          </c:extLst>
        </c:ser>
        <c:ser>
          <c:idx val="60"/>
          <c:order val="60"/>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(GRAFIKUI)'!$D$67:$JZ$67</c:f>
            </c:numRef>
          </c:val>
          <c:extLst>
            <c:ext xmlns:c16="http://schemas.microsoft.com/office/drawing/2014/chart" uri="{C3380CC4-5D6E-409C-BE32-E72D297353CC}">
              <c16:uniqueId val="{0000003C-B064-4BD0-9451-1FCF20AC19EC}"/>
            </c:ext>
          </c:extLst>
        </c:ser>
        <c:ser>
          <c:idx val="61"/>
          <c:order val="61"/>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(GRAFIKUI)'!$D$68:$JZ$68</c:f>
            </c:numRef>
          </c:val>
          <c:extLst>
            <c:ext xmlns:c16="http://schemas.microsoft.com/office/drawing/2014/chart" uri="{C3380CC4-5D6E-409C-BE32-E72D297353CC}">
              <c16:uniqueId val="{0000003D-B064-4BD0-9451-1FCF20AC19EC}"/>
            </c:ext>
          </c:extLst>
        </c:ser>
        <c:ser>
          <c:idx val="62"/>
          <c:order val="62"/>
          <c:spPr>
            <a:solidFill>
              <a:schemeClr val="accent3">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(GRAFIKUI)'!$D$69:$JZ$69</c:f>
            </c:numRef>
          </c:val>
          <c:extLst>
            <c:ext xmlns:c16="http://schemas.microsoft.com/office/drawing/2014/chart" uri="{C3380CC4-5D6E-409C-BE32-E72D297353CC}">
              <c16:uniqueId val="{0000003E-B064-4BD0-9451-1FCF20AC19EC}"/>
            </c:ext>
          </c:extLst>
        </c:ser>
        <c:ser>
          <c:idx val="63"/>
          <c:order val="63"/>
          <c:spPr>
            <a:solidFill>
              <a:schemeClr val="accent4">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(GRAFIKUI)'!$D$70:$JZ$70</c:f>
            </c:numRef>
          </c:val>
          <c:extLst>
            <c:ext xmlns:c16="http://schemas.microsoft.com/office/drawing/2014/chart" uri="{C3380CC4-5D6E-409C-BE32-E72D297353CC}">
              <c16:uniqueId val="{0000003F-B064-4BD0-9451-1FCF20AC19EC}"/>
            </c:ext>
          </c:extLst>
        </c:ser>
        <c:ser>
          <c:idx val="64"/>
          <c:order val="64"/>
          <c:spPr>
            <a:solidFill>
              <a:schemeClr val="accent5">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(GRAFIKUI)'!$D$71:$JZ$71</c:f>
            </c:numRef>
          </c:val>
          <c:extLst>
            <c:ext xmlns:c16="http://schemas.microsoft.com/office/drawing/2014/chart" uri="{C3380CC4-5D6E-409C-BE32-E72D297353CC}">
              <c16:uniqueId val="{00000040-B064-4BD0-9451-1FCF20AC19EC}"/>
            </c:ext>
          </c:extLst>
        </c:ser>
        <c:ser>
          <c:idx val="65"/>
          <c:order val="65"/>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(GRAFIKUI)'!$D$72:$JZ$72</c:f>
            </c:numRef>
          </c:val>
          <c:extLst>
            <c:ext xmlns:c16="http://schemas.microsoft.com/office/drawing/2014/chart" uri="{C3380CC4-5D6E-409C-BE32-E72D297353CC}">
              <c16:uniqueId val="{00000041-B064-4BD0-9451-1FCF20AC19EC}"/>
            </c:ext>
          </c:extLst>
        </c:ser>
        <c:ser>
          <c:idx val="66"/>
          <c:order val="66"/>
          <c:spPr>
            <a:solidFill>
              <a:schemeClr val="accent1">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(GRAFIKUI)'!$D$73:$JZ$73</c:f>
            </c:numRef>
          </c:val>
          <c:extLst>
            <c:ext xmlns:c16="http://schemas.microsoft.com/office/drawing/2014/chart" uri="{C3380CC4-5D6E-409C-BE32-E72D297353CC}">
              <c16:uniqueId val="{00000042-B064-4BD0-9451-1FCF20AC19EC}"/>
            </c:ext>
          </c:extLst>
        </c:ser>
        <c:ser>
          <c:idx val="67"/>
          <c:order val="67"/>
          <c:spPr>
            <a:solidFill>
              <a:schemeClr val="accent2">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(GRAFIKUI)'!$D$74:$JZ$74</c:f>
            </c:numRef>
          </c:val>
          <c:extLst>
            <c:ext xmlns:c16="http://schemas.microsoft.com/office/drawing/2014/chart" uri="{C3380CC4-5D6E-409C-BE32-E72D297353CC}">
              <c16:uniqueId val="{00000043-B064-4BD0-9451-1FCF20AC19EC}"/>
            </c:ext>
          </c:extLst>
        </c:ser>
        <c:ser>
          <c:idx val="68"/>
          <c:order val="68"/>
          <c:spPr>
            <a:solidFill>
              <a:schemeClr val="accent3">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(GRAFIKUI)'!$D$75:$JZ$75</c:f>
            </c:numRef>
          </c:val>
          <c:extLst>
            <c:ext xmlns:c16="http://schemas.microsoft.com/office/drawing/2014/chart" uri="{C3380CC4-5D6E-409C-BE32-E72D297353CC}">
              <c16:uniqueId val="{00000044-B064-4BD0-9451-1FCF20AC19EC}"/>
            </c:ext>
          </c:extLst>
        </c:ser>
        <c:ser>
          <c:idx val="69"/>
          <c:order val="69"/>
          <c:spPr>
            <a:solidFill>
              <a:schemeClr val="accent4">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(GRAFIKUI)'!$D$76:$JZ$76</c:f>
            </c:numRef>
          </c:val>
          <c:extLst>
            <c:ext xmlns:c16="http://schemas.microsoft.com/office/drawing/2014/chart" uri="{C3380CC4-5D6E-409C-BE32-E72D297353CC}">
              <c16:uniqueId val="{00000045-B064-4BD0-9451-1FCF20AC19EC}"/>
            </c:ext>
          </c:extLst>
        </c:ser>
        <c:ser>
          <c:idx val="70"/>
          <c:order val="70"/>
          <c:spPr>
            <a:solidFill>
              <a:schemeClr val="accent5">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(GRAFIKUI)'!$D$77:$JZ$77</c:f>
            </c:numRef>
          </c:val>
          <c:extLst>
            <c:ext xmlns:c16="http://schemas.microsoft.com/office/drawing/2014/chart" uri="{C3380CC4-5D6E-409C-BE32-E72D297353CC}">
              <c16:uniqueId val="{00000046-B064-4BD0-9451-1FCF20AC19EC}"/>
            </c:ext>
          </c:extLst>
        </c:ser>
        <c:ser>
          <c:idx val="71"/>
          <c:order val="71"/>
          <c:spPr>
            <a:solidFill>
              <a:schemeClr val="accent6">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(GRAFIKUI)'!$D$78:$JZ$78</c:f>
            </c:numRef>
          </c:val>
          <c:extLst>
            <c:ext xmlns:c16="http://schemas.microsoft.com/office/drawing/2014/chart" uri="{C3380CC4-5D6E-409C-BE32-E72D297353CC}">
              <c16:uniqueId val="{00000047-B064-4BD0-9451-1FCF20AC19EC}"/>
            </c:ext>
          </c:extLst>
        </c:ser>
        <c:ser>
          <c:idx val="72"/>
          <c:order val="72"/>
          <c:spPr>
            <a:solidFill>
              <a:schemeClr val="accent1">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(GRAFIKUI)'!$D$79:$JZ$79</c:f>
            </c:numRef>
          </c:val>
          <c:extLst>
            <c:ext xmlns:c16="http://schemas.microsoft.com/office/drawing/2014/chart" uri="{C3380CC4-5D6E-409C-BE32-E72D297353CC}">
              <c16:uniqueId val="{00000048-B064-4BD0-9451-1FCF20AC19EC}"/>
            </c:ext>
          </c:extLst>
        </c:ser>
        <c:ser>
          <c:idx val="73"/>
          <c:order val="73"/>
          <c:spPr>
            <a:solidFill>
              <a:schemeClr val="accent2">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(GRAFIKUI)'!$D$80:$JZ$80</c:f>
            </c:numRef>
          </c:val>
          <c:extLst>
            <c:ext xmlns:c16="http://schemas.microsoft.com/office/drawing/2014/chart" uri="{C3380CC4-5D6E-409C-BE32-E72D297353CC}">
              <c16:uniqueId val="{00000049-B064-4BD0-9451-1FCF20AC19EC}"/>
            </c:ext>
          </c:extLst>
        </c:ser>
        <c:ser>
          <c:idx val="74"/>
          <c:order val="74"/>
          <c:spPr>
            <a:solidFill>
              <a:schemeClr val="accent3">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(GRAFIKUI)'!$D$81:$JZ$81</c:f>
            </c:numRef>
          </c:val>
          <c:extLst>
            <c:ext xmlns:c16="http://schemas.microsoft.com/office/drawing/2014/chart" uri="{C3380CC4-5D6E-409C-BE32-E72D297353CC}">
              <c16:uniqueId val="{0000004A-B064-4BD0-9451-1FCF20AC19EC}"/>
            </c:ext>
          </c:extLst>
        </c:ser>
        <c:ser>
          <c:idx val="75"/>
          <c:order val="75"/>
          <c:spPr>
            <a:solidFill>
              <a:schemeClr val="accent4">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(GRAFIKUI)'!$D$82:$JZ$82</c:f>
            </c:numRef>
          </c:val>
          <c:extLst>
            <c:ext xmlns:c16="http://schemas.microsoft.com/office/drawing/2014/chart" uri="{C3380CC4-5D6E-409C-BE32-E72D297353CC}">
              <c16:uniqueId val="{0000004B-B064-4BD0-9451-1FCF20AC19EC}"/>
            </c:ext>
          </c:extLst>
        </c:ser>
        <c:ser>
          <c:idx val="76"/>
          <c:order val="76"/>
          <c:spPr>
            <a:solidFill>
              <a:schemeClr val="accent5">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(GRAFIKUI)'!$D$83:$JZ$83</c:f>
            </c:numRef>
          </c:val>
          <c:extLst>
            <c:ext xmlns:c16="http://schemas.microsoft.com/office/drawing/2014/chart" uri="{C3380CC4-5D6E-409C-BE32-E72D297353CC}">
              <c16:uniqueId val="{0000004C-B064-4BD0-9451-1FCF20AC19EC}"/>
            </c:ext>
          </c:extLst>
        </c:ser>
        <c:ser>
          <c:idx val="77"/>
          <c:order val="77"/>
          <c:spPr>
            <a:solidFill>
              <a:schemeClr val="accent6">
                <a:lumMod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(GRAFIKUI)'!$D$84:$JZ$84</c:f>
            </c:numRef>
          </c:val>
          <c:extLst>
            <c:ext xmlns:c16="http://schemas.microsoft.com/office/drawing/2014/chart" uri="{C3380CC4-5D6E-409C-BE32-E72D297353CC}">
              <c16:uniqueId val="{0000004D-B064-4BD0-9451-1FCF20AC19EC}"/>
            </c:ext>
          </c:extLst>
        </c:ser>
        <c:ser>
          <c:idx val="78"/>
          <c:order val="78"/>
          <c:spPr>
            <a:solidFill>
              <a:schemeClr val="accent1">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(GRAFIKUI)'!$D$85:$JZ$85</c:f>
            </c:numRef>
          </c:val>
          <c:extLst>
            <c:ext xmlns:c16="http://schemas.microsoft.com/office/drawing/2014/chart" uri="{C3380CC4-5D6E-409C-BE32-E72D297353CC}">
              <c16:uniqueId val="{0000004E-B064-4BD0-9451-1FCF20AC19EC}"/>
            </c:ext>
          </c:extLst>
        </c:ser>
        <c:ser>
          <c:idx val="79"/>
          <c:order val="79"/>
          <c:spPr>
            <a:solidFill>
              <a:schemeClr val="accent2">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(GRAFIKUI)'!$D$86:$JZ$86</c:f>
            </c:numRef>
          </c:val>
          <c:extLst>
            <c:ext xmlns:c16="http://schemas.microsoft.com/office/drawing/2014/chart" uri="{C3380CC4-5D6E-409C-BE32-E72D297353CC}">
              <c16:uniqueId val="{0000004F-B064-4BD0-9451-1FCF20AC19EC}"/>
            </c:ext>
          </c:extLst>
        </c:ser>
        <c:ser>
          <c:idx val="80"/>
          <c:order val="80"/>
          <c:spPr>
            <a:solidFill>
              <a:schemeClr val="accent3">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(GRAFIKUI)'!$D$87:$JZ$87</c:f>
            </c:numRef>
          </c:val>
          <c:extLst>
            <c:ext xmlns:c16="http://schemas.microsoft.com/office/drawing/2014/chart" uri="{C3380CC4-5D6E-409C-BE32-E72D297353CC}">
              <c16:uniqueId val="{00000050-B064-4BD0-9451-1FCF20AC19EC}"/>
            </c:ext>
          </c:extLst>
        </c:ser>
        <c:ser>
          <c:idx val="81"/>
          <c:order val="81"/>
          <c:spPr>
            <a:solidFill>
              <a:schemeClr val="accent4">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(GRAFIKUI)'!$D$88:$JZ$88</c:f>
            </c:numRef>
          </c:val>
          <c:extLst>
            <c:ext xmlns:c16="http://schemas.microsoft.com/office/drawing/2014/chart" uri="{C3380CC4-5D6E-409C-BE32-E72D297353CC}">
              <c16:uniqueId val="{00000051-B064-4BD0-9451-1FCF20AC19EC}"/>
            </c:ext>
          </c:extLst>
        </c:ser>
        <c:ser>
          <c:idx val="82"/>
          <c:order val="82"/>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(GRAFIKUI)'!$D$89:$JZ$89</c:f>
            </c:numRef>
          </c:val>
          <c:extLst>
            <c:ext xmlns:c16="http://schemas.microsoft.com/office/drawing/2014/chart" uri="{C3380CC4-5D6E-409C-BE32-E72D297353CC}">
              <c16:uniqueId val="{00000052-B064-4BD0-9451-1FCF20AC19EC}"/>
            </c:ext>
          </c:extLst>
        </c:ser>
        <c:ser>
          <c:idx val="83"/>
          <c:order val="83"/>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(GRAFIKUI)'!$D$90:$JZ$90</c:f>
            </c:numRef>
          </c:val>
          <c:extLst>
            <c:ext xmlns:c16="http://schemas.microsoft.com/office/drawing/2014/chart" uri="{C3380CC4-5D6E-409C-BE32-E72D297353CC}">
              <c16:uniqueId val="{00000053-B064-4BD0-9451-1FCF20AC19EC}"/>
            </c:ext>
          </c:extLst>
        </c:ser>
        <c:ser>
          <c:idx val="84"/>
          <c:order val="84"/>
          <c:spPr>
            <a:solidFill>
              <a:schemeClr val="accent1">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(GRAFIKUI)'!$D$91:$JZ$91</c:f>
            </c:numRef>
          </c:val>
          <c:extLst>
            <c:ext xmlns:c16="http://schemas.microsoft.com/office/drawing/2014/chart" uri="{C3380CC4-5D6E-409C-BE32-E72D297353CC}">
              <c16:uniqueId val="{00000054-B064-4BD0-9451-1FCF20AC19EC}"/>
            </c:ext>
          </c:extLst>
        </c:ser>
        <c:ser>
          <c:idx val="85"/>
          <c:order val="85"/>
          <c:spPr>
            <a:solidFill>
              <a:schemeClr val="accent2">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(GRAFIKUI)'!$D$92:$JZ$92</c:f>
            </c:numRef>
          </c:val>
          <c:extLst>
            <c:ext xmlns:c16="http://schemas.microsoft.com/office/drawing/2014/chart" uri="{C3380CC4-5D6E-409C-BE32-E72D297353CC}">
              <c16:uniqueId val="{00000055-B064-4BD0-9451-1FCF20AC19EC}"/>
            </c:ext>
          </c:extLst>
        </c:ser>
        <c:ser>
          <c:idx val="86"/>
          <c:order val="86"/>
          <c:spPr>
            <a:solidFill>
              <a:schemeClr val="accent3">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(GRAFIKUI)'!$D$93:$JZ$93</c:f>
            </c:numRef>
          </c:val>
          <c:extLst>
            <c:ext xmlns:c16="http://schemas.microsoft.com/office/drawing/2014/chart" uri="{C3380CC4-5D6E-409C-BE32-E72D297353CC}">
              <c16:uniqueId val="{00000056-B064-4BD0-9451-1FCF20AC19EC}"/>
            </c:ext>
          </c:extLst>
        </c:ser>
        <c:ser>
          <c:idx val="87"/>
          <c:order val="87"/>
          <c:spPr>
            <a:solidFill>
              <a:schemeClr val="accent4">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(GRAFIKUI)'!$D$94:$JZ$94</c:f>
            </c:numRef>
          </c:val>
          <c:extLst>
            <c:ext xmlns:c16="http://schemas.microsoft.com/office/drawing/2014/chart" uri="{C3380CC4-5D6E-409C-BE32-E72D297353CC}">
              <c16:uniqueId val="{00000057-B064-4BD0-9451-1FCF20AC19EC}"/>
            </c:ext>
          </c:extLst>
        </c:ser>
        <c:ser>
          <c:idx val="88"/>
          <c:order val="88"/>
          <c:spPr>
            <a:solidFill>
              <a:schemeClr val="accent5">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(GRAFIKUI)'!$D$95:$JZ$95</c:f>
            </c:numRef>
          </c:val>
          <c:extLst>
            <c:ext xmlns:c16="http://schemas.microsoft.com/office/drawing/2014/chart" uri="{C3380CC4-5D6E-409C-BE32-E72D297353CC}">
              <c16:uniqueId val="{00000058-B064-4BD0-9451-1FCF20AC19EC}"/>
            </c:ext>
          </c:extLst>
        </c:ser>
        <c:ser>
          <c:idx val="89"/>
          <c:order val="89"/>
          <c:spPr>
            <a:solidFill>
              <a:schemeClr val="accent6">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(GRAFIKUI)'!$D$96:$JZ$96</c:f>
            </c:numRef>
          </c:val>
          <c:extLst>
            <c:ext xmlns:c16="http://schemas.microsoft.com/office/drawing/2014/chart" uri="{C3380CC4-5D6E-409C-BE32-E72D297353CC}">
              <c16:uniqueId val="{00000059-B064-4BD0-9451-1FCF20AC19EC}"/>
            </c:ext>
          </c:extLst>
        </c:ser>
        <c:ser>
          <c:idx val="90"/>
          <c:order val="90"/>
          <c:spPr>
            <a:solidFill>
              <a:schemeClr val="accent1">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(GRAFIKUI)'!$D$97:$JZ$97</c:f>
            </c:numRef>
          </c:val>
          <c:extLst>
            <c:ext xmlns:c16="http://schemas.microsoft.com/office/drawing/2014/chart" uri="{C3380CC4-5D6E-409C-BE32-E72D297353CC}">
              <c16:uniqueId val="{0000005A-B064-4BD0-9451-1FCF20AC19EC}"/>
            </c:ext>
          </c:extLst>
        </c:ser>
        <c:ser>
          <c:idx val="91"/>
          <c:order val="91"/>
          <c:spPr>
            <a:solidFill>
              <a:schemeClr val="accent2">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(GRAFIKUI)'!$D$98:$JZ$98</c:f>
            </c:numRef>
          </c:val>
          <c:extLst>
            <c:ext xmlns:c16="http://schemas.microsoft.com/office/drawing/2014/chart" uri="{C3380CC4-5D6E-409C-BE32-E72D297353CC}">
              <c16:uniqueId val="{0000005B-B064-4BD0-9451-1FCF20AC19EC}"/>
            </c:ext>
          </c:extLst>
        </c:ser>
        <c:ser>
          <c:idx val="92"/>
          <c:order val="92"/>
          <c:spPr>
            <a:solidFill>
              <a:schemeClr val="accent3">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(GRAFIKUI)'!$D$99:$JZ$99</c:f>
            </c:numRef>
          </c:val>
          <c:extLst>
            <c:ext xmlns:c16="http://schemas.microsoft.com/office/drawing/2014/chart" uri="{C3380CC4-5D6E-409C-BE32-E72D297353CC}">
              <c16:uniqueId val="{0000005C-B064-4BD0-9451-1FCF20AC19EC}"/>
            </c:ext>
          </c:extLst>
        </c:ser>
        <c:ser>
          <c:idx val="93"/>
          <c:order val="93"/>
          <c:spPr>
            <a:solidFill>
              <a:schemeClr val="accent4">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(GRAFIKUI)'!$D$100:$JZ$100</c:f>
            </c:numRef>
          </c:val>
          <c:extLst>
            <c:ext xmlns:c16="http://schemas.microsoft.com/office/drawing/2014/chart" uri="{C3380CC4-5D6E-409C-BE32-E72D297353CC}">
              <c16:uniqueId val="{0000005D-B064-4BD0-9451-1FCF20AC19EC}"/>
            </c:ext>
          </c:extLst>
        </c:ser>
        <c:ser>
          <c:idx val="94"/>
          <c:order val="94"/>
          <c:spPr>
            <a:solidFill>
              <a:schemeClr val="accent5">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(GRAFIKUI)'!$D$101:$JZ$101</c:f>
            </c:numRef>
          </c:val>
          <c:extLst>
            <c:ext xmlns:c16="http://schemas.microsoft.com/office/drawing/2014/chart" uri="{C3380CC4-5D6E-409C-BE32-E72D297353CC}">
              <c16:uniqueId val="{0000005E-B064-4BD0-9451-1FCF20AC19EC}"/>
            </c:ext>
          </c:extLst>
        </c:ser>
        <c:ser>
          <c:idx val="95"/>
          <c:order val="95"/>
          <c:spPr>
            <a:solidFill>
              <a:schemeClr val="accent6">
                <a:lumMod val="70000"/>
                <a:lumOff val="3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(GRAFIKUI)'!$D$102:$JZ$102</c:f>
            </c:numRef>
          </c:val>
          <c:extLst>
            <c:ext xmlns:c16="http://schemas.microsoft.com/office/drawing/2014/chart" uri="{C3380CC4-5D6E-409C-BE32-E72D297353CC}">
              <c16:uniqueId val="{0000005F-B064-4BD0-9451-1FCF20AC19EC}"/>
            </c:ext>
          </c:extLst>
        </c:ser>
        <c:ser>
          <c:idx val="96"/>
          <c:order val="96"/>
          <c:spPr>
            <a:solidFill>
              <a:srgbClr val="92D050"/>
            </a:solidFill>
            <a:ln>
              <a:noFill/>
            </a:ln>
            <a:effectLst/>
            <a:sp3d/>
          </c:spPr>
          <c:invertIfNegative val="0"/>
          <c:dPt>
            <c:idx val="4"/>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61-B064-4BD0-9451-1FCF20AC19EC}"/>
              </c:ext>
            </c:extLst>
          </c:dPt>
          <c:dLbls>
            <c:dLbl>
              <c:idx val="4"/>
              <c:tx>
                <c:rich>
                  <a:bodyPr/>
                  <a:lstStyle/>
                  <a:p>
                    <a:fld id="{1A5F9FEC-8B3C-4AC5-AB88-DF4FE7ECB22F}" type="VALUE">
                      <a:rPr lang="en-US"/>
                      <a:pPr/>
                      <a:t>[REIKŠMĖ]</a:t>
                    </a:fld>
                    <a:endParaRPr lang="en-US"/>
                  </a:p>
                  <a:p>
                    <a:r>
                      <a:rPr lang="en-US"/>
                      <a:t>41%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61-B064-4BD0-9451-1FCF20AC19EC}"/>
                </c:ext>
              </c:extLst>
            </c:dLbl>
            <c:spPr>
              <a:solidFill>
                <a:schemeClr val="bg1">
                  <a:alpha val="60000"/>
                </a:schemeClr>
              </a:solidFill>
              <a:ln>
                <a:solidFill>
                  <a:schemeClr val="bg2">
                    <a:lumMod val="90000"/>
                  </a:schemeClr>
                </a:solidFill>
              </a:ln>
              <a:effectLst/>
            </c:spPr>
            <c:txPr>
              <a:bodyPr rot="0" spcFirstLastPara="1" vertOverflow="ellipsis" vert="horz" wrap="square" anchor="ctr" anchorCtr="1"/>
              <a:lstStyle/>
              <a:p>
                <a:pPr>
                  <a:defRPr sz="800" b="1"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(GRAFIKUI)'!$D$103:$JZ$103</c:f>
              <c:numCache>
                <c:formatCode>General</c:formatCode>
                <c:ptCount val="5"/>
                <c:pt idx="4" formatCode="_-* #,##0\ _L_t_-;\-* #,##0\ _L_t_-;_-* &quot;-&quot;??\ _L_t_-;_-@_-">
                  <c:v>806822889.0999999</c:v>
                </c:pt>
              </c:numCache>
            </c:numRef>
          </c:val>
          <c:extLst>
            <c:ext xmlns:c16="http://schemas.microsoft.com/office/drawing/2014/chart" uri="{C3380CC4-5D6E-409C-BE32-E72D297353CC}">
              <c16:uniqueId val="{00000062-B064-4BD0-9451-1FCF20AC19EC}"/>
            </c:ext>
          </c:extLst>
        </c:ser>
        <c:ser>
          <c:idx val="97"/>
          <c:order val="97"/>
          <c:spPr>
            <a:solidFill>
              <a:schemeClr val="accent2">
                <a:lumMod val="70000"/>
              </a:schemeClr>
            </a:solidFill>
            <a:ln>
              <a:noFill/>
            </a:ln>
            <a:effectLst/>
            <a:sp3d/>
          </c:spPr>
          <c:invertIfNegative val="0"/>
          <c:dPt>
            <c:idx val="0"/>
            <c:invertIfNegative val="0"/>
            <c:bubble3D val="0"/>
            <c:spPr>
              <a:solidFill>
                <a:srgbClr val="0070C0"/>
              </a:solidFill>
              <a:ln>
                <a:noFill/>
              </a:ln>
              <a:effectLst/>
              <a:sp3d/>
            </c:spPr>
            <c:extLst>
              <c:ext xmlns:c16="http://schemas.microsoft.com/office/drawing/2014/chart" uri="{C3380CC4-5D6E-409C-BE32-E72D297353CC}">
                <c16:uniqueId val="{00000064-B064-4BD0-9451-1FCF20AC19EC}"/>
              </c:ext>
            </c:extLst>
          </c:dPt>
          <c:dPt>
            <c:idx val="1"/>
            <c:invertIfNegative val="0"/>
            <c:bubble3D val="0"/>
            <c:spPr>
              <a:solidFill>
                <a:srgbClr val="00B0F0"/>
              </a:solidFill>
              <a:ln>
                <a:noFill/>
              </a:ln>
              <a:effectLst/>
              <a:sp3d/>
            </c:spPr>
            <c:extLst>
              <c:ext xmlns:c16="http://schemas.microsoft.com/office/drawing/2014/chart" uri="{C3380CC4-5D6E-409C-BE32-E72D297353CC}">
                <c16:uniqueId val="{00000066-B064-4BD0-9451-1FCF20AC19EC}"/>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68-B064-4BD0-9451-1FCF20AC19EC}"/>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6A-B064-4BD0-9451-1FCF20AC19EC}"/>
              </c:ext>
            </c:extLst>
          </c:dPt>
          <c:dPt>
            <c:idx val="4"/>
            <c:invertIfNegative val="0"/>
            <c:bubble3D val="0"/>
            <c:spPr>
              <a:solidFill>
                <a:srgbClr val="92D050"/>
              </a:solidFill>
              <a:ln>
                <a:noFill/>
              </a:ln>
              <a:effectLst/>
              <a:sp3d/>
            </c:spPr>
            <c:extLst>
              <c:ext xmlns:c16="http://schemas.microsoft.com/office/drawing/2014/chart" uri="{C3380CC4-5D6E-409C-BE32-E72D297353CC}">
                <c16:uniqueId val="{0000006C-B064-4BD0-9451-1FCF20AC19EC}"/>
              </c:ext>
            </c:extLst>
          </c:dPt>
          <c:dLbls>
            <c:dLbl>
              <c:idx val="0"/>
              <c:spPr>
                <a:solidFill>
                  <a:schemeClr val="bg1">
                    <a:alpha val="60000"/>
                  </a:schemeClr>
                </a:solidFill>
                <a:ln>
                  <a:solidFill>
                    <a:schemeClr val="bg2">
                      <a:lumMod val="90000"/>
                    </a:schemeClr>
                  </a:solidFill>
                </a:ln>
                <a:effectLst/>
              </c:spPr>
              <c:txPr>
                <a:bodyPr rot="0" spcFirstLastPara="1" vertOverflow="ellipsis" vert="horz" wrap="square" anchor="ctr" anchorCtr="1"/>
                <a:lstStyle/>
                <a:p>
                  <a:pPr>
                    <a:defRPr sz="1000" b="1" i="0" u="none" strike="noStrike" kern="1200" baseline="0">
                      <a:solidFill>
                        <a:schemeClr val="bg2">
                          <a:lumMod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64-B064-4BD0-9451-1FCF20AC19EC}"/>
                </c:ext>
              </c:extLst>
            </c:dLbl>
            <c:dLbl>
              <c:idx val="1"/>
              <c:tx>
                <c:rich>
                  <a:bodyPr/>
                  <a:lstStyle/>
                  <a:p>
                    <a:fld id="{3AFC1B13-EE02-4DA4-8D22-DA86E90DDC04}" type="VALUE">
                      <a:rPr lang="en-US" smtClean="0"/>
                      <a:pPr/>
                      <a:t>[REIKŠMĖ]</a:t>
                    </a:fld>
                    <a:endParaRPr lang="en-US"/>
                  </a:p>
                  <a:p>
                    <a:r>
                      <a:rPr lang="en-US"/>
                      <a:t>77%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66-B064-4BD0-9451-1FCF20AC19EC}"/>
                </c:ext>
              </c:extLst>
            </c:dLbl>
            <c:dLbl>
              <c:idx val="2"/>
              <c:tx>
                <c:rich>
                  <a:bodyPr/>
                  <a:lstStyle/>
                  <a:p>
                    <a:fld id="{571544F8-2FBE-4856-BA6C-7572AB2DFA96}" type="VALUE">
                      <a:rPr lang="en-US" smtClean="0"/>
                      <a:pPr/>
                      <a:t>[REIKŠMĖ]</a:t>
                    </a:fld>
                    <a:endParaRPr lang="en-US"/>
                  </a:p>
                  <a:p>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68-B064-4BD0-9451-1FCF20AC19EC}"/>
                </c:ext>
              </c:extLst>
            </c:dLbl>
            <c:dLbl>
              <c:idx val="3"/>
              <c:tx>
                <c:rich>
                  <a:bodyPr/>
                  <a:lstStyle/>
                  <a:p>
                    <a:fld id="{BDD2CE3D-17B3-4103-927B-CB7F0DF09EB4}" type="VALUE">
                      <a:rPr lang="en-US" smtClean="0"/>
                      <a:pPr/>
                      <a:t>[REIKŠMĖ]</a:t>
                    </a:fld>
                    <a:endParaRPr lang="en-US"/>
                  </a:p>
                  <a:p>
                    <a:r>
                      <a:rPr lang="en-US"/>
                      <a:t>58%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6A-B064-4BD0-9451-1FCF20AC19EC}"/>
                </c:ext>
              </c:extLst>
            </c:dLbl>
            <c:dLbl>
              <c:idx val="4"/>
              <c:layout>
                <c:manualLayout>
                  <c:x val="8.9230130732517121E-2"/>
                  <c:y val="-6.3645622452868564E-17"/>
                </c:manualLayout>
              </c:layout>
              <c:tx>
                <c:rich>
                  <a:bodyPr/>
                  <a:lstStyle/>
                  <a:p>
                    <a:fld id="{9A185003-3A8C-4118-B8FE-808268318CEC}" type="VALUE">
                      <a:rPr lang="en-US" sz="800" smtClean="0"/>
                      <a:pPr/>
                      <a:t>[REIKŠMĖ]</a:t>
                    </a:fld>
                    <a:endParaRPr lang="en-US" sz="800"/>
                  </a:p>
                  <a:p>
                    <a:r>
                      <a:rPr lang="en-US" sz="800"/>
                      <a:t>2% (II ketv.)</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6C-B064-4BD0-9451-1FCF20AC19EC}"/>
                </c:ext>
              </c:extLst>
            </c:dLbl>
            <c:spPr>
              <a:solidFill>
                <a:schemeClr val="bg1">
                  <a:alpha val="60000"/>
                </a:schemeClr>
              </a:solidFill>
              <a:ln>
                <a:solidFill>
                  <a:schemeClr val="bg2">
                    <a:lumMod val="90000"/>
                  </a:schemeClr>
                </a:solidFill>
              </a:ln>
              <a:effectLst/>
            </c:spPr>
            <c:txPr>
              <a:bodyPr rot="0" spcFirstLastPara="1" vertOverflow="ellipsis" vert="horz" wrap="square" anchor="ctr" anchorCtr="1"/>
              <a:lstStyle/>
              <a:p>
                <a:pPr>
                  <a:defRPr sz="1000" b="1"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'KPP 2014-2020 (GRAFIKUI)'!$D$6:$JZ$6</c:f>
              <c:strCache>
                <c:ptCount val="5"/>
                <c:pt idx="0">
                  <c:v>Skirta paramos lėšų 2014-2020 m.</c:v>
                </c:pt>
                <c:pt idx="1">
                  <c:v>Skirta paramos lėšų 2014-2018 m.</c:v>
                </c:pt>
                <c:pt idx="2">
                  <c:v>Prašoma paramos suma</c:v>
                </c:pt>
                <c:pt idx="3">
                  <c:v>Patvirtinta paramos suma</c:v>
                </c:pt>
                <c:pt idx="4">
                  <c:v>Išmokėta paramos suma</c:v>
                </c:pt>
              </c:strCache>
            </c:strRef>
          </c:cat>
          <c:val>
            <c:numRef>
              <c:f>'KPP 2014-2020 (GRAFIKUI)'!$D$104:$JZ$104</c:f>
              <c:numCache>
                <c:formatCode>_-* #,##0\ _L_t_-;\-* #,##0\ _L_t_-;_-* "-"??\ _L_t_-;_-@_-</c:formatCode>
                <c:ptCount val="5"/>
                <c:pt idx="0">
                  <c:v>1977771625.3788667</c:v>
                </c:pt>
                <c:pt idx="1">
                  <c:v>1523079983.8823528</c:v>
                </c:pt>
                <c:pt idx="2">
                  <c:v>1649994989.1542175</c:v>
                </c:pt>
                <c:pt idx="3">
                  <c:v>1138437751.6100004</c:v>
                </c:pt>
                <c:pt idx="4">
                  <c:v>45702402.190000057</c:v>
                </c:pt>
              </c:numCache>
            </c:numRef>
          </c:val>
          <c:extLst>
            <c:ext xmlns:c16="http://schemas.microsoft.com/office/drawing/2014/chart" uri="{C3380CC4-5D6E-409C-BE32-E72D297353CC}">
              <c16:uniqueId val="{0000006D-B064-4BD0-9451-1FCF20AC19EC}"/>
            </c:ext>
          </c:extLst>
        </c:ser>
        <c:dLbls>
          <c:showLegendKey val="0"/>
          <c:showVal val="1"/>
          <c:showCatName val="0"/>
          <c:showSerName val="0"/>
          <c:showPercent val="0"/>
          <c:showBubbleSize val="0"/>
        </c:dLbls>
        <c:gapWidth val="150"/>
        <c:shape val="box"/>
        <c:axId val="300954640"/>
        <c:axId val="300954968"/>
        <c:axId val="0"/>
      </c:bar3DChart>
      <c:catAx>
        <c:axId val="300954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t-LT"/>
          </a:p>
        </c:txPr>
        <c:crossAx val="300954968"/>
        <c:crossesAt val="0"/>
        <c:auto val="1"/>
        <c:lblAlgn val="ctr"/>
        <c:lblOffset val="100"/>
        <c:noMultiLvlLbl val="0"/>
      </c:catAx>
      <c:valAx>
        <c:axId val="300954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t-LT"/>
          </a:p>
        </c:txPr>
        <c:crossAx val="300954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0.79955</cdr:x>
      <cdr:y>0.38795</cdr:y>
    </cdr:from>
    <cdr:to>
      <cdr:x>0.92135</cdr:x>
      <cdr:y>0.49991</cdr:y>
    </cdr:to>
    <cdr:sp macro="" textlink="">
      <cdr:nvSpPr>
        <cdr:cNvPr id="2" name="TextBox 1">
          <a:extLst xmlns:a="http://schemas.openxmlformats.org/drawingml/2006/main">
            <a:ext uri="{FF2B5EF4-FFF2-40B4-BE49-F238E27FC236}">
              <a16:creationId xmlns:a16="http://schemas.microsoft.com/office/drawing/2014/main" id="{774969EE-1702-4747-BB7F-D3BCF2C2A7CF}"/>
            </a:ext>
          </a:extLst>
        </cdr:cNvPr>
        <cdr:cNvSpPr txBox="1"/>
      </cdr:nvSpPr>
      <cdr:spPr>
        <a:xfrm xmlns:a="http://schemas.openxmlformats.org/drawingml/2006/main">
          <a:off x="4893368" y="1419224"/>
          <a:ext cx="745432" cy="409576"/>
        </a:xfrm>
        <a:prstGeom xmlns:a="http://schemas.openxmlformats.org/drawingml/2006/main" prst="rect">
          <a:avLst/>
        </a:prstGeom>
        <a:ln xmlns:a="http://schemas.openxmlformats.org/drawingml/2006/main">
          <a:solidFill>
            <a:schemeClr val="bg2">
              <a:lumMod val="90000"/>
            </a:schemeClr>
          </a:solidFill>
        </a:ln>
      </cdr:spPr>
      <cdr:txBody>
        <a:bodyPr xmlns:a="http://schemas.openxmlformats.org/drawingml/2006/main" vertOverflow="clip" wrap="none" rtlCol="0"/>
        <a:lstStyle xmlns:a="http://schemas.openxmlformats.org/drawingml/2006/main"/>
        <a:p xmlns:a="http://schemas.openxmlformats.org/drawingml/2006/main">
          <a:pPr algn="ctr"/>
          <a:r>
            <a:rPr lang="en-US" sz="1000" b="1" dirty="0">
              <a:solidFill>
                <a:schemeClr val="bg2">
                  <a:lumMod val="25000"/>
                </a:schemeClr>
              </a:solidFill>
              <a:latin typeface="Times New Roman" panose="02020603050405020304" pitchFamily="18" charset="0"/>
              <a:cs typeface="Times New Roman" panose="02020603050405020304" pitchFamily="18" charset="0"/>
            </a:rPr>
            <a:t>8</a:t>
          </a:r>
          <a:r>
            <a:rPr lang="lt-LT" sz="1000" b="1" dirty="0">
              <a:solidFill>
                <a:schemeClr val="bg2">
                  <a:lumMod val="25000"/>
                </a:schemeClr>
              </a:solidFill>
              <a:latin typeface="Times New Roman" panose="02020603050405020304" pitchFamily="18" charset="0"/>
              <a:cs typeface="Times New Roman" panose="02020603050405020304" pitchFamily="18" charset="0"/>
            </a:rPr>
            <a:t>52 525 291</a:t>
          </a:r>
          <a:endParaRPr lang="en-US" sz="1000" b="1" dirty="0">
            <a:solidFill>
              <a:schemeClr val="bg2">
                <a:lumMod val="25000"/>
              </a:schemeClr>
            </a:solidFill>
            <a:latin typeface="Times New Roman" panose="02020603050405020304" pitchFamily="18" charset="0"/>
            <a:cs typeface="Times New Roman" panose="02020603050405020304" pitchFamily="18" charset="0"/>
          </a:endParaRPr>
        </a:p>
        <a:p xmlns:a="http://schemas.openxmlformats.org/drawingml/2006/main">
          <a:pPr algn="ctr"/>
          <a:r>
            <a:rPr lang="en-US" sz="1000" b="1" dirty="0">
              <a:solidFill>
                <a:schemeClr val="bg2">
                  <a:lumMod val="25000"/>
                </a:schemeClr>
              </a:solidFill>
              <a:latin typeface="Times New Roman" panose="02020603050405020304" pitchFamily="18" charset="0"/>
              <a:cs typeface="Times New Roman" panose="02020603050405020304" pitchFamily="18" charset="0"/>
            </a:rPr>
            <a:t>4</a:t>
          </a:r>
          <a:r>
            <a:rPr lang="lt-LT" sz="1000" b="1" dirty="0">
              <a:solidFill>
                <a:schemeClr val="bg2">
                  <a:lumMod val="25000"/>
                </a:schemeClr>
              </a:solidFill>
              <a:latin typeface="Times New Roman" panose="02020603050405020304" pitchFamily="18" charset="0"/>
              <a:cs typeface="Times New Roman" panose="02020603050405020304" pitchFamily="18" charset="0"/>
            </a:rPr>
            <a:t>3</a:t>
          </a:r>
          <a:r>
            <a:rPr lang="en-US" sz="1000" b="1" dirty="0">
              <a:solidFill>
                <a:schemeClr val="bg2">
                  <a:lumMod val="25000"/>
                </a:schemeClr>
              </a:solidFill>
              <a:latin typeface="Times New Roman" panose="02020603050405020304" pitchFamily="18" charset="0"/>
              <a:cs typeface="Times New Roman" panose="02020603050405020304" pitchFamily="18" charset="0"/>
            </a:rPr>
            <a:t>%</a:t>
          </a:r>
          <a:endParaRPr lang="lt-LT" sz="1000" b="1" dirty="0">
            <a:solidFill>
              <a:schemeClr val="bg2">
                <a:lumMod val="25000"/>
              </a:schemeClr>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C14F-6D49-4354-8FDB-19EA387E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9</Pages>
  <Words>2501</Words>
  <Characters>16744</Characters>
  <Application>Microsoft Office Word</Application>
  <DocSecurity>0</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Alma Rasimienė</cp:lastModifiedBy>
  <cp:revision>361</cp:revision>
  <cp:lastPrinted>2018-04-30T07:27:00Z</cp:lastPrinted>
  <dcterms:created xsi:type="dcterms:W3CDTF">2017-12-12T08:12:00Z</dcterms:created>
  <dcterms:modified xsi:type="dcterms:W3CDTF">2018-07-18T13:03:00Z</dcterms:modified>
</cp:coreProperties>
</file>