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FC6" w:rsidRPr="0055002C" w:rsidRDefault="009A1FC6" w:rsidP="009A1FC6">
      <w:pPr>
        <w:jc w:val="center"/>
        <w:rPr>
          <w:b/>
          <w:caps/>
        </w:rPr>
      </w:pPr>
      <w:r w:rsidRPr="0055002C">
        <w:rPr>
          <w:b/>
          <w:bCs/>
          <w:caps/>
        </w:rPr>
        <w:t xml:space="preserve">LIETUVOS RESPUBLIKOS </w:t>
      </w:r>
    </w:p>
    <w:p w:rsidR="00E03C90" w:rsidRPr="009020E9" w:rsidRDefault="009020E9" w:rsidP="009020E9">
      <w:pPr>
        <w:jc w:val="center"/>
        <w:rPr>
          <w:b/>
          <w:caps/>
        </w:rPr>
      </w:pPr>
      <w:r w:rsidRPr="00A6448C">
        <w:rPr>
          <w:b/>
          <w:caps/>
        </w:rPr>
        <w:t xml:space="preserve">VIDAUS TARNYBOS STATUTO 39, 53, 61 </w:t>
      </w:r>
      <w:r w:rsidR="008A3370">
        <w:rPr>
          <w:b/>
          <w:caps/>
        </w:rPr>
        <w:t xml:space="preserve">STRAIPSNIŲ </w:t>
      </w:r>
      <w:r w:rsidRPr="00A6448C">
        <w:rPr>
          <w:b/>
          <w:caps/>
        </w:rPr>
        <w:t>ir priedo PAKEITIMO</w:t>
      </w:r>
      <w:r>
        <w:rPr>
          <w:b/>
          <w:caps/>
        </w:rPr>
        <w:t xml:space="preserve"> </w:t>
      </w:r>
      <w:r w:rsidR="009A1FC6" w:rsidRPr="0055002C">
        <w:rPr>
          <w:b/>
          <w:caps/>
        </w:rPr>
        <w:t>ĮSTATYMO projekto</w:t>
      </w:r>
      <w:r w:rsidR="009A1FC6" w:rsidRPr="000020BC">
        <w:rPr>
          <w:b/>
          <w:bCs/>
          <w:caps/>
          <w:color w:val="000000"/>
          <w:lang w:val="lt-LT"/>
        </w:rPr>
        <w:t xml:space="preserve"> </w:t>
      </w:r>
      <w:r w:rsidR="00E03C90" w:rsidRPr="000020BC">
        <w:rPr>
          <w:b/>
          <w:caps/>
          <w:color w:val="000000"/>
          <w:lang w:val="lt-LT"/>
        </w:rPr>
        <w:t>Derinimo pažyma</w:t>
      </w:r>
    </w:p>
    <w:p w:rsidR="00357C5F" w:rsidRPr="000020BC" w:rsidRDefault="00357C5F" w:rsidP="000020BC">
      <w:pPr>
        <w:pStyle w:val="Pagrindinistekstas"/>
        <w:spacing w:after="0"/>
        <w:jc w:val="center"/>
        <w:rPr>
          <w:b/>
          <w:bCs/>
          <w:caps/>
          <w:color w:val="000000"/>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7"/>
        <w:gridCol w:w="4536"/>
        <w:gridCol w:w="6095"/>
      </w:tblGrid>
      <w:tr w:rsidR="00A82090" w:rsidRPr="000020BC" w:rsidTr="00924869">
        <w:trPr>
          <w:trHeight w:val="1301"/>
        </w:trPr>
        <w:tc>
          <w:tcPr>
            <w:tcW w:w="880" w:type="dxa"/>
          </w:tcPr>
          <w:p w:rsidR="00A82090" w:rsidRPr="000020BC" w:rsidRDefault="00A82090" w:rsidP="000020BC">
            <w:pPr>
              <w:jc w:val="center"/>
              <w:rPr>
                <w:b/>
                <w:color w:val="000000"/>
                <w:lang w:val="lt-LT"/>
              </w:rPr>
            </w:pPr>
            <w:r w:rsidRPr="000020BC">
              <w:rPr>
                <w:b/>
                <w:color w:val="000000"/>
                <w:lang w:val="lt-LT"/>
              </w:rPr>
              <w:t>Eil. Nr.</w:t>
            </w:r>
          </w:p>
        </w:tc>
        <w:tc>
          <w:tcPr>
            <w:tcW w:w="2977" w:type="dxa"/>
            <w:shd w:val="clear" w:color="auto" w:fill="auto"/>
          </w:tcPr>
          <w:p w:rsidR="00A82090" w:rsidRPr="000020BC" w:rsidRDefault="00A82090" w:rsidP="000020BC">
            <w:pPr>
              <w:jc w:val="center"/>
              <w:rPr>
                <w:b/>
                <w:color w:val="000000"/>
                <w:lang w:val="lt-LT"/>
              </w:rPr>
            </w:pPr>
            <w:r w:rsidRPr="000020BC">
              <w:rPr>
                <w:b/>
                <w:color w:val="000000"/>
                <w:lang w:val="lt-LT"/>
              </w:rPr>
              <w:t>Suinteresuotos institucijos pavadinimas, rašto data ir numeris</w:t>
            </w:r>
          </w:p>
        </w:tc>
        <w:tc>
          <w:tcPr>
            <w:tcW w:w="4536" w:type="dxa"/>
            <w:shd w:val="clear" w:color="auto" w:fill="auto"/>
          </w:tcPr>
          <w:p w:rsidR="00A82090" w:rsidRPr="000020BC" w:rsidRDefault="00A82090" w:rsidP="000020BC">
            <w:pPr>
              <w:jc w:val="center"/>
              <w:rPr>
                <w:b/>
                <w:color w:val="000000"/>
                <w:lang w:val="lt-LT"/>
              </w:rPr>
            </w:pPr>
            <w:r w:rsidRPr="000020BC">
              <w:rPr>
                <w:b/>
                <w:caps/>
                <w:color w:val="000000"/>
                <w:lang w:val="lt-LT"/>
              </w:rPr>
              <w:t>p</w:t>
            </w:r>
            <w:r w:rsidRPr="000020BC">
              <w:rPr>
                <w:b/>
                <w:color w:val="000000"/>
                <w:lang w:val="lt-LT"/>
              </w:rPr>
              <w:t>astabos ir pasiūlymai</w:t>
            </w:r>
          </w:p>
        </w:tc>
        <w:tc>
          <w:tcPr>
            <w:tcW w:w="6095" w:type="dxa"/>
            <w:shd w:val="clear" w:color="auto" w:fill="auto"/>
          </w:tcPr>
          <w:p w:rsidR="00A82090" w:rsidRPr="000020BC" w:rsidRDefault="00A82090" w:rsidP="000020BC">
            <w:pPr>
              <w:ind w:right="72"/>
              <w:jc w:val="center"/>
              <w:rPr>
                <w:b/>
                <w:color w:val="000000"/>
                <w:lang w:val="lt-LT"/>
              </w:rPr>
            </w:pPr>
            <w:r w:rsidRPr="000020BC">
              <w:rPr>
                <w:b/>
                <w:caps/>
                <w:color w:val="000000"/>
                <w:lang w:val="lt-LT"/>
              </w:rPr>
              <w:t>A</w:t>
            </w:r>
            <w:r w:rsidRPr="000020BC">
              <w:rPr>
                <w:b/>
                <w:color w:val="000000"/>
                <w:lang w:val="lt-LT"/>
              </w:rPr>
              <w:t>rgumentai, kodėl neatsižvelgta arba atsižvelgta iš dalies į suinteresuotos institucijos pastabas ir pasiūlymus</w:t>
            </w:r>
          </w:p>
          <w:p w:rsidR="00A82090" w:rsidRPr="000020BC" w:rsidRDefault="00A82090" w:rsidP="000020BC">
            <w:pPr>
              <w:jc w:val="center"/>
              <w:rPr>
                <w:b/>
                <w:color w:val="000000"/>
                <w:lang w:val="lt-LT"/>
              </w:rPr>
            </w:pPr>
          </w:p>
        </w:tc>
      </w:tr>
      <w:tr w:rsidR="0028538B" w:rsidRPr="000020BC" w:rsidTr="00924869">
        <w:trPr>
          <w:trHeight w:val="2348"/>
        </w:trPr>
        <w:tc>
          <w:tcPr>
            <w:tcW w:w="880" w:type="dxa"/>
          </w:tcPr>
          <w:p w:rsidR="0028538B" w:rsidRPr="000020BC" w:rsidRDefault="0028538B" w:rsidP="000020BC">
            <w:pPr>
              <w:pStyle w:val="Adresas"/>
              <w:numPr>
                <w:ilvl w:val="0"/>
                <w:numId w:val="1"/>
              </w:numPr>
              <w:ind w:left="0" w:right="0"/>
              <w:jc w:val="center"/>
              <w:rPr>
                <w:rStyle w:val="Emfaz"/>
                <w:i w:val="0"/>
                <w:iCs w:val="0"/>
              </w:rPr>
            </w:pPr>
          </w:p>
        </w:tc>
        <w:tc>
          <w:tcPr>
            <w:tcW w:w="2977" w:type="dxa"/>
            <w:shd w:val="clear" w:color="auto" w:fill="auto"/>
          </w:tcPr>
          <w:p w:rsidR="0028538B" w:rsidRPr="000020BC" w:rsidRDefault="009020E9" w:rsidP="000020BC">
            <w:pPr>
              <w:pStyle w:val="Adresas"/>
              <w:jc w:val="center"/>
              <w:rPr>
                <w:iCs/>
                <w:color w:val="000000"/>
                <w:lang w:val="en-US"/>
              </w:rPr>
            </w:pPr>
            <w:r>
              <w:rPr>
                <w:iCs/>
                <w:color w:val="000000"/>
                <w:lang w:val="en-US"/>
              </w:rPr>
              <w:t>Lietuvos teisėsaugos pareigūnų federacija, 2019-10-09 Nr. 4-205</w:t>
            </w:r>
          </w:p>
        </w:tc>
        <w:tc>
          <w:tcPr>
            <w:tcW w:w="4536" w:type="dxa"/>
            <w:shd w:val="clear" w:color="auto" w:fill="auto"/>
          </w:tcPr>
          <w:p w:rsidR="0028538B" w:rsidRDefault="009020E9" w:rsidP="000020BC">
            <w:pPr>
              <w:jc w:val="both"/>
              <w:rPr>
                <w:iCs/>
                <w:lang w:val="lt-LT"/>
              </w:rPr>
            </w:pPr>
            <w:r>
              <w:rPr>
                <w:iCs/>
                <w:lang w:val="lt-LT"/>
              </w:rPr>
              <w:t>Papildyti Statuto 61 straipsnio 3 dalį žodžiais „bei profesinių sąjungų narių papildomos socialinės garantijos“ ir ją išdėstyti taip:</w:t>
            </w:r>
          </w:p>
          <w:p w:rsidR="009020E9" w:rsidRPr="000020BC" w:rsidRDefault="009020E9" w:rsidP="006E2DA8">
            <w:pPr>
              <w:jc w:val="both"/>
              <w:rPr>
                <w:iCs/>
                <w:lang w:val="lt-LT"/>
              </w:rPr>
            </w:pPr>
            <w:r>
              <w:rPr>
                <w:iCs/>
                <w:lang w:val="lt-LT"/>
              </w:rPr>
              <w:t xml:space="preserve">„3. </w:t>
            </w:r>
            <w:r w:rsidRPr="009020E9">
              <w:rPr>
                <w:b/>
                <w:iCs/>
                <w:lang w:val="lt-LT"/>
              </w:rPr>
              <w:t xml:space="preserve">Statutinės įstaigos kolektyvinė sutartis yra rašytinis susitarimas, kurį sudaro statutinės įstaigos vadovas arba jo įgaliotas asmuo ir pareigūnams atstovaujančios statutinėje įstaigoje veikiančios profesinės sąjungos ir kuriame nustatomos statutinės įstaigos pareigūnų tarnybos (darbo) ir </w:t>
            </w:r>
            <w:r w:rsidRPr="009020E9">
              <w:rPr>
                <w:b/>
                <w:iCs/>
                <w:u w:val="single"/>
                <w:lang w:val="lt-LT"/>
              </w:rPr>
              <w:t>poilsio laiko</w:t>
            </w:r>
            <w:r w:rsidRPr="009020E9">
              <w:rPr>
                <w:b/>
                <w:iCs/>
                <w:lang w:val="lt-LT"/>
              </w:rPr>
              <w:t xml:space="preserve">, kitos socialinės </w:t>
            </w:r>
            <w:r w:rsidRPr="009020E9">
              <w:rPr>
                <w:b/>
                <w:iCs/>
                <w:strike/>
                <w:lang w:val="lt-LT"/>
              </w:rPr>
              <w:t>bei</w:t>
            </w:r>
            <w:r w:rsidRPr="009020E9">
              <w:rPr>
                <w:b/>
                <w:iCs/>
                <w:lang w:val="lt-LT"/>
              </w:rPr>
              <w:t xml:space="preserve"> </w:t>
            </w:r>
            <w:r w:rsidRPr="009020E9">
              <w:rPr>
                <w:b/>
                <w:iCs/>
                <w:u w:val="single"/>
                <w:lang w:val="lt-LT"/>
              </w:rPr>
              <w:t>ir</w:t>
            </w:r>
            <w:r w:rsidRPr="009020E9">
              <w:rPr>
                <w:b/>
                <w:iCs/>
                <w:lang w:val="lt-LT"/>
              </w:rPr>
              <w:t xml:space="preserve"> ekonominės sąlygos </w:t>
            </w:r>
            <w:r w:rsidRPr="009020E9">
              <w:rPr>
                <w:b/>
                <w:iCs/>
                <w:u w:val="single"/>
                <w:lang w:val="lt-LT"/>
              </w:rPr>
              <w:t>bei profesinių sąjungų narių papildomos socialinės garantijos</w:t>
            </w:r>
            <w:r w:rsidRPr="009020E9">
              <w:rPr>
                <w:b/>
                <w:iCs/>
                <w:lang w:val="lt-LT"/>
              </w:rPr>
              <w:t>. Statutinės įstaigos kolektyvinėje sutartyje negali būti nustatyta papildomų sąlygų, susijusių su papildomomis valstybės ir savivaldybių biudžetų ir valstybės pinigų fondų lėšomis.</w:t>
            </w:r>
            <w:r>
              <w:rPr>
                <w:iCs/>
                <w:lang w:val="lt-LT"/>
              </w:rPr>
              <w:t xml:space="preserve"> Šakos </w:t>
            </w:r>
            <w:r w:rsidRPr="009020E9">
              <w:rPr>
                <w:bCs/>
                <w:lang w:val="lt-LT" w:eastAsia="lt-LT"/>
              </w:rPr>
              <w:t>kolektyvinė sutartis yra profesinių sąjungų organizacijų (susivienijimo, federacijos, centro ir kitų), atstovaujančių vienoje viešojo administravimo veiklos srityje tarnaujantiems pareigūnams, ir Vyriausybės ar jos įgaliotos institucijos rašytinis susitarimas, kuriame nustatomos visų tos viešojo administravimo veiklos srities pareigūnų darbo užmokesčio, tarnybos (darbo) ir poilsio laiko</w:t>
            </w:r>
            <w:r>
              <w:rPr>
                <w:bCs/>
                <w:lang w:val="lt-LT" w:eastAsia="lt-LT"/>
              </w:rPr>
              <w:t>,</w:t>
            </w:r>
            <w:r w:rsidRPr="009020E9">
              <w:rPr>
                <w:bCs/>
                <w:lang w:val="lt-LT" w:eastAsia="lt-LT"/>
              </w:rPr>
              <w:t xml:space="preserve"> </w:t>
            </w:r>
            <w:r w:rsidRPr="009020E9">
              <w:rPr>
                <w:bCs/>
                <w:strike/>
                <w:lang w:val="lt-LT" w:eastAsia="lt-LT"/>
              </w:rPr>
              <w:t>ir</w:t>
            </w:r>
            <w:r w:rsidRPr="009020E9">
              <w:rPr>
                <w:bCs/>
                <w:lang w:val="lt-LT" w:eastAsia="lt-LT"/>
              </w:rPr>
              <w:t xml:space="preserve"> kitos socialinės </w:t>
            </w:r>
            <w:r w:rsidRPr="009020E9">
              <w:rPr>
                <w:bCs/>
                <w:strike/>
                <w:lang w:val="lt-LT" w:eastAsia="lt-LT"/>
              </w:rPr>
              <w:t>bei</w:t>
            </w:r>
            <w:r w:rsidRPr="009020E9">
              <w:rPr>
                <w:bCs/>
                <w:lang w:val="lt-LT" w:eastAsia="lt-LT"/>
              </w:rPr>
              <w:t xml:space="preserve"> </w:t>
            </w:r>
            <w:r w:rsidRPr="009020E9">
              <w:rPr>
                <w:b/>
                <w:bCs/>
                <w:u w:val="single"/>
                <w:lang w:val="lt-LT" w:eastAsia="lt-LT"/>
              </w:rPr>
              <w:t>ir</w:t>
            </w:r>
            <w:r>
              <w:rPr>
                <w:bCs/>
                <w:lang w:val="lt-LT" w:eastAsia="lt-LT"/>
              </w:rPr>
              <w:t xml:space="preserve"> </w:t>
            </w:r>
            <w:r w:rsidRPr="009020E9">
              <w:rPr>
                <w:bCs/>
                <w:lang w:val="lt-LT" w:eastAsia="lt-LT"/>
              </w:rPr>
              <w:t>ekonominės sąlygos</w:t>
            </w:r>
            <w:r w:rsidRPr="009020E9">
              <w:rPr>
                <w:b/>
                <w:iCs/>
                <w:u w:val="single"/>
                <w:lang w:val="lt-LT"/>
              </w:rPr>
              <w:t xml:space="preserve"> bei profesinių sąjungų narių papildomos socialinės </w:t>
            </w:r>
            <w:r w:rsidRPr="009020E9">
              <w:rPr>
                <w:b/>
                <w:iCs/>
                <w:u w:val="single"/>
                <w:lang w:val="lt-LT"/>
              </w:rPr>
              <w:lastRenderedPageBreak/>
              <w:t>garantijos</w:t>
            </w:r>
            <w:r>
              <w:rPr>
                <w:bCs/>
                <w:lang w:val="lt-LT" w:eastAsia="lt-LT"/>
              </w:rPr>
              <w:t xml:space="preserve">. </w:t>
            </w:r>
            <w:r w:rsidR="00A77670" w:rsidRPr="00A6448C">
              <w:rPr>
                <w:bCs/>
                <w:strike/>
                <w:lang w:eastAsia="lt-LT"/>
              </w:rPr>
              <w:t>Statutinės įstaigos kolektyvinė sutartis yra rašytinis susitarimas, kurį sudaro statutinės įstaigos vadovas arba jo įgaliotas asmuo ir pareigūnams atstovaujančios statutinėje įstaigoje veikiančios profesinės sąjungos ir kuriame nustatomos statutinės įstaigos pareigūnų tarnybos (darbo) ir kitos socialinės bei ekonominės sąlygos. Statutinės įstaigos kolektyvinėje sutartyje negali būti nustatyta papildomų sąlygų, susijusių su papildomomis valstybės ir savivaldybių biudžetų ir valstybės pinigų fondų lėšomis.</w:t>
            </w:r>
            <w:r w:rsidR="00A77670" w:rsidRPr="00A6448C">
              <w:rPr>
                <w:bCs/>
                <w:lang w:eastAsia="lt-LT"/>
              </w:rPr>
              <w:t xml:space="preserve"> </w:t>
            </w:r>
            <w:r w:rsidRPr="00A77670">
              <w:rPr>
                <w:b/>
                <w:bCs/>
                <w:lang w:val="lt-LT" w:eastAsia="lt-LT"/>
              </w:rPr>
              <w:t xml:space="preserve">Pareigūnams taikoma </w:t>
            </w:r>
            <w:r w:rsidRPr="00A77670">
              <w:rPr>
                <w:b/>
                <w:lang w:val="lt-LT" w:eastAsia="lt-LT"/>
              </w:rPr>
              <w:t>nacionalinė kolektyvinė sutartis, sudaryta tarp profesinių sąjungų organizacijų (susivienijimo, federacijos, centro ir kt.), atstovaujančių valstybės tarnautojams, ir Vyriausybės, kurioje nustatomi Lietuvos valstybės tarnautojų darbo užmokesčio, tarnybos (darbo), poilsio laiko</w:t>
            </w:r>
            <w:r w:rsidR="00A77670">
              <w:rPr>
                <w:b/>
                <w:lang w:val="lt-LT" w:eastAsia="lt-LT"/>
              </w:rPr>
              <w:t>,</w:t>
            </w:r>
            <w:r w:rsidRPr="00A77670">
              <w:rPr>
                <w:b/>
                <w:lang w:val="lt-LT" w:eastAsia="lt-LT"/>
              </w:rPr>
              <w:t xml:space="preserve"> </w:t>
            </w:r>
            <w:r w:rsidRPr="00A77670">
              <w:rPr>
                <w:b/>
                <w:strike/>
                <w:lang w:val="lt-LT" w:eastAsia="lt-LT"/>
              </w:rPr>
              <w:t>ir</w:t>
            </w:r>
            <w:r w:rsidRPr="00A77670">
              <w:rPr>
                <w:b/>
                <w:lang w:val="lt-LT" w:eastAsia="lt-LT"/>
              </w:rPr>
              <w:t xml:space="preserve"> kitos socialinės ir ekonominės sąlygos</w:t>
            </w:r>
            <w:r w:rsidR="00A77670" w:rsidRPr="009020E9">
              <w:rPr>
                <w:b/>
                <w:iCs/>
                <w:u w:val="single"/>
                <w:lang w:val="lt-LT"/>
              </w:rPr>
              <w:t xml:space="preserve"> bei profesinių sąjungų narių papildomos socialinės garantijos</w:t>
            </w:r>
            <w:r w:rsidRPr="00A77670">
              <w:rPr>
                <w:b/>
                <w:lang w:val="lt-LT" w:eastAsia="lt-LT"/>
              </w:rPr>
              <w:t xml:space="preserve">, </w:t>
            </w:r>
            <w:r w:rsidRPr="00C97D0A">
              <w:rPr>
                <w:b/>
                <w:lang w:val="lt-LT" w:eastAsia="lt-LT"/>
              </w:rPr>
              <w:t>kai tai nustatyta nacionalinėje kolektyvinėje sutartyje</w:t>
            </w:r>
            <w:r w:rsidRPr="00C97D0A">
              <w:rPr>
                <w:lang w:val="lt-LT" w:eastAsia="lt-LT"/>
              </w:rPr>
              <w:t>.“</w:t>
            </w:r>
          </w:p>
        </w:tc>
        <w:tc>
          <w:tcPr>
            <w:tcW w:w="6095" w:type="dxa"/>
            <w:shd w:val="clear" w:color="auto" w:fill="auto"/>
          </w:tcPr>
          <w:p w:rsidR="000C1251" w:rsidRDefault="00D947A6" w:rsidP="000C1251">
            <w:pPr>
              <w:ind w:firstLine="34"/>
              <w:jc w:val="both"/>
              <w:rPr>
                <w:rStyle w:val="Emfaz"/>
                <w:b/>
                <w:i w:val="0"/>
                <w:iCs w:val="0"/>
                <w:lang w:val="lt-LT"/>
              </w:rPr>
            </w:pPr>
            <w:r>
              <w:rPr>
                <w:rStyle w:val="Emfaz"/>
                <w:b/>
                <w:i w:val="0"/>
                <w:iCs w:val="0"/>
                <w:lang w:val="lt-LT"/>
              </w:rPr>
              <w:lastRenderedPageBreak/>
              <w:t>Atsižvelgta iš dalies</w:t>
            </w:r>
            <w:r w:rsidR="008F231B" w:rsidRPr="000020BC">
              <w:rPr>
                <w:rStyle w:val="Emfaz"/>
                <w:b/>
                <w:i w:val="0"/>
                <w:iCs w:val="0"/>
                <w:lang w:val="lt-LT"/>
              </w:rPr>
              <w:t>.</w:t>
            </w:r>
          </w:p>
          <w:p w:rsidR="005A1F30" w:rsidRDefault="005A1F30" w:rsidP="005A1F30">
            <w:pPr>
              <w:pStyle w:val="Antrats"/>
              <w:tabs>
                <w:tab w:val="left" w:pos="6237"/>
              </w:tabs>
              <w:jc w:val="both"/>
              <w:rPr>
                <w:lang w:val="lt-LT"/>
              </w:rPr>
            </w:pPr>
            <w:r w:rsidRPr="005A1F30">
              <w:rPr>
                <w:lang w:eastAsia="lt-LT"/>
              </w:rPr>
              <w:t>Pagal Vidaus tarnybos statutą</w:t>
            </w:r>
            <w:r>
              <w:rPr>
                <w:lang w:eastAsia="lt-LT"/>
              </w:rPr>
              <w:t xml:space="preserve"> </w:t>
            </w:r>
            <w:r w:rsidRPr="0042467B">
              <w:t>kolektyvinės sutartys</w:t>
            </w:r>
            <w:r w:rsidRPr="00B91203">
              <w:rPr>
                <w:b/>
              </w:rPr>
              <w:t xml:space="preserve"> </w:t>
            </w:r>
            <w:r w:rsidRPr="00B91203">
              <w:t xml:space="preserve">pareigūnų </w:t>
            </w:r>
            <w:r w:rsidRPr="0042467B">
              <w:rPr>
                <w:u w:val="single"/>
              </w:rPr>
              <w:t>nediferencijuoja pagal priklausymą profesinei sąjungai</w:t>
            </w:r>
            <w:r w:rsidRPr="00B91203">
              <w:t xml:space="preserve">. </w:t>
            </w:r>
            <w:r>
              <w:t xml:space="preserve"> </w:t>
            </w:r>
            <w:r w:rsidRPr="00B91203">
              <w:t>Priešingai – šakos kolektyvinė sutartis vidaus tarnyboje yra profesinių sąjungų</w:t>
            </w:r>
            <w:r w:rsidR="006E2DA8">
              <w:t>,</w:t>
            </w:r>
            <w:r w:rsidRPr="00B91203">
              <w:t xml:space="preserve"> atstovaujančių savo nari</w:t>
            </w:r>
            <w:r w:rsidR="006E2DA8">
              <w:t>ams,</w:t>
            </w:r>
            <w:r w:rsidRPr="00B91203">
              <w:t xml:space="preserve"> ir </w:t>
            </w:r>
            <w:r w:rsidR="006E2DA8">
              <w:t>V</w:t>
            </w:r>
            <w:r w:rsidRPr="00B91203">
              <w:t>yriausybės</w:t>
            </w:r>
            <w:r w:rsidR="006E2DA8">
              <w:t xml:space="preserve"> ar jos</w:t>
            </w:r>
            <w:r w:rsidRPr="00B91203">
              <w:t xml:space="preserve"> įgaliotos institucijos susitarimas</w:t>
            </w:r>
            <w:r w:rsidR="006E2DA8">
              <w:t>,</w:t>
            </w:r>
            <w:r w:rsidRPr="00B91203">
              <w:t xml:space="preserve"> reguliuojantis </w:t>
            </w:r>
            <w:r w:rsidRPr="00B91203">
              <w:rPr>
                <w:b/>
              </w:rPr>
              <w:t xml:space="preserve">visų </w:t>
            </w:r>
            <w:r w:rsidRPr="0042467B">
              <w:rPr>
                <w:b/>
              </w:rPr>
              <w:t>tos srities pareigūnų socialines ir ekonomine</w:t>
            </w:r>
            <w:r>
              <w:rPr>
                <w:b/>
              </w:rPr>
              <w:t xml:space="preserve">s sąlygas. </w:t>
            </w:r>
            <w:r w:rsidRPr="00E942AD">
              <w:t xml:space="preserve">Tokį reguliavimą lemia </w:t>
            </w:r>
            <w:r>
              <w:t>Vidaus tarnybos s</w:t>
            </w:r>
            <w:r w:rsidRPr="00E942AD">
              <w:t>tatute įtvirtinto lygiateisiškumo principo įgyvendinimas.</w:t>
            </w:r>
            <w:r w:rsidRPr="00B91203">
              <w:t xml:space="preserve"> </w:t>
            </w:r>
            <w:r>
              <w:t>V</w:t>
            </w:r>
            <w:r w:rsidRPr="00B91203">
              <w:t>ienas pagri</w:t>
            </w:r>
            <w:r>
              <w:t xml:space="preserve">ndinių vidaus tarnybos principų, </w:t>
            </w:r>
            <w:r w:rsidRPr="0042467B">
              <w:rPr>
                <w:i/>
              </w:rPr>
              <w:t>lygiateisiškumo principas</w:t>
            </w:r>
            <w:r w:rsidR="006E2DA8">
              <w:rPr>
                <w:i/>
              </w:rPr>
              <w:t>,</w:t>
            </w:r>
            <w:r w:rsidRPr="00B91203">
              <w:t xml:space="preserve"> numato, kad pareigūnai yra lygūs, </w:t>
            </w:r>
            <w:r w:rsidRPr="00B91203">
              <w:rPr>
                <w:i/>
              </w:rPr>
              <w:t xml:space="preserve">„&lt;...&gt; </w:t>
            </w:r>
            <w:r w:rsidRPr="00B91203">
              <w:rPr>
                <w:i/>
                <w:spacing w:val="2"/>
              </w:rPr>
              <w:t>pareigūno statusas negali būti ribojamas dėl aplinkybių, nesusijusių su pareigūno profesinėmis ir dalykinėmis savybėmis“</w:t>
            </w:r>
            <w:r w:rsidR="006E2DA8">
              <w:rPr>
                <w:i/>
                <w:spacing w:val="2"/>
              </w:rPr>
              <w:t>.</w:t>
            </w:r>
          </w:p>
          <w:p w:rsidR="005A1F30" w:rsidRDefault="005A1F30" w:rsidP="005A1F30">
            <w:pPr>
              <w:pStyle w:val="Antrats"/>
              <w:tabs>
                <w:tab w:val="left" w:pos="6237"/>
              </w:tabs>
              <w:jc w:val="both"/>
              <w:rPr>
                <w:lang w:val="lt-LT"/>
              </w:rPr>
            </w:pPr>
            <w:r>
              <w:rPr>
                <w:lang w:val="lt-LT"/>
              </w:rPr>
              <w:t>Taip pat p</w:t>
            </w:r>
            <w:r w:rsidRPr="00E942AD">
              <w:rPr>
                <w:lang w:val="lt-LT"/>
              </w:rPr>
              <w:t>ažymėtina, kad Konstitucinis Teismas ne kartą konstatavo, kad  &lt;... konstitucinis visų asmenų lygybės prieš įstatymą principas būtų pažeistas, jeigu tam tikra grupė asmenų, kuriems skiriama teisės norma, palyginti su kitais tos pačios normos adresatais, būtų kitaip traktuojama, nors tarp tų grupių nėra tokio pobūdžio ir tokios apimties skirtumų, kad toks nevienodas traktavimas būtų objektyviai pateisinamas (Konstitucinio Teismo 2004 m. gruodžio 13 d. nutarimas</w:t>
            </w:r>
            <w:r w:rsidR="00F32FC8">
              <w:rPr>
                <w:lang w:val="lt-LT"/>
              </w:rPr>
              <w:t>)</w:t>
            </w:r>
            <w:r w:rsidRPr="00E942AD">
              <w:rPr>
                <w:lang w:val="lt-LT"/>
              </w:rPr>
              <w:t>.</w:t>
            </w:r>
          </w:p>
          <w:p w:rsidR="005A1F30" w:rsidRDefault="005A1F30" w:rsidP="005A1F30">
            <w:pPr>
              <w:pStyle w:val="Antrats"/>
              <w:tabs>
                <w:tab w:val="left" w:pos="6237"/>
              </w:tabs>
              <w:jc w:val="both"/>
              <w:rPr>
                <w:lang w:val="lt-LT"/>
              </w:rPr>
            </w:pPr>
            <w:r w:rsidRPr="00E942AD">
              <w:rPr>
                <w:lang w:val="lt-LT"/>
              </w:rPr>
              <w:t xml:space="preserve">Atsižvelgiant į tai, </w:t>
            </w:r>
            <w:r>
              <w:rPr>
                <w:lang w:val="lt-LT"/>
              </w:rPr>
              <w:t xml:space="preserve">manytina, kad siūlymas kolektyvinėse sutartyse nustatyti profesinių sąjungų narių papildomas socialines garantijas prieštarauja lygiateisiškumo principui. </w:t>
            </w:r>
          </w:p>
          <w:p w:rsidR="005A1F30" w:rsidRDefault="005A1F30" w:rsidP="005A1F30">
            <w:pPr>
              <w:pStyle w:val="Antrats"/>
              <w:tabs>
                <w:tab w:val="left" w:pos="6237"/>
              </w:tabs>
              <w:jc w:val="both"/>
              <w:rPr>
                <w:lang w:val="lt-LT"/>
              </w:rPr>
            </w:pPr>
          </w:p>
          <w:p w:rsidR="005A1F30" w:rsidRDefault="005A1F30" w:rsidP="005A1F30">
            <w:pPr>
              <w:pStyle w:val="Antrats"/>
              <w:tabs>
                <w:tab w:val="left" w:pos="6237"/>
              </w:tabs>
              <w:jc w:val="both"/>
              <w:rPr>
                <w:lang w:val="lt-LT"/>
              </w:rPr>
            </w:pPr>
          </w:p>
          <w:p w:rsidR="00567B7D" w:rsidRPr="000C1251" w:rsidRDefault="00567B7D" w:rsidP="000C1251">
            <w:pPr>
              <w:ind w:firstLine="34"/>
              <w:jc w:val="both"/>
              <w:rPr>
                <w:b/>
                <w:lang w:val="lt-LT"/>
              </w:rPr>
            </w:pPr>
          </w:p>
          <w:p w:rsidR="008F231B" w:rsidRPr="000020BC" w:rsidRDefault="008F231B" w:rsidP="00D947A6">
            <w:pPr>
              <w:pStyle w:val="Pagrindinistekstas"/>
              <w:spacing w:line="360" w:lineRule="auto"/>
              <w:ind w:firstLine="720"/>
              <w:rPr>
                <w:rStyle w:val="Emfaz"/>
                <w:i w:val="0"/>
                <w:iCs w:val="0"/>
                <w:lang w:val="lt-LT"/>
              </w:rPr>
            </w:pPr>
          </w:p>
        </w:tc>
      </w:tr>
      <w:tr w:rsidR="00D947A6" w:rsidRPr="000020BC" w:rsidTr="00924869">
        <w:trPr>
          <w:trHeight w:val="2348"/>
        </w:trPr>
        <w:tc>
          <w:tcPr>
            <w:tcW w:w="880" w:type="dxa"/>
          </w:tcPr>
          <w:p w:rsidR="00D947A6" w:rsidRPr="000020BC" w:rsidRDefault="00D947A6" w:rsidP="000020BC">
            <w:pPr>
              <w:pStyle w:val="Adresas"/>
              <w:numPr>
                <w:ilvl w:val="0"/>
                <w:numId w:val="1"/>
              </w:numPr>
              <w:ind w:left="0" w:right="0"/>
              <w:jc w:val="center"/>
              <w:rPr>
                <w:rStyle w:val="Emfaz"/>
                <w:i w:val="0"/>
                <w:iCs w:val="0"/>
              </w:rPr>
            </w:pPr>
          </w:p>
        </w:tc>
        <w:tc>
          <w:tcPr>
            <w:tcW w:w="2977" w:type="dxa"/>
            <w:shd w:val="clear" w:color="auto" w:fill="auto"/>
          </w:tcPr>
          <w:p w:rsidR="00D947A6" w:rsidRDefault="00D947A6" w:rsidP="000020BC">
            <w:pPr>
              <w:pStyle w:val="Adresas"/>
              <w:jc w:val="center"/>
              <w:rPr>
                <w:iCs/>
                <w:color w:val="000000"/>
                <w:lang w:val="en-US"/>
              </w:rPr>
            </w:pPr>
            <w:r>
              <w:rPr>
                <w:iCs/>
                <w:color w:val="000000"/>
                <w:lang w:val="en-US"/>
              </w:rPr>
              <w:t>Socialinės apsaugos ir darbo ministerija</w:t>
            </w:r>
            <w:r w:rsidR="008A3370">
              <w:rPr>
                <w:iCs/>
                <w:color w:val="000000"/>
                <w:lang w:val="en-US"/>
              </w:rPr>
              <w:t>,</w:t>
            </w:r>
          </w:p>
          <w:p w:rsidR="008A3370" w:rsidRPr="000020BC" w:rsidRDefault="008A3370" w:rsidP="000020BC">
            <w:pPr>
              <w:pStyle w:val="Adresas"/>
              <w:jc w:val="center"/>
              <w:rPr>
                <w:iCs/>
                <w:color w:val="000000"/>
                <w:lang w:val="en-US"/>
              </w:rPr>
            </w:pPr>
            <w:r>
              <w:rPr>
                <w:iCs/>
                <w:color w:val="000000"/>
                <w:lang w:val="en-US"/>
              </w:rPr>
              <w:t>2019-10-14 Nr. (11.3-53)SD-4998</w:t>
            </w:r>
          </w:p>
        </w:tc>
        <w:tc>
          <w:tcPr>
            <w:tcW w:w="4536" w:type="dxa"/>
            <w:shd w:val="clear" w:color="auto" w:fill="auto"/>
          </w:tcPr>
          <w:p w:rsidR="00D947A6" w:rsidRDefault="00D947A6" w:rsidP="00D947A6">
            <w:pPr>
              <w:ind w:firstLine="33"/>
              <w:jc w:val="both"/>
              <w:rPr>
                <w:lang w:val="lt-LT"/>
              </w:rPr>
            </w:pPr>
            <w:r>
              <w:rPr>
                <w:lang w:val="lt-LT"/>
              </w:rPr>
              <w:t>Teikiame siūlymus d</w:t>
            </w:r>
            <w:r w:rsidRPr="009526A5">
              <w:rPr>
                <w:rFonts w:hint="eastAsia"/>
                <w:lang w:val="lt-LT"/>
              </w:rPr>
              <w:t>ė</w:t>
            </w:r>
            <w:r w:rsidRPr="009526A5">
              <w:rPr>
                <w:lang w:val="lt-LT"/>
              </w:rPr>
              <w:t xml:space="preserve">l </w:t>
            </w:r>
            <w:r>
              <w:rPr>
                <w:lang w:val="lt-LT"/>
              </w:rPr>
              <w:t xml:space="preserve">keičiamo Vidaus tarnybos statuto </w:t>
            </w:r>
            <w:r w:rsidRPr="009526A5">
              <w:rPr>
                <w:lang w:val="lt-LT"/>
              </w:rPr>
              <w:t>61 straipsnio</w:t>
            </w:r>
            <w:r>
              <w:rPr>
                <w:lang w:val="lt-LT"/>
              </w:rPr>
              <w:t>:</w:t>
            </w:r>
            <w:r w:rsidRPr="009526A5">
              <w:rPr>
                <w:lang w:val="lt-LT"/>
              </w:rPr>
              <w:t xml:space="preserve"> </w:t>
            </w:r>
          </w:p>
          <w:p w:rsidR="008A3370" w:rsidRPr="009526A5" w:rsidRDefault="008A3370" w:rsidP="00D947A6">
            <w:pPr>
              <w:ind w:firstLine="33"/>
              <w:jc w:val="both"/>
              <w:rPr>
                <w:lang w:val="lt-LT"/>
              </w:rPr>
            </w:pPr>
            <w:r>
              <w:rPr>
                <w:lang w:val="lt-LT"/>
              </w:rPr>
              <w:t xml:space="preserve">Atkreipiame dėmesį, kad </w:t>
            </w:r>
            <w:r w:rsidRPr="009526A5">
              <w:rPr>
                <w:lang w:val="lt-LT"/>
              </w:rPr>
              <w:t>Valstyb</w:t>
            </w:r>
            <w:r w:rsidRPr="009526A5">
              <w:rPr>
                <w:rFonts w:hint="eastAsia"/>
                <w:lang w:val="lt-LT"/>
              </w:rPr>
              <w:t>ė</w:t>
            </w:r>
            <w:r w:rsidRPr="009526A5">
              <w:rPr>
                <w:lang w:val="lt-LT"/>
              </w:rPr>
              <w:t xml:space="preserve">s tarnybos </w:t>
            </w:r>
            <w:r w:rsidRPr="009526A5">
              <w:rPr>
                <w:rFonts w:hint="eastAsia"/>
                <w:lang w:val="lt-LT"/>
              </w:rPr>
              <w:t>į</w:t>
            </w:r>
            <w:r>
              <w:rPr>
                <w:lang w:val="lt-LT"/>
              </w:rPr>
              <w:t>statyme neliko</w:t>
            </w:r>
            <w:r w:rsidRPr="009526A5">
              <w:rPr>
                <w:lang w:val="lt-LT"/>
              </w:rPr>
              <w:t xml:space="preserve"> </w:t>
            </w:r>
            <w:r w:rsidRPr="009526A5">
              <w:rPr>
                <w:rFonts w:hint="eastAsia"/>
                <w:lang w:val="lt-LT"/>
              </w:rPr>
              <w:t>š</w:t>
            </w:r>
            <w:r w:rsidRPr="009526A5">
              <w:rPr>
                <w:lang w:val="lt-LT"/>
              </w:rPr>
              <w:t>akos kolektyvini</w:t>
            </w:r>
            <w:r w:rsidRPr="009526A5">
              <w:rPr>
                <w:rFonts w:hint="eastAsia"/>
                <w:lang w:val="lt-LT"/>
              </w:rPr>
              <w:t>ų</w:t>
            </w:r>
            <w:r w:rsidRPr="009526A5">
              <w:rPr>
                <w:lang w:val="lt-LT"/>
              </w:rPr>
              <w:t xml:space="preserve"> sutar</w:t>
            </w:r>
            <w:r w:rsidRPr="009526A5">
              <w:rPr>
                <w:rFonts w:hint="eastAsia"/>
                <w:lang w:val="lt-LT"/>
              </w:rPr>
              <w:t>č</w:t>
            </w:r>
            <w:r w:rsidRPr="009526A5">
              <w:rPr>
                <w:lang w:val="lt-LT"/>
              </w:rPr>
              <w:t>i</w:t>
            </w:r>
            <w:r w:rsidRPr="009526A5">
              <w:rPr>
                <w:rFonts w:hint="eastAsia"/>
                <w:lang w:val="lt-LT"/>
              </w:rPr>
              <w:t>ų</w:t>
            </w:r>
            <w:r w:rsidRPr="009526A5">
              <w:rPr>
                <w:lang w:val="lt-LT"/>
              </w:rPr>
              <w:t xml:space="preserve"> reglamentavimo</w:t>
            </w:r>
            <w:r>
              <w:rPr>
                <w:lang w:val="lt-LT"/>
              </w:rPr>
              <w:t>. Mūsų nuomone, turėtų būti apsvarstytas šių nuostatų suderinamumas.</w:t>
            </w:r>
            <w:r w:rsidRPr="009526A5">
              <w:rPr>
                <w:lang w:val="lt-LT"/>
              </w:rPr>
              <w:t xml:space="preserve"> </w:t>
            </w:r>
          </w:p>
          <w:p w:rsidR="008A3370" w:rsidRDefault="00D947A6" w:rsidP="00D947A6">
            <w:pPr>
              <w:ind w:firstLine="33"/>
              <w:jc w:val="both"/>
              <w:rPr>
                <w:lang w:val="lt-LT"/>
              </w:rPr>
            </w:pPr>
            <w:r>
              <w:rPr>
                <w:lang w:val="lt-LT"/>
              </w:rPr>
              <w:t xml:space="preserve">  </w:t>
            </w:r>
          </w:p>
          <w:p w:rsidR="008A3370" w:rsidRDefault="008A3370" w:rsidP="00D947A6">
            <w:pPr>
              <w:ind w:firstLine="33"/>
              <w:jc w:val="both"/>
              <w:rPr>
                <w:lang w:val="lt-LT"/>
              </w:rPr>
            </w:pPr>
          </w:p>
          <w:p w:rsidR="00D947A6" w:rsidRPr="009526A5" w:rsidRDefault="00D947A6" w:rsidP="00D947A6">
            <w:pPr>
              <w:ind w:firstLine="33"/>
              <w:jc w:val="both"/>
              <w:rPr>
                <w:lang w:val="lt-LT"/>
              </w:rPr>
            </w:pPr>
            <w:bookmarkStart w:id="0" w:name="_GoBack"/>
            <w:bookmarkEnd w:id="0"/>
            <w:r w:rsidRPr="009526A5">
              <w:rPr>
                <w:lang w:val="lt-LT"/>
              </w:rPr>
              <w:t>Siekiant kolektyvini</w:t>
            </w:r>
            <w:r w:rsidRPr="009526A5">
              <w:rPr>
                <w:rFonts w:hint="eastAsia"/>
                <w:lang w:val="lt-LT"/>
              </w:rPr>
              <w:t>ų</w:t>
            </w:r>
            <w:r w:rsidRPr="009526A5">
              <w:rPr>
                <w:lang w:val="lt-LT"/>
              </w:rPr>
              <w:t xml:space="preserve"> santyki</w:t>
            </w:r>
            <w:r w:rsidRPr="009526A5">
              <w:rPr>
                <w:rFonts w:hint="eastAsia"/>
                <w:lang w:val="lt-LT"/>
              </w:rPr>
              <w:t>ų</w:t>
            </w:r>
            <w:r w:rsidRPr="009526A5">
              <w:rPr>
                <w:lang w:val="lt-LT"/>
              </w:rPr>
              <w:t xml:space="preserve"> </w:t>
            </w:r>
            <w:r>
              <w:rPr>
                <w:lang w:val="lt-LT"/>
              </w:rPr>
              <w:t xml:space="preserve">reglamentavimo </w:t>
            </w:r>
            <w:r w:rsidRPr="009526A5">
              <w:rPr>
                <w:lang w:val="lt-LT"/>
              </w:rPr>
              <w:t>vientisumo, si</w:t>
            </w:r>
            <w:r w:rsidRPr="009526A5">
              <w:rPr>
                <w:rFonts w:hint="eastAsia"/>
                <w:lang w:val="lt-LT"/>
              </w:rPr>
              <w:t>ū</w:t>
            </w:r>
            <w:r w:rsidRPr="009526A5">
              <w:rPr>
                <w:lang w:val="lt-LT"/>
              </w:rPr>
              <w:t>lytume numatyti, kad vis</w:t>
            </w:r>
            <w:r w:rsidRPr="009526A5">
              <w:rPr>
                <w:rFonts w:hint="eastAsia"/>
                <w:lang w:val="lt-LT"/>
              </w:rPr>
              <w:t>ų</w:t>
            </w:r>
            <w:r w:rsidRPr="009526A5">
              <w:rPr>
                <w:lang w:val="lt-LT"/>
              </w:rPr>
              <w:t xml:space="preserve"> lygi</w:t>
            </w:r>
            <w:r w:rsidRPr="009526A5">
              <w:rPr>
                <w:rFonts w:hint="eastAsia"/>
                <w:lang w:val="lt-LT"/>
              </w:rPr>
              <w:t>ų</w:t>
            </w:r>
            <w:r w:rsidRPr="009526A5">
              <w:rPr>
                <w:lang w:val="lt-LT"/>
              </w:rPr>
              <w:t xml:space="preserve"> kolektyvin</w:t>
            </w:r>
            <w:r w:rsidRPr="009526A5">
              <w:rPr>
                <w:rFonts w:hint="eastAsia"/>
                <w:lang w:val="lt-LT"/>
              </w:rPr>
              <w:t>ė</w:t>
            </w:r>
            <w:r w:rsidRPr="009526A5">
              <w:rPr>
                <w:lang w:val="lt-LT"/>
              </w:rPr>
              <w:t>s sutartys (</w:t>
            </w:r>
            <w:r w:rsidRPr="009526A5">
              <w:rPr>
                <w:rFonts w:hint="eastAsia"/>
                <w:lang w:val="lt-LT"/>
              </w:rPr>
              <w:t>į</w:t>
            </w:r>
            <w:r w:rsidRPr="009526A5">
              <w:rPr>
                <w:lang w:val="lt-LT"/>
              </w:rPr>
              <w:t xml:space="preserve">staigos, </w:t>
            </w:r>
            <w:r w:rsidRPr="009526A5">
              <w:rPr>
                <w:rFonts w:hint="eastAsia"/>
                <w:lang w:val="lt-LT"/>
              </w:rPr>
              <w:t>š</w:t>
            </w:r>
            <w:r>
              <w:rPr>
                <w:lang w:val="lt-LT"/>
              </w:rPr>
              <w:t>akos</w:t>
            </w:r>
            <w:r w:rsidRPr="009526A5">
              <w:rPr>
                <w:lang w:val="lt-LT"/>
              </w:rPr>
              <w:t xml:space="preserve"> ir nacionalin</w:t>
            </w:r>
            <w:r w:rsidRPr="009526A5">
              <w:rPr>
                <w:rFonts w:hint="eastAsia"/>
                <w:lang w:val="lt-LT"/>
              </w:rPr>
              <w:t>ė</w:t>
            </w:r>
            <w:r w:rsidRPr="009526A5">
              <w:rPr>
                <w:lang w:val="lt-LT"/>
              </w:rPr>
              <w:t xml:space="preserve">) </w:t>
            </w:r>
            <w:r w:rsidRPr="009526A5">
              <w:rPr>
                <w:lang w:val="lt-LT"/>
              </w:rPr>
              <w:lastRenderedPageBreak/>
              <w:t>taikomos tik kolektyvin</w:t>
            </w:r>
            <w:r w:rsidRPr="009526A5">
              <w:rPr>
                <w:rFonts w:hint="eastAsia"/>
                <w:lang w:val="lt-LT"/>
              </w:rPr>
              <w:t>ę</w:t>
            </w:r>
            <w:r w:rsidRPr="009526A5">
              <w:rPr>
                <w:lang w:val="lt-LT"/>
              </w:rPr>
              <w:t xml:space="preserve"> sutart</w:t>
            </w:r>
            <w:r w:rsidRPr="009526A5">
              <w:rPr>
                <w:rFonts w:hint="eastAsia"/>
                <w:lang w:val="lt-LT"/>
              </w:rPr>
              <w:t>į</w:t>
            </w:r>
            <w:r w:rsidRPr="009526A5">
              <w:rPr>
                <w:lang w:val="lt-LT"/>
              </w:rPr>
              <w:t xml:space="preserve"> pasira</w:t>
            </w:r>
            <w:r w:rsidRPr="009526A5">
              <w:rPr>
                <w:rFonts w:hint="eastAsia"/>
                <w:lang w:val="lt-LT"/>
              </w:rPr>
              <w:t>š</w:t>
            </w:r>
            <w:r w:rsidRPr="009526A5">
              <w:rPr>
                <w:lang w:val="lt-LT"/>
              </w:rPr>
              <w:t>iusi</w:t>
            </w:r>
            <w:r w:rsidRPr="009526A5">
              <w:rPr>
                <w:rFonts w:hint="eastAsia"/>
                <w:lang w:val="lt-LT"/>
              </w:rPr>
              <w:t>ų</w:t>
            </w:r>
            <w:r w:rsidRPr="009526A5">
              <w:rPr>
                <w:lang w:val="lt-LT"/>
              </w:rPr>
              <w:t xml:space="preserve"> profesini</w:t>
            </w:r>
            <w:r w:rsidRPr="009526A5">
              <w:rPr>
                <w:rFonts w:hint="eastAsia"/>
                <w:lang w:val="lt-LT"/>
              </w:rPr>
              <w:t>ų</w:t>
            </w:r>
            <w:r w:rsidRPr="009526A5">
              <w:rPr>
                <w:lang w:val="lt-LT"/>
              </w:rPr>
              <w:t xml:space="preserve"> s</w:t>
            </w:r>
            <w:r w:rsidRPr="009526A5">
              <w:rPr>
                <w:rFonts w:hint="eastAsia"/>
                <w:lang w:val="lt-LT"/>
              </w:rPr>
              <w:t>ą</w:t>
            </w:r>
            <w:r w:rsidRPr="009526A5">
              <w:rPr>
                <w:lang w:val="lt-LT"/>
              </w:rPr>
              <w:t>jung</w:t>
            </w:r>
            <w:r w:rsidRPr="009526A5">
              <w:rPr>
                <w:rFonts w:hint="eastAsia"/>
                <w:lang w:val="lt-LT"/>
              </w:rPr>
              <w:t>ų</w:t>
            </w:r>
            <w:r w:rsidRPr="009526A5">
              <w:rPr>
                <w:lang w:val="lt-LT"/>
              </w:rPr>
              <w:t xml:space="preserve"> nariams, o ne visiems pareig</w:t>
            </w:r>
            <w:r w:rsidRPr="009526A5">
              <w:rPr>
                <w:rFonts w:hint="eastAsia"/>
                <w:lang w:val="lt-LT"/>
              </w:rPr>
              <w:t>ū</w:t>
            </w:r>
            <w:r w:rsidRPr="009526A5">
              <w:rPr>
                <w:lang w:val="lt-LT"/>
              </w:rPr>
              <w:t xml:space="preserve">nams. </w:t>
            </w:r>
            <w:r>
              <w:rPr>
                <w:lang w:val="lt-LT"/>
              </w:rPr>
              <w:t xml:space="preserve">Toks reguliavimas yra numatytas Darbo kodekse, juo siekiama paskatinti dalyvavimą profesinėse sąjungose ir kolektyvinių sutarčių skaičiaus didėjimą.  </w:t>
            </w:r>
          </w:p>
          <w:p w:rsidR="00D947A6" w:rsidRDefault="00D947A6" w:rsidP="000020BC">
            <w:pPr>
              <w:jc w:val="both"/>
              <w:rPr>
                <w:iCs/>
                <w:lang w:val="lt-LT"/>
              </w:rPr>
            </w:pPr>
          </w:p>
        </w:tc>
        <w:tc>
          <w:tcPr>
            <w:tcW w:w="6095" w:type="dxa"/>
            <w:shd w:val="clear" w:color="auto" w:fill="auto"/>
          </w:tcPr>
          <w:p w:rsidR="00D947A6" w:rsidRDefault="00D947A6" w:rsidP="000020BC">
            <w:pPr>
              <w:ind w:firstLine="34"/>
              <w:jc w:val="both"/>
              <w:rPr>
                <w:rStyle w:val="Emfaz"/>
                <w:b/>
                <w:i w:val="0"/>
                <w:iCs w:val="0"/>
                <w:lang w:val="lt-LT"/>
              </w:rPr>
            </w:pPr>
            <w:r>
              <w:rPr>
                <w:rStyle w:val="Emfaz"/>
                <w:b/>
                <w:i w:val="0"/>
                <w:iCs w:val="0"/>
                <w:lang w:val="lt-LT"/>
              </w:rPr>
              <w:lastRenderedPageBreak/>
              <w:t>Neatsižvelgta.</w:t>
            </w:r>
          </w:p>
          <w:p w:rsidR="008A3370" w:rsidRDefault="008A3370" w:rsidP="008A3370">
            <w:pPr>
              <w:pStyle w:val="Antrats"/>
              <w:tabs>
                <w:tab w:val="left" w:pos="6237"/>
              </w:tabs>
              <w:jc w:val="both"/>
              <w:rPr>
                <w:bCs/>
                <w:lang w:eastAsia="lt-LT"/>
              </w:rPr>
            </w:pPr>
            <w:r>
              <w:rPr>
                <w:lang w:val="lt-LT"/>
              </w:rPr>
              <w:t>Šako</w:t>
            </w:r>
            <w:r>
              <w:rPr>
                <w:lang w:val="lt-LT"/>
              </w:rPr>
              <w:t>s</w:t>
            </w:r>
            <w:r>
              <w:rPr>
                <w:lang w:val="lt-LT"/>
              </w:rPr>
              <w:t xml:space="preserve"> kolektyvinių sutarčių reglamentavimo Vidaus tarnybos statute atsisakyti neketinama, šis in</w:t>
            </w:r>
            <w:r>
              <w:rPr>
                <w:lang w:val="lt-LT"/>
              </w:rPr>
              <w:t>stitutas statutinėse įstaigose yra</w:t>
            </w:r>
            <w:r>
              <w:rPr>
                <w:lang w:val="lt-LT"/>
              </w:rPr>
              <w:t xml:space="preserve"> įgyvendinamas: 2019 m. liepos mėn. pasirašyta Valstybės sienos apsaugos šakos kolektyvinė sutartis, šiuo metu baigiama derėtis dėl </w:t>
            </w:r>
            <w:r>
              <w:rPr>
                <w:bCs/>
                <w:lang w:eastAsia="lt-LT"/>
              </w:rPr>
              <w:t xml:space="preserve">Valstybinės priešgaisrinės gelbėjimo tarnybos šakos kolektyvinės sutarties parengimo. </w:t>
            </w:r>
          </w:p>
          <w:p w:rsidR="008A3370" w:rsidRDefault="008A3370" w:rsidP="008A3370">
            <w:pPr>
              <w:pStyle w:val="Antrats"/>
              <w:tabs>
                <w:tab w:val="left" w:pos="6237"/>
              </w:tabs>
              <w:jc w:val="both"/>
              <w:rPr>
                <w:lang w:val="lt-LT"/>
              </w:rPr>
            </w:pPr>
          </w:p>
          <w:p w:rsidR="00E942AD" w:rsidRDefault="00010D09" w:rsidP="00E942AD">
            <w:pPr>
              <w:pStyle w:val="Antrats"/>
              <w:tabs>
                <w:tab w:val="left" w:pos="6237"/>
              </w:tabs>
              <w:jc w:val="both"/>
              <w:rPr>
                <w:lang w:val="lt-LT"/>
              </w:rPr>
            </w:pPr>
            <w:r w:rsidRPr="00E942AD">
              <w:rPr>
                <w:lang w:val="lt-LT"/>
              </w:rPr>
              <w:t xml:space="preserve">Pažymėtina, kad </w:t>
            </w:r>
            <w:r w:rsidR="00E942AD">
              <w:rPr>
                <w:lang w:val="lt-LT"/>
              </w:rPr>
              <w:t>v</w:t>
            </w:r>
            <w:r w:rsidR="00E942AD" w:rsidRPr="00E942AD">
              <w:rPr>
                <w:lang w:val="lt-LT"/>
              </w:rPr>
              <w:t xml:space="preserve">alstybės tarnybos teisiniai santykiai – tai teisiniai santykiai tarp valstybės tarnautojo ir valstybės, kuri šio asmens atžvilgiu atlieka darbdavio vaidmenį; </w:t>
            </w:r>
            <w:r w:rsidR="00E942AD" w:rsidRPr="00E942AD">
              <w:rPr>
                <w:b/>
                <w:lang w:val="lt-LT"/>
              </w:rPr>
              <w:t xml:space="preserve">šie santykiai, nepaisant panašumų, nėra tapatūs darbo </w:t>
            </w:r>
            <w:r w:rsidR="00E942AD" w:rsidRPr="00E942AD">
              <w:rPr>
                <w:b/>
                <w:lang w:val="lt-LT"/>
              </w:rPr>
              <w:lastRenderedPageBreak/>
              <w:t>santykiams, susiklostantiems tarp darbuotojo, kuris nėra valstybės tarnautojas, ir darbdavio (nesvarbu, ar susiklostantiems valstybės arba savivaldybių institucijose, ar kitose įmonėse, įstaigose, organizacijose);</w:t>
            </w:r>
            <w:r w:rsidR="00E942AD" w:rsidRPr="00E942AD">
              <w:rPr>
                <w:lang w:val="lt-LT"/>
              </w:rPr>
              <w:t xml:space="preserve"> valstybės tarnautojai – ypatinga socialinė grupė, kurios specifiką lemia valstybės tarnybos paskirtis ir visuomeninis reikšmingumas, todėl valstybės tarnautojų teisinis statusas, teisių ir laisvių, kurias jie turi pagal Konstituciją ir įstatymus, įgyvendinimas negali neturėti reikšmingų ypatumų (Konstitucinio Teismo 2004</w:t>
            </w:r>
            <w:r w:rsidR="00F32FC8">
              <w:rPr>
                <w:lang w:val="lt-LT"/>
              </w:rPr>
              <w:t> </w:t>
            </w:r>
            <w:r w:rsidR="00E942AD" w:rsidRPr="00E942AD">
              <w:rPr>
                <w:lang w:val="lt-LT"/>
              </w:rPr>
              <w:t>m. gruodžio 13 d., 2007 m. kovo 20 d. nutarimai).</w:t>
            </w:r>
            <w:r w:rsidR="00E942AD" w:rsidRPr="00CA0EF5">
              <w:rPr>
                <w:u w:val="single"/>
              </w:rPr>
              <w:t xml:space="preserve"> </w:t>
            </w:r>
            <w:r w:rsidR="00E942AD" w:rsidRPr="00E942AD">
              <w:rPr>
                <w:lang w:val="lt-LT"/>
              </w:rPr>
              <w:t xml:space="preserve">Ypatumai lemia imperatyvių nuostatų, reglamentuojančių valstybės tarnautojų socialines garantijas (pailgintos kasmetinės atostogos, skatinimo priemonės ir kt.), darbo užmokesčio, materialinės atsakomybės ir kt. nustatymą </w:t>
            </w:r>
            <w:r w:rsidR="00293383">
              <w:rPr>
                <w:lang w:val="lt-LT"/>
              </w:rPr>
              <w:t>Vidaus tarnybos statute</w:t>
            </w:r>
            <w:r w:rsidR="00E942AD" w:rsidRPr="00E942AD">
              <w:rPr>
                <w:lang w:val="lt-LT"/>
              </w:rPr>
              <w:t xml:space="preserve">, o ne </w:t>
            </w:r>
            <w:r w:rsidR="00F32FC8" w:rsidRPr="00E942AD">
              <w:rPr>
                <w:lang w:val="lt-LT"/>
              </w:rPr>
              <w:t>D</w:t>
            </w:r>
            <w:r w:rsidR="00F32FC8">
              <w:rPr>
                <w:lang w:val="lt-LT"/>
              </w:rPr>
              <w:t>arbo kodekse</w:t>
            </w:r>
            <w:r w:rsidR="00E942AD" w:rsidRPr="00E942AD">
              <w:rPr>
                <w:lang w:val="lt-LT"/>
              </w:rPr>
              <w:t xml:space="preserve">. </w:t>
            </w:r>
          </w:p>
          <w:p w:rsidR="00E942AD" w:rsidRDefault="00E942AD" w:rsidP="00E942AD">
            <w:pPr>
              <w:pStyle w:val="Antrats"/>
              <w:tabs>
                <w:tab w:val="left" w:pos="6237"/>
              </w:tabs>
              <w:jc w:val="both"/>
              <w:rPr>
                <w:spacing w:val="2"/>
              </w:rPr>
            </w:pPr>
            <w:r>
              <w:rPr>
                <w:lang w:val="lt-LT"/>
              </w:rPr>
              <w:t xml:space="preserve">Atkreiptinas dėmesys į tai, kad </w:t>
            </w:r>
            <w:r w:rsidRPr="00E942AD">
              <w:rPr>
                <w:b/>
                <w:lang w:val="lt-LT"/>
              </w:rPr>
              <w:t>p</w:t>
            </w:r>
            <w:r w:rsidRPr="009D2D47">
              <w:rPr>
                <w:b/>
                <w:lang w:eastAsia="lt-LT"/>
              </w:rPr>
              <w:t>agal Darbo kodeksą</w:t>
            </w:r>
            <w:r>
              <w:rPr>
                <w:lang w:eastAsia="lt-LT"/>
              </w:rPr>
              <w:t xml:space="preserve"> n</w:t>
            </w:r>
            <w:r w:rsidRPr="00B91203">
              <w:rPr>
                <w:lang w:eastAsia="lt-LT"/>
              </w:rPr>
              <w:t>acionalin</w:t>
            </w:r>
            <w:r w:rsidR="00293383">
              <w:rPr>
                <w:lang w:eastAsia="lt-LT"/>
              </w:rPr>
              <w:t>ė</w:t>
            </w:r>
            <w:r w:rsidRPr="00B91203">
              <w:rPr>
                <w:lang w:eastAsia="lt-LT"/>
              </w:rPr>
              <w:t xml:space="preserve"> (tarpšakin</w:t>
            </w:r>
            <w:r w:rsidR="00293383">
              <w:rPr>
                <w:lang w:eastAsia="lt-LT"/>
              </w:rPr>
              <w:t>ė</w:t>
            </w:r>
            <w:r w:rsidRPr="00B91203">
              <w:rPr>
                <w:lang w:eastAsia="lt-LT"/>
              </w:rPr>
              <w:t>), teritorin</w:t>
            </w:r>
            <w:r w:rsidR="00293383">
              <w:rPr>
                <w:lang w:eastAsia="lt-LT"/>
              </w:rPr>
              <w:t>ė</w:t>
            </w:r>
            <w:r w:rsidRPr="00B91203">
              <w:rPr>
                <w:lang w:eastAsia="lt-LT"/>
              </w:rPr>
              <w:t xml:space="preserve">, šakos </w:t>
            </w:r>
            <w:r w:rsidRPr="00B91203">
              <w:rPr>
                <w:u w:color="222222"/>
                <w:lang w:eastAsia="lt-LT"/>
              </w:rPr>
              <w:t>(gamybos, paslaugų, profesi</w:t>
            </w:r>
            <w:r w:rsidR="00293383">
              <w:rPr>
                <w:u w:color="222222"/>
                <w:lang w:eastAsia="lt-LT"/>
              </w:rPr>
              <w:t>jos</w:t>
            </w:r>
            <w:r w:rsidRPr="00B91203">
              <w:rPr>
                <w:u w:color="222222"/>
                <w:lang w:eastAsia="lt-LT"/>
              </w:rPr>
              <w:t>)</w:t>
            </w:r>
            <w:r w:rsidRPr="00B91203">
              <w:rPr>
                <w:lang w:eastAsia="lt-LT"/>
              </w:rPr>
              <w:t xml:space="preserve"> </w:t>
            </w:r>
            <w:r w:rsidRPr="00B91203">
              <w:rPr>
                <w:bCs/>
                <w:lang w:eastAsia="lt-LT"/>
              </w:rPr>
              <w:t>lygmeniu sudaryt</w:t>
            </w:r>
            <w:r w:rsidR="00293383">
              <w:rPr>
                <w:bCs/>
                <w:lang w:eastAsia="lt-LT"/>
              </w:rPr>
              <w:t>a</w:t>
            </w:r>
            <w:r>
              <w:rPr>
                <w:lang w:eastAsia="lt-LT"/>
              </w:rPr>
              <w:t xml:space="preserve"> kolektyvinė sutartis privalomai taikoma </w:t>
            </w:r>
            <w:r w:rsidRPr="00B91203">
              <w:rPr>
                <w:lang w:eastAsia="lt-LT"/>
              </w:rPr>
              <w:t xml:space="preserve">profesinių sąjungų ar jų organizacijas sudarančių profesinių sąjungų </w:t>
            </w:r>
            <w:r w:rsidRPr="00B91203">
              <w:rPr>
                <w:bCs/>
                <w:lang w:eastAsia="lt-LT"/>
              </w:rPr>
              <w:t>atstovaujamiems darbuotojams</w:t>
            </w:r>
            <w:r>
              <w:rPr>
                <w:bCs/>
                <w:lang w:eastAsia="lt-LT"/>
              </w:rPr>
              <w:t xml:space="preserve">. </w:t>
            </w:r>
            <w:r>
              <w:rPr>
                <w:lang w:eastAsia="lt-LT"/>
              </w:rPr>
              <w:t xml:space="preserve">Tuo tarpu </w:t>
            </w:r>
            <w:r w:rsidRPr="009D2D47">
              <w:rPr>
                <w:b/>
                <w:lang w:eastAsia="lt-LT"/>
              </w:rPr>
              <w:t xml:space="preserve">pagal </w:t>
            </w:r>
            <w:r>
              <w:rPr>
                <w:b/>
                <w:lang w:eastAsia="lt-LT"/>
              </w:rPr>
              <w:t>Vidaus tarnybos s</w:t>
            </w:r>
            <w:r w:rsidRPr="009D2D47">
              <w:rPr>
                <w:b/>
                <w:lang w:eastAsia="lt-LT"/>
              </w:rPr>
              <w:t>tatutą</w:t>
            </w:r>
            <w:r>
              <w:rPr>
                <w:lang w:eastAsia="lt-LT"/>
              </w:rPr>
              <w:t xml:space="preserve"> </w:t>
            </w:r>
            <w:r w:rsidRPr="0042467B">
              <w:t>kolektyvinės sutartys</w:t>
            </w:r>
            <w:r w:rsidRPr="00B91203">
              <w:rPr>
                <w:b/>
              </w:rPr>
              <w:t xml:space="preserve"> </w:t>
            </w:r>
            <w:r w:rsidRPr="00B91203">
              <w:t xml:space="preserve">pareigūnų </w:t>
            </w:r>
            <w:r w:rsidRPr="0042467B">
              <w:rPr>
                <w:u w:val="single"/>
              </w:rPr>
              <w:t>nediferencijuoja pagal priklausymą profesinei sąjungai</w:t>
            </w:r>
            <w:r w:rsidRPr="00B91203">
              <w:t>. Priešingai – šakos kolektyvinė sutartis vidaus tarnyboje yra profesinių sąjungų</w:t>
            </w:r>
            <w:r w:rsidR="00293383">
              <w:t>,</w:t>
            </w:r>
            <w:r w:rsidRPr="00B91203">
              <w:t xml:space="preserve"> atstovaujančių savo narius</w:t>
            </w:r>
            <w:r w:rsidR="00293383">
              <w:t>,</w:t>
            </w:r>
            <w:r w:rsidRPr="00B91203">
              <w:t xml:space="preserve"> ir </w:t>
            </w:r>
            <w:r w:rsidR="00293383">
              <w:t>V</w:t>
            </w:r>
            <w:r w:rsidRPr="00B91203">
              <w:t>yriausybės</w:t>
            </w:r>
            <w:r w:rsidR="00293383">
              <w:t xml:space="preserve"> ar jos</w:t>
            </w:r>
            <w:r w:rsidRPr="00B91203">
              <w:t xml:space="preserve"> įgaliotos institucijos susitarimas</w:t>
            </w:r>
            <w:r w:rsidR="00293383">
              <w:t>,</w:t>
            </w:r>
            <w:r w:rsidRPr="00B91203">
              <w:t xml:space="preserve"> reguliuojantis </w:t>
            </w:r>
            <w:r w:rsidRPr="00B91203">
              <w:rPr>
                <w:b/>
              </w:rPr>
              <w:t xml:space="preserve">visų </w:t>
            </w:r>
            <w:r w:rsidRPr="0042467B">
              <w:rPr>
                <w:b/>
              </w:rPr>
              <w:t>tos srities pareigūnų socialines ir ekonomine</w:t>
            </w:r>
            <w:r>
              <w:rPr>
                <w:b/>
              </w:rPr>
              <w:t xml:space="preserve">s sąlygas. </w:t>
            </w:r>
            <w:r w:rsidRPr="00E942AD">
              <w:t xml:space="preserve">Tokį reguliavimą lemia </w:t>
            </w:r>
            <w:r>
              <w:t>Vidaus tarnybos s</w:t>
            </w:r>
            <w:r w:rsidRPr="00E942AD">
              <w:t>tatute įtvirtinto lygiateisiškumo principo įgyvendinimas.</w:t>
            </w:r>
            <w:r w:rsidRPr="00B91203">
              <w:t xml:space="preserve"> </w:t>
            </w:r>
            <w:r>
              <w:t>V</w:t>
            </w:r>
            <w:r w:rsidRPr="00B91203">
              <w:t>ienas pagri</w:t>
            </w:r>
            <w:r>
              <w:t xml:space="preserve">ndinių vidaus tarnybos principų, </w:t>
            </w:r>
            <w:r w:rsidRPr="0042467B">
              <w:rPr>
                <w:i/>
              </w:rPr>
              <w:t>lygiateisiškumo principas</w:t>
            </w:r>
            <w:r w:rsidR="00293383">
              <w:rPr>
                <w:i/>
              </w:rPr>
              <w:t>,</w:t>
            </w:r>
            <w:r w:rsidRPr="00B91203">
              <w:t xml:space="preserve"> numato, kad pareigūnai yra lygūs, </w:t>
            </w:r>
            <w:r w:rsidRPr="00B91203">
              <w:rPr>
                <w:i/>
              </w:rPr>
              <w:t xml:space="preserve">„&lt;...&gt; </w:t>
            </w:r>
            <w:r w:rsidRPr="00B91203">
              <w:rPr>
                <w:i/>
                <w:spacing w:val="2"/>
              </w:rPr>
              <w:t>pareigūno statusas negali būti ribojamas dėl aplinkybių, nesusijusių su pareigūno profesinėmis ir dalykinėmis savybėmis“</w:t>
            </w:r>
            <w:r w:rsidR="00293383">
              <w:rPr>
                <w:i/>
                <w:spacing w:val="2"/>
              </w:rPr>
              <w:t>.</w:t>
            </w:r>
            <w:r w:rsidRPr="00B91203">
              <w:rPr>
                <w:i/>
                <w:spacing w:val="2"/>
              </w:rPr>
              <w:t xml:space="preserve"> </w:t>
            </w:r>
            <w:r w:rsidRPr="00B91203">
              <w:rPr>
                <w:spacing w:val="2"/>
              </w:rPr>
              <w:t>Pareigūnų darbo užmokestis</w:t>
            </w:r>
            <w:r>
              <w:rPr>
                <w:spacing w:val="2"/>
              </w:rPr>
              <w:t xml:space="preserve"> yra diferencijuojama</w:t>
            </w:r>
            <w:r w:rsidRPr="00B91203">
              <w:rPr>
                <w:spacing w:val="2"/>
              </w:rPr>
              <w:t xml:space="preserve">s pagal </w:t>
            </w:r>
            <w:r>
              <w:rPr>
                <w:spacing w:val="2"/>
              </w:rPr>
              <w:t xml:space="preserve">statutinės įstaigos grupę, </w:t>
            </w:r>
            <w:r w:rsidRPr="00B91203">
              <w:rPr>
                <w:spacing w:val="2"/>
              </w:rPr>
              <w:t xml:space="preserve">pareigybių lygį, </w:t>
            </w:r>
            <w:r>
              <w:rPr>
                <w:spacing w:val="2"/>
              </w:rPr>
              <w:t>jį taip pat lemia tarnybinės veiklos rezultatai, atostogų trukmė diferencijuojama pagal tarnybos stažą</w:t>
            </w:r>
            <w:r w:rsidRPr="00B91203">
              <w:rPr>
                <w:spacing w:val="2"/>
              </w:rPr>
              <w:t xml:space="preserve">, bet ne </w:t>
            </w:r>
            <w:r>
              <w:rPr>
                <w:spacing w:val="2"/>
              </w:rPr>
              <w:t>pagal priklausymą profesinei sąjungai</w:t>
            </w:r>
            <w:r w:rsidRPr="00B91203">
              <w:rPr>
                <w:spacing w:val="2"/>
              </w:rPr>
              <w:t xml:space="preserve">. </w:t>
            </w:r>
          </w:p>
          <w:p w:rsidR="00D947A6" w:rsidRPr="00D947A6" w:rsidRDefault="00E942AD" w:rsidP="00C97D0A">
            <w:pPr>
              <w:pStyle w:val="Antrats"/>
              <w:tabs>
                <w:tab w:val="left" w:pos="6237"/>
              </w:tabs>
              <w:jc w:val="both"/>
              <w:rPr>
                <w:rStyle w:val="Emfaz"/>
                <w:i w:val="0"/>
                <w:iCs w:val="0"/>
                <w:lang w:val="lt-LT"/>
              </w:rPr>
            </w:pPr>
            <w:r w:rsidRPr="00E942AD">
              <w:rPr>
                <w:lang w:val="lt-LT"/>
              </w:rPr>
              <w:lastRenderedPageBreak/>
              <w:t>Pažymėtina, kad Konstitucinis Teismas ne kartą konstatavo, kad &lt;... konstitucinis visų asmenų lygybės prieš įstatymą principas būtų pažeistas, jeigu tam tikra grupė asmenų, kuriems skiriama teisės norma, palyginti su kitais tos pačios normos adresatais, būtų kitaip traktuojama, nors tarp tų grupių nėra tokio pobūdžio ir tokios apimties skirtumų, kad toks nevienodas traktavimas būtų objektyviai pateisinamas (Konstitucinio Teismo 2004 m. gruodžio 13 d. nutarimas</w:t>
            </w:r>
            <w:r w:rsidR="00F32FC8">
              <w:rPr>
                <w:lang w:val="lt-LT"/>
              </w:rPr>
              <w:t>)</w:t>
            </w:r>
            <w:r w:rsidRPr="00E942AD">
              <w:rPr>
                <w:lang w:val="lt-LT"/>
              </w:rPr>
              <w:t xml:space="preserve">. Atsižvelgiant į tai, </w:t>
            </w:r>
            <w:r>
              <w:rPr>
                <w:lang w:val="lt-LT"/>
              </w:rPr>
              <w:t>siūlymas kolektyvinių sutarčių nuostata</w:t>
            </w:r>
            <w:r w:rsidRPr="00E942AD">
              <w:rPr>
                <w:lang w:val="lt-LT"/>
              </w:rPr>
              <w:t>s</w:t>
            </w:r>
            <w:r>
              <w:t xml:space="preserve"> taikyti tik pr</w:t>
            </w:r>
            <w:r w:rsidRPr="00B91203">
              <w:t xml:space="preserve">ofesinių sąjungų </w:t>
            </w:r>
            <w:r w:rsidRPr="00B91203">
              <w:rPr>
                <w:bCs/>
              </w:rPr>
              <w:t xml:space="preserve">atstovaujamiems </w:t>
            </w:r>
            <w:r>
              <w:rPr>
                <w:bCs/>
              </w:rPr>
              <w:t xml:space="preserve">pareigūnams, </w:t>
            </w:r>
            <w:r>
              <w:t>vienai statutinių valstybės tarnautojų grupei (profesinių sąjungų nariams) sukurtų išskirtines (privilegijuotas) socialines garantijas, todėl būtų pažeistas Konstitucijos 29</w:t>
            </w:r>
            <w:r w:rsidR="00E22904">
              <w:t> </w:t>
            </w:r>
            <w:r>
              <w:t>straipsnyje įtvirtintas lygiateisiškumo (nediskriminavimo) principas kitų statutinių valstybės tarnautojų atžvilgiu</w:t>
            </w:r>
            <w:bookmarkStart w:id="1" w:name="part_227de002700545f9a997ac4a9c2fb10b"/>
            <w:bookmarkEnd w:id="1"/>
            <w:r>
              <w:t>.</w:t>
            </w:r>
          </w:p>
        </w:tc>
      </w:tr>
    </w:tbl>
    <w:p w:rsidR="002E22A6" w:rsidRPr="000020BC" w:rsidRDefault="002E22A6" w:rsidP="000020BC"/>
    <w:sectPr w:rsidR="002E22A6" w:rsidRPr="000020BC" w:rsidSect="00DE65E4">
      <w:headerReference w:type="default" r:id="rId7"/>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E8" w:rsidRDefault="00792EE8" w:rsidP="00261517">
      <w:r>
        <w:separator/>
      </w:r>
    </w:p>
  </w:endnote>
  <w:endnote w:type="continuationSeparator" w:id="0">
    <w:p w:rsidR="00792EE8" w:rsidRDefault="00792EE8" w:rsidP="00261517">
      <w:r>
        <w:continuationSeparator/>
      </w:r>
    </w:p>
  </w:endnote>
  <w:endnote w:type="continuationNotice" w:id="1">
    <w:p w:rsidR="00792EE8" w:rsidRDefault="0079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E8" w:rsidRDefault="00792EE8" w:rsidP="00261517">
      <w:r>
        <w:separator/>
      </w:r>
    </w:p>
  </w:footnote>
  <w:footnote w:type="continuationSeparator" w:id="0">
    <w:p w:rsidR="00792EE8" w:rsidRDefault="00792EE8" w:rsidP="00261517">
      <w:r>
        <w:continuationSeparator/>
      </w:r>
    </w:p>
  </w:footnote>
  <w:footnote w:type="continuationNotice" w:id="1">
    <w:p w:rsidR="00792EE8" w:rsidRDefault="00792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91293"/>
      <w:docPartObj>
        <w:docPartGallery w:val="Page Numbers (Top of Page)"/>
        <w:docPartUnique/>
      </w:docPartObj>
    </w:sdtPr>
    <w:sdtEndPr/>
    <w:sdtContent>
      <w:p w:rsidR="007A30CA" w:rsidRDefault="007A30CA">
        <w:pPr>
          <w:pStyle w:val="Antrats"/>
          <w:jc w:val="center"/>
        </w:pPr>
        <w:r>
          <w:fldChar w:fldCharType="begin"/>
        </w:r>
        <w:r>
          <w:instrText>PAGE   \* MERGEFORMAT</w:instrText>
        </w:r>
        <w:r>
          <w:fldChar w:fldCharType="separate"/>
        </w:r>
        <w:r w:rsidR="00B9322D" w:rsidRPr="00B9322D">
          <w:rPr>
            <w:noProof/>
            <w:lang w:val="lt-LT"/>
          </w:rPr>
          <w:t>4</w:t>
        </w:r>
        <w:r>
          <w:fldChar w:fldCharType="end"/>
        </w:r>
      </w:p>
    </w:sdtContent>
  </w:sdt>
  <w:p w:rsidR="007A30CA" w:rsidRDefault="007A30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3C4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6551B3E"/>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 w15:restartNumberingAfterBreak="0">
    <w:nsid w:val="078B0EC7"/>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08C237E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09750EB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A77286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0AC8579F"/>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0B1E3C0E"/>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0D511A21"/>
    <w:multiLevelType w:val="hybridMultilevel"/>
    <w:tmpl w:val="EA4AC756"/>
    <w:lvl w:ilvl="0" w:tplc="A74A3296">
      <w:start w:val="14"/>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7ED0C7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19630E4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16113E9"/>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50365B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3BAD29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19B1D3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39869C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46DF186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663AD3"/>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0"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C307AA"/>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2" w15:restartNumberingAfterBreak="0">
    <w:nsid w:val="5C4E66C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4" w15:restartNumberingAfterBreak="0">
    <w:nsid w:val="5DCC16F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E6920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60CD5486"/>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63C70C81"/>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6A557D8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70194BA0"/>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721610EA"/>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7283602A"/>
    <w:multiLevelType w:val="hybridMultilevel"/>
    <w:tmpl w:val="EFD8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432C3C"/>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33"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7DFB60B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3"/>
  </w:num>
  <w:num w:numId="5">
    <w:abstractNumId w:val="20"/>
  </w:num>
  <w:num w:numId="6">
    <w:abstractNumId w:val="19"/>
  </w:num>
  <w:num w:numId="7">
    <w:abstractNumId w:val="21"/>
  </w:num>
  <w:num w:numId="8">
    <w:abstractNumId w:val="1"/>
  </w:num>
  <w:num w:numId="9">
    <w:abstractNumId w:val="32"/>
  </w:num>
  <w:num w:numId="10">
    <w:abstractNumId w:val="8"/>
  </w:num>
  <w:num w:numId="11">
    <w:abstractNumId w:val="12"/>
  </w:num>
  <w:num w:numId="12">
    <w:abstractNumId w:val="15"/>
  </w:num>
  <w:num w:numId="13">
    <w:abstractNumId w:val="6"/>
  </w:num>
  <w:num w:numId="14">
    <w:abstractNumId w:val="13"/>
  </w:num>
  <w:num w:numId="15">
    <w:abstractNumId w:val="26"/>
  </w:num>
  <w:num w:numId="16">
    <w:abstractNumId w:val="5"/>
  </w:num>
  <w:num w:numId="17">
    <w:abstractNumId w:val="25"/>
  </w:num>
  <w:num w:numId="18">
    <w:abstractNumId w:val="17"/>
  </w:num>
  <w:num w:numId="19">
    <w:abstractNumId w:val="27"/>
  </w:num>
  <w:num w:numId="20">
    <w:abstractNumId w:val="28"/>
  </w:num>
  <w:num w:numId="21">
    <w:abstractNumId w:val="4"/>
  </w:num>
  <w:num w:numId="22">
    <w:abstractNumId w:val="7"/>
  </w:num>
  <w:num w:numId="23">
    <w:abstractNumId w:val="11"/>
  </w:num>
  <w:num w:numId="24">
    <w:abstractNumId w:val="0"/>
  </w:num>
  <w:num w:numId="25">
    <w:abstractNumId w:val="24"/>
  </w:num>
  <w:num w:numId="26">
    <w:abstractNumId w:val="30"/>
  </w:num>
  <w:num w:numId="27">
    <w:abstractNumId w:val="2"/>
  </w:num>
  <w:num w:numId="28">
    <w:abstractNumId w:val="14"/>
  </w:num>
  <w:num w:numId="29">
    <w:abstractNumId w:val="10"/>
  </w:num>
  <w:num w:numId="30">
    <w:abstractNumId w:val="22"/>
  </w:num>
  <w:num w:numId="31">
    <w:abstractNumId w:val="3"/>
  </w:num>
  <w:num w:numId="32">
    <w:abstractNumId w:val="16"/>
  </w:num>
  <w:num w:numId="33">
    <w:abstractNumId w:val="29"/>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8"/>
    <w:rsid w:val="00001AE6"/>
    <w:rsid w:val="0000203C"/>
    <w:rsid w:val="000020BC"/>
    <w:rsid w:val="00003A36"/>
    <w:rsid w:val="00006E6B"/>
    <w:rsid w:val="00010D09"/>
    <w:rsid w:val="00013178"/>
    <w:rsid w:val="00015DC3"/>
    <w:rsid w:val="00021075"/>
    <w:rsid w:val="000229B2"/>
    <w:rsid w:val="00022E2C"/>
    <w:rsid w:val="0002466B"/>
    <w:rsid w:val="00027928"/>
    <w:rsid w:val="00027FD6"/>
    <w:rsid w:val="00031F55"/>
    <w:rsid w:val="0003750E"/>
    <w:rsid w:val="0003779A"/>
    <w:rsid w:val="00037EFF"/>
    <w:rsid w:val="0004023F"/>
    <w:rsid w:val="000417DF"/>
    <w:rsid w:val="00042658"/>
    <w:rsid w:val="00044756"/>
    <w:rsid w:val="00044C61"/>
    <w:rsid w:val="00050EB8"/>
    <w:rsid w:val="00053192"/>
    <w:rsid w:val="00053DEC"/>
    <w:rsid w:val="00053F3E"/>
    <w:rsid w:val="000569D4"/>
    <w:rsid w:val="00056E85"/>
    <w:rsid w:val="00061A7A"/>
    <w:rsid w:val="00062E44"/>
    <w:rsid w:val="00063711"/>
    <w:rsid w:val="00063DBE"/>
    <w:rsid w:val="000705F4"/>
    <w:rsid w:val="00070ECC"/>
    <w:rsid w:val="00082764"/>
    <w:rsid w:val="000833E5"/>
    <w:rsid w:val="000925BB"/>
    <w:rsid w:val="00092A72"/>
    <w:rsid w:val="000937B7"/>
    <w:rsid w:val="00095E98"/>
    <w:rsid w:val="00096D66"/>
    <w:rsid w:val="00096F79"/>
    <w:rsid w:val="0009727D"/>
    <w:rsid w:val="000A2878"/>
    <w:rsid w:val="000A57B9"/>
    <w:rsid w:val="000B0BFE"/>
    <w:rsid w:val="000B2780"/>
    <w:rsid w:val="000B33A2"/>
    <w:rsid w:val="000C0170"/>
    <w:rsid w:val="000C1251"/>
    <w:rsid w:val="000C33CE"/>
    <w:rsid w:val="000C3A0A"/>
    <w:rsid w:val="000C44BD"/>
    <w:rsid w:val="000C4649"/>
    <w:rsid w:val="000C635E"/>
    <w:rsid w:val="000C7483"/>
    <w:rsid w:val="000C78FB"/>
    <w:rsid w:val="000D39A0"/>
    <w:rsid w:val="000D3B14"/>
    <w:rsid w:val="000D5F74"/>
    <w:rsid w:val="000D6E30"/>
    <w:rsid w:val="000D7AF2"/>
    <w:rsid w:val="000E0D42"/>
    <w:rsid w:val="000E18EA"/>
    <w:rsid w:val="000E244A"/>
    <w:rsid w:val="000E2A50"/>
    <w:rsid w:val="00101A17"/>
    <w:rsid w:val="001027DF"/>
    <w:rsid w:val="001103E7"/>
    <w:rsid w:val="00112D6B"/>
    <w:rsid w:val="0011434B"/>
    <w:rsid w:val="00116AD9"/>
    <w:rsid w:val="001175B2"/>
    <w:rsid w:val="00117C6C"/>
    <w:rsid w:val="001207E4"/>
    <w:rsid w:val="00124475"/>
    <w:rsid w:val="0012796A"/>
    <w:rsid w:val="00130AF9"/>
    <w:rsid w:val="001326E6"/>
    <w:rsid w:val="0013391E"/>
    <w:rsid w:val="00134386"/>
    <w:rsid w:val="00135F83"/>
    <w:rsid w:val="0014137A"/>
    <w:rsid w:val="00142853"/>
    <w:rsid w:val="001471C3"/>
    <w:rsid w:val="00154108"/>
    <w:rsid w:val="001564A4"/>
    <w:rsid w:val="0016077E"/>
    <w:rsid w:val="00171865"/>
    <w:rsid w:val="0017391D"/>
    <w:rsid w:val="001816DD"/>
    <w:rsid w:val="0019216B"/>
    <w:rsid w:val="00192223"/>
    <w:rsid w:val="00196500"/>
    <w:rsid w:val="001A2957"/>
    <w:rsid w:val="001A4223"/>
    <w:rsid w:val="001A63DB"/>
    <w:rsid w:val="001A762F"/>
    <w:rsid w:val="001B3632"/>
    <w:rsid w:val="001C1EB9"/>
    <w:rsid w:val="001C67C8"/>
    <w:rsid w:val="001D301F"/>
    <w:rsid w:val="001D407F"/>
    <w:rsid w:val="001D63B3"/>
    <w:rsid w:val="001E27C0"/>
    <w:rsid w:val="001E5B96"/>
    <w:rsid w:val="001F690B"/>
    <w:rsid w:val="00201C3C"/>
    <w:rsid w:val="00206DD8"/>
    <w:rsid w:val="00210BF6"/>
    <w:rsid w:val="002115A6"/>
    <w:rsid w:val="00215B53"/>
    <w:rsid w:val="00220767"/>
    <w:rsid w:val="00220926"/>
    <w:rsid w:val="00222A3B"/>
    <w:rsid w:val="00222F77"/>
    <w:rsid w:val="0022327F"/>
    <w:rsid w:val="00226596"/>
    <w:rsid w:val="00230238"/>
    <w:rsid w:val="00230DED"/>
    <w:rsid w:val="00233370"/>
    <w:rsid w:val="00235F25"/>
    <w:rsid w:val="0023660B"/>
    <w:rsid w:val="00242690"/>
    <w:rsid w:val="00244457"/>
    <w:rsid w:val="00246B6C"/>
    <w:rsid w:val="00246C30"/>
    <w:rsid w:val="002523D2"/>
    <w:rsid w:val="002536A1"/>
    <w:rsid w:val="00253792"/>
    <w:rsid w:val="0025417F"/>
    <w:rsid w:val="002543DE"/>
    <w:rsid w:val="00256E95"/>
    <w:rsid w:val="00257A29"/>
    <w:rsid w:val="00260878"/>
    <w:rsid w:val="002612A5"/>
    <w:rsid w:val="00261517"/>
    <w:rsid w:val="00261DFC"/>
    <w:rsid w:val="00262862"/>
    <w:rsid w:val="0027108D"/>
    <w:rsid w:val="0027293C"/>
    <w:rsid w:val="002751C6"/>
    <w:rsid w:val="002765FF"/>
    <w:rsid w:val="002777CE"/>
    <w:rsid w:val="0028135C"/>
    <w:rsid w:val="00281FFD"/>
    <w:rsid w:val="0028538B"/>
    <w:rsid w:val="00290523"/>
    <w:rsid w:val="002932E2"/>
    <w:rsid w:val="00293383"/>
    <w:rsid w:val="00294DB4"/>
    <w:rsid w:val="002971FF"/>
    <w:rsid w:val="00297B24"/>
    <w:rsid w:val="002A3D57"/>
    <w:rsid w:val="002A5507"/>
    <w:rsid w:val="002A5DA6"/>
    <w:rsid w:val="002A7924"/>
    <w:rsid w:val="002A7952"/>
    <w:rsid w:val="002A7DAF"/>
    <w:rsid w:val="002B09EF"/>
    <w:rsid w:val="002B1F52"/>
    <w:rsid w:val="002B2915"/>
    <w:rsid w:val="002B3A14"/>
    <w:rsid w:val="002B3F32"/>
    <w:rsid w:val="002B4A09"/>
    <w:rsid w:val="002C1BE9"/>
    <w:rsid w:val="002C42CC"/>
    <w:rsid w:val="002C7098"/>
    <w:rsid w:val="002C756D"/>
    <w:rsid w:val="002C7737"/>
    <w:rsid w:val="002D11D9"/>
    <w:rsid w:val="002E22A6"/>
    <w:rsid w:val="002E724A"/>
    <w:rsid w:val="002F02A7"/>
    <w:rsid w:val="002F0DE8"/>
    <w:rsid w:val="002F4DE5"/>
    <w:rsid w:val="002F54B4"/>
    <w:rsid w:val="00302842"/>
    <w:rsid w:val="0030284F"/>
    <w:rsid w:val="003037E3"/>
    <w:rsid w:val="0030527A"/>
    <w:rsid w:val="0030717F"/>
    <w:rsid w:val="00307FC7"/>
    <w:rsid w:val="003126BD"/>
    <w:rsid w:val="00313C70"/>
    <w:rsid w:val="00316544"/>
    <w:rsid w:val="003237B7"/>
    <w:rsid w:val="00323E04"/>
    <w:rsid w:val="00325212"/>
    <w:rsid w:val="003253DE"/>
    <w:rsid w:val="00325822"/>
    <w:rsid w:val="003304FB"/>
    <w:rsid w:val="0033063A"/>
    <w:rsid w:val="00331FC1"/>
    <w:rsid w:val="003341A0"/>
    <w:rsid w:val="00337043"/>
    <w:rsid w:val="00337BAB"/>
    <w:rsid w:val="00341C21"/>
    <w:rsid w:val="00345955"/>
    <w:rsid w:val="00345C06"/>
    <w:rsid w:val="003503A4"/>
    <w:rsid w:val="003547D6"/>
    <w:rsid w:val="00354F6C"/>
    <w:rsid w:val="003551E5"/>
    <w:rsid w:val="00357C5F"/>
    <w:rsid w:val="0036196C"/>
    <w:rsid w:val="00362CEF"/>
    <w:rsid w:val="00363373"/>
    <w:rsid w:val="00363E34"/>
    <w:rsid w:val="003654B4"/>
    <w:rsid w:val="00367740"/>
    <w:rsid w:val="00367A0E"/>
    <w:rsid w:val="003703B0"/>
    <w:rsid w:val="00371BC0"/>
    <w:rsid w:val="00373768"/>
    <w:rsid w:val="0037484D"/>
    <w:rsid w:val="00377653"/>
    <w:rsid w:val="00380FF2"/>
    <w:rsid w:val="00381461"/>
    <w:rsid w:val="00384D4E"/>
    <w:rsid w:val="00386970"/>
    <w:rsid w:val="00386F61"/>
    <w:rsid w:val="00390626"/>
    <w:rsid w:val="00394F53"/>
    <w:rsid w:val="00394F68"/>
    <w:rsid w:val="00395694"/>
    <w:rsid w:val="00397A8E"/>
    <w:rsid w:val="003A3CA4"/>
    <w:rsid w:val="003A4702"/>
    <w:rsid w:val="003B0832"/>
    <w:rsid w:val="003B0D89"/>
    <w:rsid w:val="003B1016"/>
    <w:rsid w:val="003B26D6"/>
    <w:rsid w:val="003B4B84"/>
    <w:rsid w:val="003C05F4"/>
    <w:rsid w:val="003C3D37"/>
    <w:rsid w:val="003C4762"/>
    <w:rsid w:val="003D1A0C"/>
    <w:rsid w:val="003D2A71"/>
    <w:rsid w:val="003D6EFF"/>
    <w:rsid w:val="003D7207"/>
    <w:rsid w:val="003D721C"/>
    <w:rsid w:val="003D72D7"/>
    <w:rsid w:val="003E047E"/>
    <w:rsid w:val="003E0523"/>
    <w:rsid w:val="003E1158"/>
    <w:rsid w:val="003E3953"/>
    <w:rsid w:val="003E3C20"/>
    <w:rsid w:val="003E6502"/>
    <w:rsid w:val="003E72DC"/>
    <w:rsid w:val="003E7647"/>
    <w:rsid w:val="003F2D20"/>
    <w:rsid w:val="003F313F"/>
    <w:rsid w:val="003F4BF4"/>
    <w:rsid w:val="003F5743"/>
    <w:rsid w:val="003F78E5"/>
    <w:rsid w:val="004010D8"/>
    <w:rsid w:val="004017CA"/>
    <w:rsid w:val="00402624"/>
    <w:rsid w:val="004071AE"/>
    <w:rsid w:val="00410AB7"/>
    <w:rsid w:val="00412FD9"/>
    <w:rsid w:val="0041483D"/>
    <w:rsid w:val="00414F35"/>
    <w:rsid w:val="00415814"/>
    <w:rsid w:val="00417FC7"/>
    <w:rsid w:val="004266AD"/>
    <w:rsid w:val="0042768B"/>
    <w:rsid w:val="0043044A"/>
    <w:rsid w:val="00430BB7"/>
    <w:rsid w:val="00431F40"/>
    <w:rsid w:val="0043563D"/>
    <w:rsid w:val="00441CD4"/>
    <w:rsid w:val="00442E66"/>
    <w:rsid w:val="00447142"/>
    <w:rsid w:val="004478AC"/>
    <w:rsid w:val="00447F28"/>
    <w:rsid w:val="00453B57"/>
    <w:rsid w:val="00454C37"/>
    <w:rsid w:val="004553BC"/>
    <w:rsid w:val="00455609"/>
    <w:rsid w:val="00455C6D"/>
    <w:rsid w:val="004569D0"/>
    <w:rsid w:val="004606B0"/>
    <w:rsid w:val="0046110A"/>
    <w:rsid w:val="00461C07"/>
    <w:rsid w:val="00463E82"/>
    <w:rsid w:val="00464FDA"/>
    <w:rsid w:val="0046671A"/>
    <w:rsid w:val="00466CE9"/>
    <w:rsid w:val="00473340"/>
    <w:rsid w:val="0047420F"/>
    <w:rsid w:val="00474643"/>
    <w:rsid w:val="004765D9"/>
    <w:rsid w:val="004809E7"/>
    <w:rsid w:val="00482481"/>
    <w:rsid w:val="004864BD"/>
    <w:rsid w:val="004879C3"/>
    <w:rsid w:val="004907D4"/>
    <w:rsid w:val="00491636"/>
    <w:rsid w:val="004975F1"/>
    <w:rsid w:val="004A1CA7"/>
    <w:rsid w:val="004A331A"/>
    <w:rsid w:val="004A3D2E"/>
    <w:rsid w:val="004A401D"/>
    <w:rsid w:val="004B6BF7"/>
    <w:rsid w:val="004C203A"/>
    <w:rsid w:val="004C26D5"/>
    <w:rsid w:val="004C2C37"/>
    <w:rsid w:val="004C2FDE"/>
    <w:rsid w:val="004C366B"/>
    <w:rsid w:val="004C4437"/>
    <w:rsid w:val="004C4636"/>
    <w:rsid w:val="004C71D8"/>
    <w:rsid w:val="004D0A88"/>
    <w:rsid w:val="004D6008"/>
    <w:rsid w:val="004D631A"/>
    <w:rsid w:val="004E5D0F"/>
    <w:rsid w:val="004E6478"/>
    <w:rsid w:val="004E668D"/>
    <w:rsid w:val="004E6BF1"/>
    <w:rsid w:val="004F04D9"/>
    <w:rsid w:val="004F14C8"/>
    <w:rsid w:val="004F36D0"/>
    <w:rsid w:val="004F4193"/>
    <w:rsid w:val="004F5EF2"/>
    <w:rsid w:val="004F6E81"/>
    <w:rsid w:val="00503FDB"/>
    <w:rsid w:val="00504288"/>
    <w:rsid w:val="005108F0"/>
    <w:rsid w:val="0051396A"/>
    <w:rsid w:val="005164BF"/>
    <w:rsid w:val="005202EE"/>
    <w:rsid w:val="0052153F"/>
    <w:rsid w:val="0052529C"/>
    <w:rsid w:val="0052713F"/>
    <w:rsid w:val="00530B95"/>
    <w:rsid w:val="00530F3A"/>
    <w:rsid w:val="00530FED"/>
    <w:rsid w:val="00532748"/>
    <w:rsid w:val="0053366E"/>
    <w:rsid w:val="00535FAA"/>
    <w:rsid w:val="00536D5A"/>
    <w:rsid w:val="00537CF0"/>
    <w:rsid w:val="00543E79"/>
    <w:rsid w:val="005448E4"/>
    <w:rsid w:val="00544DAE"/>
    <w:rsid w:val="00552482"/>
    <w:rsid w:val="0055482D"/>
    <w:rsid w:val="00555E9E"/>
    <w:rsid w:val="0055794F"/>
    <w:rsid w:val="00564678"/>
    <w:rsid w:val="0056685C"/>
    <w:rsid w:val="00567B7D"/>
    <w:rsid w:val="00570789"/>
    <w:rsid w:val="005735DD"/>
    <w:rsid w:val="005738F9"/>
    <w:rsid w:val="00574690"/>
    <w:rsid w:val="00585DCC"/>
    <w:rsid w:val="0059001D"/>
    <w:rsid w:val="00591744"/>
    <w:rsid w:val="005930AC"/>
    <w:rsid w:val="005935D1"/>
    <w:rsid w:val="00594147"/>
    <w:rsid w:val="00596260"/>
    <w:rsid w:val="005A14BE"/>
    <w:rsid w:val="005A1F30"/>
    <w:rsid w:val="005A203A"/>
    <w:rsid w:val="005A20A5"/>
    <w:rsid w:val="005A369E"/>
    <w:rsid w:val="005A36C5"/>
    <w:rsid w:val="005A407B"/>
    <w:rsid w:val="005A45EC"/>
    <w:rsid w:val="005A7CC8"/>
    <w:rsid w:val="005B4E5F"/>
    <w:rsid w:val="005B562B"/>
    <w:rsid w:val="005C2D2A"/>
    <w:rsid w:val="005C362D"/>
    <w:rsid w:val="005C5C6B"/>
    <w:rsid w:val="005C6C1D"/>
    <w:rsid w:val="005D239E"/>
    <w:rsid w:val="005D2E3A"/>
    <w:rsid w:val="005D3201"/>
    <w:rsid w:val="005D40B4"/>
    <w:rsid w:val="005D4828"/>
    <w:rsid w:val="005D48BF"/>
    <w:rsid w:val="005E5911"/>
    <w:rsid w:val="005E72E9"/>
    <w:rsid w:val="005F189C"/>
    <w:rsid w:val="005F198F"/>
    <w:rsid w:val="005F484A"/>
    <w:rsid w:val="005F6146"/>
    <w:rsid w:val="005F654D"/>
    <w:rsid w:val="006050AD"/>
    <w:rsid w:val="00614BF1"/>
    <w:rsid w:val="006164DC"/>
    <w:rsid w:val="006174CF"/>
    <w:rsid w:val="00622CC8"/>
    <w:rsid w:val="00622D48"/>
    <w:rsid w:val="00625347"/>
    <w:rsid w:val="0063229B"/>
    <w:rsid w:val="00636AAB"/>
    <w:rsid w:val="0064114E"/>
    <w:rsid w:val="00643211"/>
    <w:rsid w:val="00645869"/>
    <w:rsid w:val="00650771"/>
    <w:rsid w:val="00650F8E"/>
    <w:rsid w:val="00650FB9"/>
    <w:rsid w:val="006517A4"/>
    <w:rsid w:val="0066287C"/>
    <w:rsid w:val="00662C30"/>
    <w:rsid w:val="006631A2"/>
    <w:rsid w:val="00663F2D"/>
    <w:rsid w:val="006644F2"/>
    <w:rsid w:val="006648D4"/>
    <w:rsid w:val="00665865"/>
    <w:rsid w:val="0067296E"/>
    <w:rsid w:val="00673D45"/>
    <w:rsid w:val="0067555F"/>
    <w:rsid w:val="006837BC"/>
    <w:rsid w:val="006869DA"/>
    <w:rsid w:val="00686F9E"/>
    <w:rsid w:val="00690AB9"/>
    <w:rsid w:val="00694293"/>
    <w:rsid w:val="0069456C"/>
    <w:rsid w:val="006B0E18"/>
    <w:rsid w:val="006B1C0B"/>
    <w:rsid w:val="006B2609"/>
    <w:rsid w:val="006B36FE"/>
    <w:rsid w:val="006B39DD"/>
    <w:rsid w:val="006C7525"/>
    <w:rsid w:val="006C7B8C"/>
    <w:rsid w:val="006D2EB8"/>
    <w:rsid w:val="006D4BDE"/>
    <w:rsid w:val="006D7F89"/>
    <w:rsid w:val="006E2578"/>
    <w:rsid w:val="006E2DA8"/>
    <w:rsid w:val="006E3667"/>
    <w:rsid w:val="006E36AD"/>
    <w:rsid w:val="006E51AD"/>
    <w:rsid w:val="006E5404"/>
    <w:rsid w:val="006E6122"/>
    <w:rsid w:val="006E7496"/>
    <w:rsid w:val="006F34B3"/>
    <w:rsid w:val="006F3872"/>
    <w:rsid w:val="006F4491"/>
    <w:rsid w:val="006F62B6"/>
    <w:rsid w:val="006F79EC"/>
    <w:rsid w:val="006F7FB8"/>
    <w:rsid w:val="00700C3F"/>
    <w:rsid w:val="00702059"/>
    <w:rsid w:val="0070281F"/>
    <w:rsid w:val="0070401B"/>
    <w:rsid w:val="00711C2C"/>
    <w:rsid w:val="00713727"/>
    <w:rsid w:val="0071462D"/>
    <w:rsid w:val="00715BED"/>
    <w:rsid w:val="00717A24"/>
    <w:rsid w:val="00721A31"/>
    <w:rsid w:val="00722EA3"/>
    <w:rsid w:val="00724945"/>
    <w:rsid w:val="007301A5"/>
    <w:rsid w:val="00732621"/>
    <w:rsid w:val="0073378B"/>
    <w:rsid w:val="00733E65"/>
    <w:rsid w:val="0073777F"/>
    <w:rsid w:val="00745212"/>
    <w:rsid w:val="007530AC"/>
    <w:rsid w:val="007542D0"/>
    <w:rsid w:val="00755851"/>
    <w:rsid w:val="00761739"/>
    <w:rsid w:val="00762123"/>
    <w:rsid w:val="0076342D"/>
    <w:rsid w:val="00764FDD"/>
    <w:rsid w:val="007668E2"/>
    <w:rsid w:val="00767BD0"/>
    <w:rsid w:val="00770CC0"/>
    <w:rsid w:val="00772614"/>
    <w:rsid w:val="007804C3"/>
    <w:rsid w:val="00783A8A"/>
    <w:rsid w:val="00785338"/>
    <w:rsid w:val="00785B80"/>
    <w:rsid w:val="00787136"/>
    <w:rsid w:val="00791E76"/>
    <w:rsid w:val="00792EE8"/>
    <w:rsid w:val="00794F74"/>
    <w:rsid w:val="007950A5"/>
    <w:rsid w:val="0079543B"/>
    <w:rsid w:val="00795AF6"/>
    <w:rsid w:val="007969BB"/>
    <w:rsid w:val="007A08CC"/>
    <w:rsid w:val="007A1E94"/>
    <w:rsid w:val="007A30CA"/>
    <w:rsid w:val="007A6D81"/>
    <w:rsid w:val="007B094A"/>
    <w:rsid w:val="007B1E00"/>
    <w:rsid w:val="007B430D"/>
    <w:rsid w:val="007B4F33"/>
    <w:rsid w:val="007B5E45"/>
    <w:rsid w:val="007B730D"/>
    <w:rsid w:val="007B7611"/>
    <w:rsid w:val="007C3209"/>
    <w:rsid w:val="007C34BA"/>
    <w:rsid w:val="007C3DE7"/>
    <w:rsid w:val="007C472C"/>
    <w:rsid w:val="007D1270"/>
    <w:rsid w:val="007E01B8"/>
    <w:rsid w:val="007E135F"/>
    <w:rsid w:val="007E16E7"/>
    <w:rsid w:val="007E6D79"/>
    <w:rsid w:val="007F1CBD"/>
    <w:rsid w:val="007F5B59"/>
    <w:rsid w:val="007F64CC"/>
    <w:rsid w:val="007F64EB"/>
    <w:rsid w:val="00801FA1"/>
    <w:rsid w:val="00813013"/>
    <w:rsid w:val="0081325D"/>
    <w:rsid w:val="00820ED9"/>
    <w:rsid w:val="00821086"/>
    <w:rsid w:val="00830AC6"/>
    <w:rsid w:val="008378A1"/>
    <w:rsid w:val="00841CFA"/>
    <w:rsid w:val="00842F43"/>
    <w:rsid w:val="008443BD"/>
    <w:rsid w:val="00845229"/>
    <w:rsid w:val="00852AE0"/>
    <w:rsid w:val="00855584"/>
    <w:rsid w:val="00863834"/>
    <w:rsid w:val="00865FB9"/>
    <w:rsid w:val="008738B6"/>
    <w:rsid w:val="00874874"/>
    <w:rsid w:val="008757E6"/>
    <w:rsid w:val="00877C26"/>
    <w:rsid w:val="00884F23"/>
    <w:rsid w:val="00886F38"/>
    <w:rsid w:val="008872E3"/>
    <w:rsid w:val="008903CA"/>
    <w:rsid w:val="00890719"/>
    <w:rsid w:val="00893A34"/>
    <w:rsid w:val="008A1192"/>
    <w:rsid w:val="008A1256"/>
    <w:rsid w:val="008A1CEE"/>
    <w:rsid w:val="008A3370"/>
    <w:rsid w:val="008A5BA6"/>
    <w:rsid w:val="008A7693"/>
    <w:rsid w:val="008B2216"/>
    <w:rsid w:val="008B25B5"/>
    <w:rsid w:val="008B2CAE"/>
    <w:rsid w:val="008B5604"/>
    <w:rsid w:val="008B5B3E"/>
    <w:rsid w:val="008B64E9"/>
    <w:rsid w:val="008B6FA1"/>
    <w:rsid w:val="008C026C"/>
    <w:rsid w:val="008C36C6"/>
    <w:rsid w:val="008C42D5"/>
    <w:rsid w:val="008C42ED"/>
    <w:rsid w:val="008C5347"/>
    <w:rsid w:val="008D121C"/>
    <w:rsid w:val="008D2864"/>
    <w:rsid w:val="008E03E4"/>
    <w:rsid w:val="008E5FF2"/>
    <w:rsid w:val="008E651B"/>
    <w:rsid w:val="008F01F8"/>
    <w:rsid w:val="008F231B"/>
    <w:rsid w:val="008F3055"/>
    <w:rsid w:val="008F3DB1"/>
    <w:rsid w:val="009020E9"/>
    <w:rsid w:val="00903D82"/>
    <w:rsid w:val="009045B1"/>
    <w:rsid w:val="009077D9"/>
    <w:rsid w:val="00912FAC"/>
    <w:rsid w:val="0091392B"/>
    <w:rsid w:val="00914E30"/>
    <w:rsid w:val="00914F9E"/>
    <w:rsid w:val="009164B9"/>
    <w:rsid w:val="00917E4A"/>
    <w:rsid w:val="009245F7"/>
    <w:rsid w:val="00925254"/>
    <w:rsid w:val="00925865"/>
    <w:rsid w:val="00927284"/>
    <w:rsid w:val="00927EF7"/>
    <w:rsid w:val="0093012B"/>
    <w:rsid w:val="00932E94"/>
    <w:rsid w:val="0093358F"/>
    <w:rsid w:val="0093394F"/>
    <w:rsid w:val="009354D2"/>
    <w:rsid w:val="009428F6"/>
    <w:rsid w:val="00944577"/>
    <w:rsid w:val="00947BD7"/>
    <w:rsid w:val="00952848"/>
    <w:rsid w:val="00957242"/>
    <w:rsid w:val="009603DD"/>
    <w:rsid w:val="00967234"/>
    <w:rsid w:val="0096742E"/>
    <w:rsid w:val="00971534"/>
    <w:rsid w:val="00971A90"/>
    <w:rsid w:val="009736FB"/>
    <w:rsid w:val="00974278"/>
    <w:rsid w:val="00980E01"/>
    <w:rsid w:val="00982688"/>
    <w:rsid w:val="009839DE"/>
    <w:rsid w:val="00984114"/>
    <w:rsid w:val="009861C8"/>
    <w:rsid w:val="009875A2"/>
    <w:rsid w:val="00991C6B"/>
    <w:rsid w:val="009937DD"/>
    <w:rsid w:val="0099777C"/>
    <w:rsid w:val="009A1FC6"/>
    <w:rsid w:val="009A29AB"/>
    <w:rsid w:val="009A337D"/>
    <w:rsid w:val="009A5619"/>
    <w:rsid w:val="009A7F75"/>
    <w:rsid w:val="009B0FB1"/>
    <w:rsid w:val="009B2723"/>
    <w:rsid w:val="009B407F"/>
    <w:rsid w:val="009B5883"/>
    <w:rsid w:val="009B717C"/>
    <w:rsid w:val="009B72CE"/>
    <w:rsid w:val="009B7B47"/>
    <w:rsid w:val="009C1FF8"/>
    <w:rsid w:val="009C28A7"/>
    <w:rsid w:val="009C4FC1"/>
    <w:rsid w:val="009C5E24"/>
    <w:rsid w:val="009C7C95"/>
    <w:rsid w:val="009D1BD4"/>
    <w:rsid w:val="009D4DC6"/>
    <w:rsid w:val="009D5978"/>
    <w:rsid w:val="009D6A34"/>
    <w:rsid w:val="009E288E"/>
    <w:rsid w:val="009E2FF8"/>
    <w:rsid w:val="009E430B"/>
    <w:rsid w:val="009E6A9F"/>
    <w:rsid w:val="009E6ACB"/>
    <w:rsid w:val="009F0047"/>
    <w:rsid w:val="009F3233"/>
    <w:rsid w:val="009F3B59"/>
    <w:rsid w:val="009F51DC"/>
    <w:rsid w:val="009F5854"/>
    <w:rsid w:val="009F6454"/>
    <w:rsid w:val="009F798B"/>
    <w:rsid w:val="009F7A42"/>
    <w:rsid w:val="00A0174D"/>
    <w:rsid w:val="00A10FD0"/>
    <w:rsid w:val="00A2061C"/>
    <w:rsid w:val="00A21E99"/>
    <w:rsid w:val="00A23848"/>
    <w:rsid w:val="00A25EA2"/>
    <w:rsid w:val="00A27771"/>
    <w:rsid w:val="00A310A4"/>
    <w:rsid w:val="00A36101"/>
    <w:rsid w:val="00A41936"/>
    <w:rsid w:val="00A41DAB"/>
    <w:rsid w:val="00A42090"/>
    <w:rsid w:val="00A446BB"/>
    <w:rsid w:val="00A46100"/>
    <w:rsid w:val="00A468DB"/>
    <w:rsid w:val="00A5289D"/>
    <w:rsid w:val="00A53B40"/>
    <w:rsid w:val="00A602E2"/>
    <w:rsid w:val="00A613AC"/>
    <w:rsid w:val="00A7028F"/>
    <w:rsid w:val="00A70B5A"/>
    <w:rsid w:val="00A71385"/>
    <w:rsid w:val="00A719A1"/>
    <w:rsid w:val="00A745EE"/>
    <w:rsid w:val="00A75AD5"/>
    <w:rsid w:val="00A767BE"/>
    <w:rsid w:val="00A76A83"/>
    <w:rsid w:val="00A77670"/>
    <w:rsid w:val="00A82090"/>
    <w:rsid w:val="00A83B7A"/>
    <w:rsid w:val="00A84A00"/>
    <w:rsid w:val="00A8623D"/>
    <w:rsid w:val="00A9119B"/>
    <w:rsid w:val="00A9691C"/>
    <w:rsid w:val="00A96E4A"/>
    <w:rsid w:val="00AA125A"/>
    <w:rsid w:val="00AA6676"/>
    <w:rsid w:val="00AB2E61"/>
    <w:rsid w:val="00AB3373"/>
    <w:rsid w:val="00AB7F91"/>
    <w:rsid w:val="00AC0125"/>
    <w:rsid w:val="00AC1F16"/>
    <w:rsid w:val="00AC21F7"/>
    <w:rsid w:val="00AC3A0E"/>
    <w:rsid w:val="00AD33A3"/>
    <w:rsid w:val="00AD5FB5"/>
    <w:rsid w:val="00AD7B4C"/>
    <w:rsid w:val="00AE2E28"/>
    <w:rsid w:val="00AE6F4A"/>
    <w:rsid w:val="00AF01A2"/>
    <w:rsid w:val="00AF03A1"/>
    <w:rsid w:val="00AF180D"/>
    <w:rsid w:val="00AF308D"/>
    <w:rsid w:val="00B018F5"/>
    <w:rsid w:val="00B01A02"/>
    <w:rsid w:val="00B0662C"/>
    <w:rsid w:val="00B100B5"/>
    <w:rsid w:val="00B156BB"/>
    <w:rsid w:val="00B17347"/>
    <w:rsid w:val="00B207DA"/>
    <w:rsid w:val="00B2312E"/>
    <w:rsid w:val="00B30D21"/>
    <w:rsid w:val="00B30FDF"/>
    <w:rsid w:val="00B36828"/>
    <w:rsid w:val="00B50E4A"/>
    <w:rsid w:val="00B50F0F"/>
    <w:rsid w:val="00B51E9B"/>
    <w:rsid w:val="00B51FB9"/>
    <w:rsid w:val="00B5217D"/>
    <w:rsid w:val="00B53857"/>
    <w:rsid w:val="00B542B6"/>
    <w:rsid w:val="00B67F31"/>
    <w:rsid w:val="00B70C39"/>
    <w:rsid w:val="00B7159E"/>
    <w:rsid w:val="00B71D6F"/>
    <w:rsid w:val="00B72C04"/>
    <w:rsid w:val="00B763EF"/>
    <w:rsid w:val="00B76BB5"/>
    <w:rsid w:val="00B82AF5"/>
    <w:rsid w:val="00B830C9"/>
    <w:rsid w:val="00B900DE"/>
    <w:rsid w:val="00B9322D"/>
    <w:rsid w:val="00B94B6A"/>
    <w:rsid w:val="00B95AA7"/>
    <w:rsid w:val="00B97111"/>
    <w:rsid w:val="00BA790B"/>
    <w:rsid w:val="00BB0545"/>
    <w:rsid w:val="00BB24B5"/>
    <w:rsid w:val="00BB2C25"/>
    <w:rsid w:val="00BB7A5B"/>
    <w:rsid w:val="00BC251A"/>
    <w:rsid w:val="00BC2CDA"/>
    <w:rsid w:val="00BC31BD"/>
    <w:rsid w:val="00BC4B90"/>
    <w:rsid w:val="00BC6C11"/>
    <w:rsid w:val="00BD17C4"/>
    <w:rsid w:val="00BD21C2"/>
    <w:rsid w:val="00BD2F07"/>
    <w:rsid w:val="00BD3E53"/>
    <w:rsid w:val="00BD5F4D"/>
    <w:rsid w:val="00BE20BC"/>
    <w:rsid w:val="00BE4A31"/>
    <w:rsid w:val="00BE69DB"/>
    <w:rsid w:val="00BE7CE6"/>
    <w:rsid w:val="00BF5413"/>
    <w:rsid w:val="00BF5C11"/>
    <w:rsid w:val="00BF6832"/>
    <w:rsid w:val="00C02072"/>
    <w:rsid w:val="00C03C43"/>
    <w:rsid w:val="00C05C8C"/>
    <w:rsid w:val="00C07070"/>
    <w:rsid w:val="00C10194"/>
    <w:rsid w:val="00C12F9A"/>
    <w:rsid w:val="00C14718"/>
    <w:rsid w:val="00C1531D"/>
    <w:rsid w:val="00C27D0E"/>
    <w:rsid w:val="00C30C7C"/>
    <w:rsid w:val="00C30D30"/>
    <w:rsid w:val="00C33F5B"/>
    <w:rsid w:val="00C40270"/>
    <w:rsid w:val="00C40336"/>
    <w:rsid w:val="00C435B5"/>
    <w:rsid w:val="00C446E4"/>
    <w:rsid w:val="00C52117"/>
    <w:rsid w:val="00C55167"/>
    <w:rsid w:val="00C606F1"/>
    <w:rsid w:val="00C63B80"/>
    <w:rsid w:val="00C64F8D"/>
    <w:rsid w:val="00C702E2"/>
    <w:rsid w:val="00C71642"/>
    <w:rsid w:val="00C77089"/>
    <w:rsid w:val="00C805CD"/>
    <w:rsid w:val="00C8178A"/>
    <w:rsid w:val="00C85414"/>
    <w:rsid w:val="00C90469"/>
    <w:rsid w:val="00C90811"/>
    <w:rsid w:val="00C9296C"/>
    <w:rsid w:val="00C94D78"/>
    <w:rsid w:val="00C95777"/>
    <w:rsid w:val="00C976E8"/>
    <w:rsid w:val="00C97D0A"/>
    <w:rsid w:val="00CA3549"/>
    <w:rsid w:val="00CA42E0"/>
    <w:rsid w:val="00CA43A8"/>
    <w:rsid w:val="00CA48AE"/>
    <w:rsid w:val="00CA4E21"/>
    <w:rsid w:val="00CA68D5"/>
    <w:rsid w:val="00CA6B8A"/>
    <w:rsid w:val="00CB3871"/>
    <w:rsid w:val="00CB39D3"/>
    <w:rsid w:val="00CB59C8"/>
    <w:rsid w:val="00CC2BEE"/>
    <w:rsid w:val="00CC446D"/>
    <w:rsid w:val="00CC5972"/>
    <w:rsid w:val="00CC6820"/>
    <w:rsid w:val="00CC7398"/>
    <w:rsid w:val="00CD3D0C"/>
    <w:rsid w:val="00CD4D72"/>
    <w:rsid w:val="00CD5098"/>
    <w:rsid w:val="00CD692D"/>
    <w:rsid w:val="00CD72E0"/>
    <w:rsid w:val="00CE1A03"/>
    <w:rsid w:val="00CE4F2A"/>
    <w:rsid w:val="00CE6E2E"/>
    <w:rsid w:val="00CE761F"/>
    <w:rsid w:val="00CF3CED"/>
    <w:rsid w:val="00CF4065"/>
    <w:rsid w:val="00CF59F0"/>
    <w:rsid w:val="00CF5B6D"/>
    <w:rsid w:val="00D01FA3"/>
    <w:rsid w:val="00D06596"/>
    <w:rsid w:val="00D06ABB"/>
    <w:rsid w:val="00D07974"/>
    <w:rsid w:val="00D07BDB"/>
    <w:rsid w:val="00D14F16"/>
    <w:rsid w:val="00D1747A"/>
    <w:rsid w:val="00D203AC"/>
    <w:rsid w:val="00D208F1"/>
    <w:rsid w:val="00D2664D"/>
    <w:rsid w:val="00D268CC"/>
    <w:rsid w:val="00D30B9C"/>
    <w:rsid w:val="00D3330B"/>
    <w:rsid w:val="00D412BC"/>
    <w:rsid w:val="00D4138C"/>
    <w:rsid w:val="00D44A98"/>
    <w:rsid w:val="00D46720"/>
    <w:rsid w:val="00D47BB9"/>
    <w:rsid w:val="00D529A8"/>
    <w:rsid w:val="00D54119"/>
    <w:rsid w:val="00D54E7C"/>
    <w:rsid w:val="00D54F81"/>
    <w:rsid w:val="00D551FD"/>
    <w:rsid w:val="00D608CA"/>
    <w:rsid w:val="00D60C7D"/>
    <w:rsid w:val="00D639E1"/>
    <w:rsid w:val="00D72D7C"/>
    <w:rsid w:val="00D75504"/>
    <w:rsid w:val="00D75832"/>
    <w:rsid w:val="00D80307"/>
    <w:rsid w:val="00D807EA"/>
    <w:rsid w:val="00D8319D"/>
    <w:rsid w:val="00D84844"/>
    <w:rsid w:val="00D916DC"/>
    <w:rsid w:val="00D947A6"/>
    <w:rsid w:val="00D97B44"/>
    <w:rsid w:val="00D97CEA"/>
    <w:rsid w:val="00D97EA3"/>
    <w:rsid w:val="00DA3D21"/>
    <w:rsid w:val="00DA5182"/>
    <w:rsid w:val="00DA51E5"/>
    <w:rsid w:val="00DA5BD5"/>
    <w:rsid w:val="00DA744A"/>
    <w:rsid w:val="00DB00E7"/>
    <w:rsid w:val="00DB48AD"/>
    <w:rsid w:val="00DB490E"/>
    <w:rsid w:val="00DB5C15"/>
    <w:rsid w:val="00DB697B"/>
    <w:rsid w:val="00DB729E"/>
    <w:rsid w:val="00DC2C14"/>
    <w:rsid w:val="00DC3604"/>
    <w:rsid w:val="00DC459F"/>
    <w:rsid w:val="00DC5250"/>
    <w:rsid w:val="00DC75B9"/>
    <w:rsid w:val="00DD216E"/>
    <w:rsid w:val="00DD3952"/>
    <w:rsid w:val="00DD4DAF"/>
    <w:rsid w:val="00DD5B94"/>
    <w:rsid w:val="00DD6DE9"/>
    <w:rsid w:val="00DE053C"/>
    <w:rsid w:val="00DE1105"/>
    <w:rsid w:val="00DE1C4F"/>
    <w:rsid w:val="00DE40C5"/>
    <w:rsid w:val="00DE4145"/>
    <w:rsid w:val="00DE65E4"/>
    <w:rsid w:val="00DE7E8A"/>
    <w:rsid w:val="00DF17B7"/>
    <w:rsid w:val="00DF2522"/>
    <w:rsid w:val="00DF2C99"/>
    <w:rsid w:val="00DF4693"/>
    <w:rsid w:val="00DF5455"/>
    <w:rsid w:val="00DF5AAB"/>
    <w:rsid w:val="00E00C2D"/>
    <w:rsid w:val="00E035C1"/>
    <w:rsid w:val="00E03C90"/>
    <w:rsid w:val="00E0496A"/>
    <w:rsid w:val="00E163F4"/>
    <w:rsid w:val="00E17686"/>
    <w:rsid w:val="00E211C6"/>
    <w:rsid w:val="00E22904"/>
    <w:rsid w:val="00E22B1B"/>
    <w:rsid w:val="00E22F14"/>
    <w:rsid w:val="00E2394C"/>
    <w:rsid w:val="00E24A61"/>
    <w:rsid w:val="00E26A9A"/>
    <w:rsid w:val="00E279AD"/>
    <w:rsid w:val="00E300C6"/>
    <w:rsid w:val="00E33618"/>
    <w:rsid w:val="00E34577"/>
    <w:rsid w:val="00E4164C"/>
    <w:rsid w:val="00E43514"/>
    <w:rsid w:val="00E4440F"/>
    <w:rsid w:val="00E462BC"/>
    <w:rsid w:val="00E51B72"/>
    <w:rsid w:val="00E52DAB"/>
    <w:rsid w:val="00E56B06"/>
    <w:rsid w:val="00E57C15"/>
    <w:rsid w:val="00E61447"/>
    <w:rsid w:val="00E64103"/>
    <w:rsid w:val="00E64537"/>
    <w:rsid w:val="00E649BB"/>
    <w:rsid w:val="00E64A38"/>
    <w:rsid w:val="00E6597B"/>
    <w:rsid w:val="00E71174"/>
    <w:rsid w:val="00E718AB"/>
    <w:rsid w:val="00E7281F"/>
    <w:rsid w:val="00E72E7C"/>
    <w:rsid w:val="00E73061"/>
    <w:rsid w:val="00E77D81"/>
    <w:rsid w:val="00E8039B"/>
    <w:rsid w:val="00E83957"/>
    <w:rsid w:val="00E83CF8"/>
    <w:rsid w:val="00E848B1"/>
    <w:rsid w:val="00E8683E"/>
    <w:rsid w:val="00E921F6"/>
    <w:rsid w:val="00E940A4"/>
    <w:rsid w:val="00E942AD"/>
    <w:rsid w:val="00E97586"/>
    <w:rsid w:val="00E97DA4"/>
    <w:rsid w:val="00EA0289"/>
    <w:rsid w:val="00EA2F9B"/>
    <w:rsid w:val="00EA4573"/>
    <w:rsid w:val="00EB065B"/>
    <w:rsid w:val="00EB3CDC"/>
    <w:rsid w:val="00EB68EE"/>
    <w:rsid w:val="00EC45B6"/>
    <w:rsid w:val="00EC4B76"/>
    <w:rsid w:val="00ED4724"/>
    <w:rsid w:val="00ED4806"/>
    <w:rsid w:val="00ED4BA9"/>
    <w:rsid w:val="00EE66B9"/>
    <w:rsid w:val="00EE77FC"/>
    <w:rsid w:val="00EF0C89"/>
    <w:rsid w:val="00EF18BF"/>
    <w:rsid w:val="00EF1F7E"/>
    <w:rsid w:val="00EF28F6"/>
    <w:rsid w:val="00EF3E78"/>
    <w:rsid w:val="00EF45AA"/>
    <w:rsid w:val="00EF4A31"/>
    <w:rsid w:val="00EF539A"/>
    <w:rsid w:val="00EF5592"/>
    <w:rsid w:val="00EF655F"/>
    <w:rsid w:val="00EF73E2"/>
    <w:rsid w:val="00F026E4"/>
    <w:rsid w:val="00F03C94"/>
    <w:rsid w:val="00F04CAC"/>
    <w:rsid w:val="00F06696"/>
    <w:rsid w:val="00F0721E"/>
    <w:rsid w:val="00F10657"/>
    <w:rsid w:val="00F11399"/>
    <w:rsid w:val="00F113B8"/>
    <w:rsid w:val="00F12AE8"/>
    <w:rsid w:val="00F1628C"/>
    <w:rsid w:val="00F168CF"/>
    <w:rsid w:val="00F22130"/>
    <w:rsid w:val="00F24060"/>
    <w:rsid w:val="00F2508D"/>
    <w:rsid w:val="00F258C3"/>
    <w:rsid w:val="00F27C04"/>
    <w:rsid w:val="00F302D9"/>
    <w:rsid w:val="00F32FC8"/>
    <w:rsid w:val="00F33CD6"/>
    <w:rsid w:val="00F36BC2"/>
    <w:rsid w:val="00F370F8"/>
    <w:rsid w:val="00F37F0E"/>
    <w:rsid w:val="00F42AE9"/>
    <w:rsid w:val="00F50F7B"/>
    <w:rsid w:val="00F53E8A"/>
    <w:rsid w:val="00F56171"/>
    <w:rsid w:val="00F61E15"/>
    <w:rsid w:val="00F626AE"/>
    <w:rsid w:val="00F6406A"/>
    <w:rsid w:val="00F645DF"/>
    <w:rsid w:val="00F668A5"/>
    <w:rsid w:val="00F6731C"/>
    <w:rsid w:val="00F72518"/>
    <w:rsid w:val="00F72EE2"/>
    <w:rsid w:val="00F73AA2"/>
    <w:rsid w:val="00F74121"/>
    <w:rsid w:val="00F81CCF"/>
    <w:rsid w:val="00F824CA"/>
    <w:rsid w:val="00F82783"/>
    <w:rsid w:val="00F831B9"/>
    <w:rsid w:val="00F853CE"/>
    <w:rsid w:val="00F86A7B"/>
    <w:rsid w:val="00F87548"/>
    <w:rsid w:val="00F95D13"/>
    <w:rsid w:val="00F97C85"/>
    <w:rsid w:val="00FA0F69"/>
    <w:rsid w:val="00FB249B"/>
    <w:rsid w:val="00FB2FB1"/>
    <w:rsid w:val="00FB3485"/>
    <w:rsid w:val="00FB4511"/>
    <w:rsid w:val="00FB5039"/>
    <w:rsid w:val="00FB7315"/>
    <w:rsid w:val="00FC0709"/>
    <w:rsid w:val="00FC0B7F"/>
    <w:rsid w:val="00FC2C56"/>
    <w:rsid w:val="00FD7F51"/>
    <w:rsid w:val="00FE189D"/>
    <w:rsid w:val="00FE1C19"/>
    <w:rsid w:val="00FE4E3B"/>
    <w:rsid w:val="00FF6781"/>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FB204-C0A1-4D0F-9F13-2BA6AA86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link w:val="SraopastraipaDiagrama"/>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semiHidden/>
    <w:unhideWhenUsed/>
    <w:rsid w:val="007A08CC"/>
    <w:rPr>
      <w:sz w:val="16"/>
      <w:szCs w:val="16"/>
    </w:rPr>
  </w:style>
  <w:style w:type="paragraph" w:styleId="Komentarotekstas">
    <w:name w:val="annotation text"/>
    <w:basedOn w:val="prastasis"/>
    <w:link w:val="KomentarotekstasDiagrama"/>
    <w:unhideWhenUsed/>
    <w:rsid w:val="007A08CC"/>
    <w:rPr>
      <w:sz w:val="20"/>
      <w:szCs w:val="20"/>
    </w:rPr>
  </w:style>
  <w:style w:type="character" w:customStyle="1" w:styleId="KomentarotekstasDiagrama">
    <w:name w:val="Komentaro tekstas Diagrama"/>
    <w:basedOn w:val="Numatytasispastraiposriftas"/>
    <w:link w:val="Komentarotekstas"/>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aliases w:val="Hyperlink"/>
    <w:basedOn w:val="prastasis"/>
    <w:link w:val="AntratsDiagrama"/>
    <w:unhideWhenUsed/>
    <w:rsid w:val="007A30CA"/>
    <w:pPr>
      <w:tabs>
        <w:tab w:val="center" w:pos="4819"/>
        <w:tab w:val="right" w:pos="9638"/>
      </w:tabs>
    </w:pPr>
  </w:style>
  <w:style w:type="character" w:customStyle="1" w:styleId="AntratsDiagrama">
    <w:name w:val="Antraštės Diagrama"/>
    <w:aliases w:val="Hyperlink Diagrama"/>
    <w:basedOn w:val="Numatytasispastraiposriftas"/>
    <w:link w:val="Antrats"/>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paragraph" w:customStyle="1" w:styleId="Preformatted">
    <w:name w:val="Preformatted"/>
    <w:basedOn w:val="prastasis"/>
    <w:rsid w:val="00A820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SraopastraipaDiagrama">
    <w:name w:val="Sąrašo pastraipa Diagrama"/>
    <w:basedOn w:val="Numatytasispastraiposriftas"/>
    <w:link w:val="Sraopastraipa"/>
    <w:rsid w:val="00F36BC2"/>
    <w:rPr>
      <w:rFonts w:ascii="Times New Roman" w:eastAsia="Times New Roman" w:hAnsi="Times New Roman" w:cs="Times New Roman"/>
      <w:sz w:val="24"/>
      <w:szCs w:val="24"/>
    </w:rPr>
  </w:style>
  <w:style w:type="paragraph" w:customStyle="1" w:styleId="MAZAS">
    <w:name w:val="MAZAS"/>
    <w:basedOn w:val="prastasis"/>
    <w:rsid w:val="00DA3D21"/>
    <w:pPr>
      <w:suppressAutoHyphens/>
      <w:autoSpaceDE w:val="0"/>
      <w:autoSpaceDN w:val="0"/>
      <w:adjustRightInd w:val="0"/>
      <w:spacing w:line="297" w:lineRule="auto"/>
      <w:ind w:firstLine="312"/>
      <w:jc w:val="both"/>
    </w:pPr>
    <w:rPr>
      <w:rFonts w:ascii="Arial" w:hAnsi="Arial" w:cs="Arial"/>
      <w:color w:val="000000"/>
      <w:sz w:val="8"/>
      <w:szCs w:val="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2386501">
      <w:bodyDiv w:val="1"/>
      <w:marLeft w:val="0"/>
      <w:marRight w:val="0"/>
      <w:marTop w:val="0"/>
      <w:marBottom w:val="0"/>
      <w:divBdr>
        <w:top w:val="none" w:sz="0" w:space="0" w:color="auto"/>
        <w:left w:val="none" w:sz="0" w:space="0" w:color="auto"/>
        <w:bottom w:val="none" w:sz="0" w:space="0" w:color="auto"/>
        <w:right w:val="none" w:sz="0" w:space="0" w:color="auto"/>
      </w:divBdr>
    </w:div>
    <w:div w:id="77481386">
      <w:bodyDiv w:val="1"/>
      <w:marLeft w:val="0"/>
      <w:marRight w:val="0"/>
      <w:marTop w:val="0"/>
      <w:marBottom w:val="0"/>
      <w:divBdr>
        <w:top w:val="none" w:sz="0" w:space="0" w:color="auto"/>
        <w:left w:val="none" w:sz="0" w:space="0" w:color="auto"/>
        <w:bottom w:val="none" w:sz="0" w:space="0" w:color="auto"/>
        <w:right w:val="none" w:sz="0" w:space="0" w:color="auto"/>
      </w:divBdr>
    </w:div>
    <w:div w:id="114522969">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244318">
      <w:bodyDiv w:val="1"/>
      <w:marLeft w:val="0"/>
      <w:marRight w:val="0"/>
      <w:marTop w:val="0"/>
      <w:marBottom w:val="0"/>
      <w:divBdr>
        <w:top w:val="none" w:sz="0" w:space="0" w:color="auto"/>
        <w:left w:val="none" w:sz="0" w:space="0" w:color="auto"/>
        <w:bottom w:val="none" w:sz="0" w:space="0" w:color="auto"/>
        <w:right w:val="none" w:sz="0" w:space="0" w:color="auto"/>
      </w:divBdr>
    </w:div>
    <w:div w:id="262687444">
      <w:bodyDiv w:val="1"/>
      <w:marLeft w:val="0"/>
      <w:marRight w:val="0"/>
      <w:marTop w:val="0"/>
      <w:marBottom w:val="0"/>
      <w:divBdr>
        <w:top w:val="none" w:sz="0" w:space="0" w:color="auto"/>
        <w:left w:val="none" w:sz="0" w:space="0" w:color="auto"/>
        <w:bottom w:val="none" w:sz="0" w:space="0" w:color="auto"/>
        <w:right w:val="none" w:sz="0" w:space="0" w:color="auto"/>
      </w:divBdr>
    </w:div>
    <w:div w:id="285283164">
      <w:bodyDiv w:val="1"/>
      <w:marLeft w:val="0"/>
      <w:marRight w:val="0"/>
      <w:marTop w:val="0"/>
      <w:marBottom w:val="0"/>
      <w:divBdr>
        <w:top w:val="none" w:sz="0" w:space="0" w:color="auto"/>
        <w:left w:val="none" w:sz="0" w:space="0" w:color="auto"/>
        <w:bottom w:val="none" w:sz="0" w:space="0" w:color="auto"/>
        <w:right w:val="none" w:sz="0" w:space="0" w:color="auto"/>
      </w:divBdr>
    </w:div>
    <w:div w:id="430471807">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50903422">
      <w:bodyDiv w:val="1"/>
      <w:marLeft w:val="0"/>
      <w:marRight w:val="0"/>
      <w:marTop w:val="0"/>
      <w:marBottom w:val="0"/>
      <w:divBdr>
        <w:top w:val="none" w:sz="0" w:space="0" w:color="auto"/>
        <w:left w:val="none" w:sz="0" w:space="0" w:color="auto"/>
        <w:bottom w:val="none" w:sz="0" w:space="0" w:color="auto"/>
        <w:right w:val="none" w:sz="0" w:space="0" w:color="auto"/>
      </w:divBdr>
    </w:div>
    <w:div w:id="463885148">
      <w:bodyDiv w:val="1"/>
      <w:marLeft w:val="0"/>
      <w:marRight w:val="0"/>
      <w:marTop w:val="0"/>
      <w:marBottom w:val="0"/>
      <w:divBdr>
        <w:top w:val="none" w:sz="0" w:space="0" w:color="auto"/>
        <w:left w:val="none" w:sz="0" w:space="0" w:color="auto"/>
        <w:bottom w:val="none" w:sz="0" w:space="0" w:color="auto"/>
        <w:right w:val="none" w:sz="0" w:space="0" w:color="auto"/>
      </w:divBdr>
    </w:div>
    <w:div w:id="509180704">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917326437">
      <w:bodyDiv w:val="1"/>
      <w:marLeft w:val="0"/>
      <w:marRight w:val="0"/>
      <w:marTop w:val="0"/>
      <w:marBottom w:val="0"/>
      <w:divBdr>
        <w:top w:val="none" w:sz="0" w:space="0" w:color="auto"/>
        <w:left w:val="none" w:sz="0" w:space="0" w:color="auto"/>
        <w:bottom w:val="none" w:sz="0" w:space="0" w:color="auto"/>
        <w:right w:val="none" w:sz="0" w:space="0" w:color="auto"/>
      </w:divBdr>
    </w:div>
    <w:div w:id="1025521862">
      <w:bodyDiv w:val="1"/>
      <w:marLeft w:val="0"/>
      <w:marRight w:val="0"/>
      <w:marTop w:val="0"/>
      <w:marBottom w:val="0"/>
      <w:divBdr>
        <w:top w:val="none" w:sz="0" w:space="0" w:color="auto"/>
        <w:left w:val="none" w:sz="0" w:space="0" w:color="auto"/>
        <w:bottom w:val="none" w:sz="0" w:space="0" w:color="auto"/>
        <w:right w:val="none" w:sz="0" w:space="0" w:color="auto"/>
      </w:divBdr>
    </w:div>
    <w:div w:id="1037896016">
      <w:bodyDiv w:val="1"/>
      <w:marLeft w:val="0"/>
      <w:marRight w:val="0"/>
      <w:marTop w:val="0"/>
      <w:marBottom w:val="0"/>
      <w:divBdr>
        <w:top w:val="none" w:sz="0" w:space="0" w:color="auto"/>
        <w:left w:val="none" w:sz="0" w:space="0" w:color="auto"/>
        <w:bottom w:val="none" w:sz="0" w:space="0" w:color="auto"/>
        <w:right w:val="none" w:sz="0" w:space="0" w:color="auto"/>
      </w:divBdr>
    </w:div>
    <w:div w:id="1103108258">
      <w:bodyDiv w:val="1"/>
      <w:marLeft w:val="0"/>
      <w:marRight w:val="0"/>
      <w:marTop w:val="0"/>
      <w:marBottom w:val="0"/>
      <w:divBdr>
        <w:top w:val="none" w:sz="0" w:space="0" w:color="auto"/>
        <w:left w:val="none" w:sz="0" w:space="0" w:color="auto"/>
        <w:bottom w:val="none" w:sz="0" w:space="0" w:color="auto"/>
        <w:right w:val="none" w:sz="0" w:space="0" w:color="auto"/>
      </w:divBdr>
    </w:div>
    <w:div w:id="1107231816">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96309931">
      <w:bodyDiv w:val="1"/>
      <w:marLeft w:val="0"/>
      <w:marRight w:val="0"/>
      <w:marTop w:val="0"/>
      <w:marBottom w:val="0"/>
      <w:divBdr>
        <w:top w:val="none" w:sz="0" w:space="0" w:color="auto"/>
        <w:left w:val="none" w:sz="0" w:space="0" w:color="auto"/>
        <w:bottom w:val="none" w:sz="0" w:space="0" w:color="auto"/>
        <w:right w:val="none" w:sz="0" w:space="0" w:color="auto"/>
      </w:divBdr>
    </w:div>
    <w:div w:id="1201866186">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3365">
      <w:bodyDiv w:val="1"/>
      <w:marLeft w:val="0"/>
      <w:marRight w:val="0"/>
      <w:marTop w:val="0"/>
      <w:marBottom w:val="0"/>
      <w:divBdr>
        <w:top w:val="none" w:sz="0" w:space="0" w:color="auto"/>
        <w:left w:val="none" w:sz="0" w:space="0" w:color="auto"/>
        <w:bottom w:val="none" w:sz="0" w:space="0" w:color="auto"/>
        <w:right w:val="none" w:sz="0" w:space="0" w:color="auto"/>
      </w:divBdr>
    </w:div>
    <w:div w:id="1301690240">
      <w:bodyDiv w:val="1"/>
      <w:marLeft w:val="0"/>
      <w:marRight w:val="0"/>
      <w:marTop w:val="0"/>
      <w:marBottom w:val="0"/>
      <w:divBdr>
        <w:top w:val="none" w:sz="0" w:space="0" w:color="auto"/>
        <w:left w:val="none" w:sz="0" w:space="0" w:color="auto"/>
        <w:bottom w:val="none" w:sz="0" w:space="0" w:color="auto"/>
        <w:right w:val="none" w:sz="0" w:space="0" w:color="auto"/>
      </w:divBdr>
    </w:div>
    <w:div w:id="1320693007">
      <w:bodyDiv w:val="1"/>
      <w:marLeft w:val="0"/>
      <w:marRight w:val="0"/>
      <w:marTop w:val="0"/>
      <w:marBottom w:val="0"/>
      <w:divBdr>
        <w:top w:val="none" w:sz="0" w:space="0" w:color="auto"/>
        <w:left w:val="none" w:sz="0" w:space="0" w:color="auto"/>
        <w:bottom w:val="none" w:sz="0" w:space="0" w:color="auto"/>
        <w:right w:val="none" w:sz="0" w:space="0" w:color="auto"/>
      </w:divBdr>
    </w:div>
    <w:div w:id="1340618347">
      <w:bodyDiv w:val="1"/>
      <w:marLeft w:val="0"/>
      <w:marRight w:val="0"/>
      <w:marTop w:val="0"/>
      <w:marBottom w:val="0"/>
      <w:divBdr>
        <w:top w:val="none" w:sz="0" w:space="0" w:color="auto"/>
        <w:left w:val="none" w:sz="0" w:space="0" w:color="auto"/>
        <w:bottom w:val="none" w:sz="0" w:space="0" w:color="auto"/>
        <w:right w:val="none" w:sz="0" w:space="0" w:color="auto"/>
      </w:divBdr>
    </w:div>
    <w:div w:id="1350453175">
      <w:bodyDiv w:val="1"/>
      <w:marLeft w:val="0"/>
      <w:marRight w:val="0"/>
      <w:marTop w:val="0"/>
      <w:marBottom w:val="0"/>
      <w:divBdr>
        <w:top w:val="none" w:sz="0" w:space="0" w:color="auto"/>
        <w:left w:val="none" w:sz="0" w:space="0" w:color="auto"/>
        <w:bottom w:val="none" w:sz="0" w:space="0" w:color="auto"/>
        <w:right w:val="none" w:sz="0" w:space="0" w:color="auto"/>
      </w:divBdr>
    </w:div>
    <w:div w:id="1377465053">
      <w:bodyDiv w:val="1"/>
      <w:marLeft w:val="0"/>
      <w:marRight w:val="0"/>
      <w:marTop w:val="0"/>
      <w:marBottom w:val="0"/>
      <w:divBdr>
        <w:top w:val="none" w:sz="0" w:space="0" w:color="auto"/>
        <w:left w:val="none" w:sz="0" w:space="0" w:color="auto"/>
        <w:bottom w:val="none" w:sz="0" w:space="0" w:color="auto"/>
        <w:right w:val="none" w:sz="0" w:space="0" w:color="auto"/>
      </w:divBdr>
    </w:div>
    <w:div w:id="1387602164">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560895178">
      <w:bodyDiv w:val="1"/>
      <w:marLeft w:val="0"/>
      <w:marRight w:val="0"/>
      <w:marTop w:val="0"/>
      <w:marBottom w:val="0"/>
      <w:divBdr>
        <w:top w:val="none" w:sz="0" w:space="0" w:color="auto"/>
        <w:left w:val="none" w:sz="0" w:space="0" w:color="auto"/>
        <w:bottom w:val="none" w:sz="0" w:space="0" w:color="auto"/>
        <w:right w:val="none" w:sz="0" w:space="0" w:color="auto"/>
      </w:divBdr>
    </w:div>
    <w:div w:id="1632514595">
      <w:bodyDiv w:val="1"/>
      <w:marLeft w:val="0"/>
      <w:marRight w:val="0"/>
      <w:marTop w:val="0"/>
      <w:marBottom w:val="0"/>
      <w:divBdr>
        <w:top w:val="none" w:sz="0" w:space="0" w:color="auto"/>
        <w:left w:val="none" w:sz="0" w:space="0" w:color="auto"/>
        <w:bottom w:val="none" w:sz="0" w:space="0" w:color="auto"/>
        <w:right w:val="none" w:sz="0" w:space="0" w:color="auto"/>
      </w:divBdr>
    </w:div>
    <w:div w:id="1686327139">
      <w:bodyDiv w:val="1"/>
      <w:marLeft w:val="0"/>
      <w:marRight w:val="0"/>
      <w:marTop w:val="0"/>
      <w:marBottom w:val="0"/>
      <w:divBdr>
        <w:top w:val="none" w:sz="0" w:space="0" w:color="auto"/>
        <w:left w:val="none" w:sz="0" w:space="0" w:color="auto"/>
        <w:bottom w:val="none" w:sz="0" w:space="0" w:color="auto"/>
        <w:right w:val="none" w:sz="0" w:space="0" w:color="auto"/>
      </w:divBdr>
    </w:div>
    <w:div w:id="1699349448">
      <w:bodyDiv w:val="1"/>
      <w:marLeft w:val="0"/>
      <w:marRight w:val="0"/>
      <w:marTop w:val="0"/>
      <w:marBottom w:val="0"/>
      <w:divBdr>
        <w:top w:val="none" w:sz="0" w:space="0" w:color="auto"/>
        <w:left w:val="none" w:sz="0" w:space="0" w:color="auto"/>
        <w:bottom w:val="none" w:sz="0" w:space="0" w:color="auto"/>
        <w:right w:val="none" w:sz="0" w:space="0" w:color="auto"/>
      </w:divBdr>
    </w:div>
    <w:div w:id="1762414534">
      <w:bodyDiv w:val="1"/>
      <w:marLeft w:val="0"/>
      <w:marRight w:val="0"/>
      <w:marTop w:val="0"/>
      <w:marBottom w:val="0"/>
      <w:divBdr>
        <w:top w:val="none" w:sz="0" w:space="0" w:color="auto"/>
        <w:left w:val="none" w:sz="0" w:space="0" w:color="auto"/>
        <w:bottom w:val="none" w:sz="0" w:space="0" w:color="auto"/>
        <w:right w:val="none" w:sz="0" w:space="0" w:color="auto"/>
      </w:divBdr>
    </w:div>
    <w:div w:id="1889145179">
      <w:bodyDiv w:val="1"/>
      <w:marLeft w:val="0"/>
      <w:marRight w:val="0"/>
      <w:marTop w:val="0"/>
      <w:marBottom w:val="0"/>
      <w:divBdr>
        <w:top w:val="none" w:sz="0" w:space="0" w:color="auto"/>
        <w:left w:val="none" w:sz="0" w:space="0" w:color="auto"/>
        <w:bottom w:val="none" w:sz="0" w:space="0" w:color="auto"/>
        <w:right w:val="none" w:sz="0" w:space="0" w:color="auto"/>
      </w:divBdr>
    </w:div>
    <w:div w:id="1967079504">
      <w:bodyDiv w:val="1"/>
      <w:marLeft w:val="0"/>
      <w:marRight w:val="0"/>
      <w:marTop w:val="0"/>
      <w:marBottom w:val="0"/>
      <w:divBdr>
        <w:top w:val="none" w:sz="0" w:space="0" w:color="auto"/>
        <w:left w:val="none" w:sz="0" w:space="0" w:color="auto"/>
        <w:bottom w:val="none" w:sz="0" w:space="0" w:color="auto"/>
        <w:right w:val="none" w:sz="0" w:space="0" w:color="auto"/>
      </w:divBdr>
    </w:div>
    <w:div w:id="1989087753">
      <w:bodyDiv w:val="1"/>
      <w:marLeft w:val="0"/>
      <w:marRight w:val="0"/>
      <w:marTop w:val="0"/>
      <w:marBottom w:val="0"/>
      <w:divBdr>
        <w:top w:val="none" w:sz="0" w:space="0" w:color="auto"/>
        <w:left w:val="none" w:sz="0" w:space="0" w:color="auto"/>
        <w:bottom w:val="none" w:sz="0" w:space="0" w:color="auto"/>
        <w:right w:val="none" w:sz="0" w:space="0" w:color="auto"/>
      </w:divBdr>
    </w:div>
    <w:div w:id="19900868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4890117">
      <w:bodyDiv w:val="1"/>
      <w:marLeft w:val="0"/>
      <w:marRight w:val="0"/>
      <w:marTop w:val="0"/>
      <w:marBottom w:val="0"/>
      <w:divBdr>
        <w:top w:val="none" w:sz="0" w:space="0" w:color="auto"/>
        <w:left w:val="none" w:sz="0" w:space="0" w:color="auto"/>
        <w:bottom w:val="none" w:sz="0" w:space="0" w:color="auto"/>
        <w:right w:val="none" w:sz="0" w:space="0" w:color="auto"/>
      </w:divBdr>
    </w:div>
    <w:div w:id="21384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5268</Words>
  <Characters>3003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Čypienė</dc:creator>
  <cp:keywords/>
  <dc:description/>
  <cp:lastModifiedBy>Inga Čypienė</cp:lastModifiedBy>
  <cp:revision>3</cp:revision>
  <cp:lastPrinted>2019-03-20T05:46:00Z</cp:lastPrinted>
  <dcterms:created xsi:type="dcterms:W3CDTF">2019-10-14T10:19:00Z</dcterms:created>
  <dcterms:modified xsi:type="dcterms:W3CDTF">2019-10-14T10:19:00Z</dcterms:modified>
</cp:coreProperties>
</file>